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8E4F12" w:rsidTr="00C85D0F">
        <w:trPr>
          <w:trHeight w:hRule="exact" w:val="1418"/>
        </w:trPr>
        <w:tc>
          <w:tcPr>
            <w:tcW w:w="6804" w:type="dxa"/>
            <w:shd w:val="clear" w:color="auto" w:fill="auto"/>
            <w:vAlign w:val="center"/>
          </w:tcPr>
          <w:p w:rsidR="00C05DD8" w:rsidRPr="008E4F12" w:rsidRDefault="00BD3084" w:rsidP="00C85D0F">
            <w:pPr>
              <w:pStyle w:val="EPName"/>
            </w:pPr>
            <w:r>
              <w:t>Evropský parlament</w:t>
            </w:r>
          </w:p>
          <w:p w:rsidR="00C05DD8" w:rsidRPr="008E4F12" w:rsidRDefault="00BD5920" w:rsidP="00BD5920">
            <w:pPr>
              <w:pStyle w:val="EPTerm"/>
            </w:pPr>
            <w:r>
              <w:t>2019-2024</w:t>
            </w:r>
          </w:p>
        </w:tc>
        <w:tc>
          <w:tcPr>
            <w:tcW w:w="2268" w:type="dxa"/>
            <w:shd w:val="clear" w:color="auto" w:fill="auto"/>
          </w:tcPr>
          <w:p w:rsidR="00C05DD8" w:rsidRPr="008E4F12" w:rsidRDefault="00C05DD8" w:rsidP="00C85D0F">
            <w:pPr>
              <w:pStyle w:val="EPLogo"/>
            </w:pPr>
            <w:r w:rsidRPr="008E4F12">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8E4F12" w:rsidRDefault="009612AA" w:rsidP="009612AA">
      <w:pPr>
        <w:pStyle w:val="LineTop"/>
      </w:pPr>
    </w:p>
    <w:p w:rsidR="009612AA" w:rsidRPr="008E4F12" w:rsidRDefault="009612AA" w:rsidP="009612AA">
      <w:pPr>
        <w:pStyle w:val="EPBody"/>
      </w:pPr>
      <w:r>
        <w:rPr>
          <w:rStyle w:val="HideTWBExt"/>
        </w:rPr>
        <w:t>&lt;</w:t>
      </w:r>
      <w:r>
        <w:rPr>
          <w:rStyle w:val="HideTWBExt"/>
          <w:i w:val="0"/>
        </w:rPr>
        <w:t>Commission</w:t>
      </w:r>
      <w:r>
        <w:rPr>
          <w:rStyle w:val="HideTWBExt"/>
        </w:rPr>
        <w:t>&gt;</w:t>
      </w:r>
      <w:r>
        <w:rPr>
          <w:rStyle w:val="HideTWBInt"/>
        </w:rPr>
        <w:t>{LIBE}</w:t>
      </w:r>
      <w:r>
        <w:t>Výbor pro občanské svobody, spravedlnost</w:t>
      </w:r>
      <w:r w:rsidR="00D95667">
        <w:t xml:space="preserve"> a </w:t>
      </w:r>
      <w:r>
        <w:t>vnitřní věci</w:t>
      </w:r>
      <w:r>
        <w:rPr>
          <w:rStyle w:val="HideTWBExt"/>
        </w:rPr>
        <w:t>&lt;/</w:t>
      </w:r>
      <w:r>
        <w:rPr>
          <w:rStyle w:val="HideTWBExt"/>
          <w:i w:val="0"/>
        </w:rPr>
        <w:t>Commission</w:t>
      </w:r>
      <w:r>
        <w:rPr>
          <w:rStyle w:val="HideTWBExt"/>
        </w:rPr>
        <w:t>&gt;</w:t>
      </w:r>
    </w:p>
    <w:p w:rsidR="009612AA" w:rsidRPr="008E4F12" w:rsidRDefault="009612AA" w:rsidP="009612AA">
      <w:pPr>
        <w:pStyle w:val="LineBottom"/>
      </w:pPr>
    </w:p>
    <w:p w:rsidR="00363B94" w:rsidRPr="008E4F12" w:rsidRDefault="00363B94">
      <w:pPr>
        <w:pStyle w:val="CoverReference"/>
      </w:pPr>
      <w:r>
        <w:rPr>
          <w:rStyle w:val="HideTWBExt"/>
          <w:b w:val="0"/>
        </w:rPr>
        <w:t>&lt;RefProc&gt;</w:t>
      </w:r>
      <w:r>
        <w:t>2023/0231</w:t>
      </w:r>
      <w:r>
        <w:rPr>
          <w:rStyle w:val="HideTWBExt"/>
          <w:b w:val="0"/>
        </w:rPr>
        <w:t>&lt;/RefProc&gt;&lt;RefTypeProc&gt;</w:t>
      </w:r>
      <w:r>
        <w:t>(NLE)</w:t>
      </w:r>
      <w:r>
        <w:rPr>
          <w:rStyle w:val="HideTWBExt"/>
          <w:b w:val="0"/>
        </w:rPr>
        <w:t>&lt;/RefTypeProc&gt;</w:t>
      </w:r>
    </w:p>
    <w:p w:rsidR="00363B94" w:rsidRPr="008E4F12" w:rsidRDefault="00363B94">
      <w:pPr>
        <w:pStyle w:val="CoverDate"/>
      </w:pPr>
      <w:r>
        <w:rPr>
          <w:rStyle w:val="HideTWBExt"/>
        </w:rPr>
        <w:t>&lt;Date&gt;</w:t>
      </w:r>
      <w:r>
        <w:rPr>
          <w:rStyle w:val="HideTWBInt"/>
        </w:rPr>
        <w:t>{14/02/2024}</w:t>
      </w:r>
      <w:r>
        <w:t>14.2.2024</w:t>
      </w:r>
      <w:r>
        <w:rPr>
          <w:rStyle w:val="HideTWBExt"/>
        </w:rPr>
        <w:t>&lt;/Date&gt;</w:t>
      </w:r>
    </w:p>
    <w:p w:rsidR="00363B94" w:rsidRPr="008E4F12" w:rsidRDefault="00363B94">
      <w:pPr>
        <w:pStyle w:val="CoverDocType"/>
      </w:pPr>
      <w:r>
        <w:rPr>
          <w:rStyle w:val="HideTWBExt"/>
          <w:b w:val="0"/>
        </w:rPr>
        <w:t>&lt;RefProcLect&gt;</w:t>
      </w:r>
      <w:r>
        <w:t>***</w:t>
      </w:r>
      <w:r>
        <w:rPr>
          <w:rStyle w:val="HideTWBExt"/>
          <w:b w:val="0"/>
        </w:rPr>
        <w:t>&lt;/RefProcLect&gt;</w:t>
      </w:r>
    </w:p>
    <w:p w:rsidR="00363B94" w:rsidRPr="008E4F12" w:rsidRDefault="00363B94">
      <w:pPr>
        <w:pStyle w:val="CoverDocType24a"/>
      </w:pPr>
      <w:r>
        <w:rPr>
          <w:rStyle w:val="HideTWBExt"/>
          <w:b w:val="0"/>
        </w:rPr>
        <w:t>&lt;TitreType&gt;</w:t>
      </w:r>
      <w:r>
        <w:t>NÁVRH DOPORUČENÍ</w:t>
      </w:r>
      <w:r>
        <w:rPr>
          <w:rStyle w:val="HideTWBExt"/>
          <w:b w:val="0"/>
        </w:rPr>
        <w:t>&lt;/TitreType&gt;</w:t>
      </w:r>
    </w:p>
    <w:p w:rsidR="00363B94" w:rsidRPr="008E4F12" w:rsidRDefault="00363B94">
      <w:pPr>
        <w:pStyle w:val="CoverNormal"/>
      </w:pPr>
      <w:r>
        <w:rPr>
          <w:rStyle w:val="HideTWBExt"/>
        </w:rPr>
        <w:t>&lt;Titre&gt;</w:t>
      </w:r>
      <w:r>
        <w:t>k návrhu rozhodnutí Rady</w:t>
      </w:r>
      <w:r w:rsidR="00D95667">
        <w:t xml:space="preserve"> o </w:t>
      </w:r>
      <w:r>
        <w:t>uzavření, jménem Unie, Dohody mezi Evropskou unií</w:t>
      </w:r>
      <w:r w:rsidR="00D95667">
        <w:t xml:space="preserve"> a </w:t>
      </w:r>
      <w:r>
        <w:t>Islandem</w:t>
      </w:r>
      <w:r w:rsidR="00D95667">
        <w:t xml:space="preserve"> o </w:t>
      </w:r>
      <w:r>
        <w:t>doplňkových pravidlech týkajících se Nástroje pro finanční podporu správy hranic</w:t>
      </w:r>
      <w:r w:rsidR="00D95667">
        <w:t xml:space="preserve"> a </w:t>
      </w:r>
      <w:r>
        <w:t>vízové politiky jako součásti Fondu pro integrovanou správu hranic na období 2021 - 2027</w:t>
      </w:r>
      <w:r>
        <w:rPr>
          <w:rStyle w:val="HideTWBExt"/>
        </w:rPr>
        <w:t>&lt;/Titre&gt;</w:t>
      </w:r>
    </w:p>
    <w:p w:rsidR="00363B94" w:rsidRPr="008E4F12" w:rsidRDefault="00363B94">
      <w:pPr>
        <w:pStyle w:val="CoverNormal24a"/>
      </w:pPr>
      <w:r>
        <w:rPr>
          <w:rStyle w:val="HideTWBExt"/>
        </w:rPr>
        <w:t>&lt;DocRef&gt;</w:t>
      </w:r>
      <w:r>
        <w:t>(12125/2023 – C9</w:t>
      </w:r>
      <w:r>
        <w:noBreakHyphen/>
        <w:t>0004/2024 – 2023/0231(NLE))</w:t>
      </w:r>
      <w:r>
        <w:rPr>
          <w:rStyle w:val="HideTWBExt"/>
        </w:rPr>
        <w:t>&lt;/DocRef&gt;</w:t>
      </w:r>
    </w:p>
    <w:p w:rsidR="00363B94" w:rsidRPr="008E4F12" w:rsidRDefault="00363B94">
      <w:pPr>
        <w:pStyle w:val="CoverNormal24a"/>
      </w:pPr>
      <w:r>
        <w:rPr>
          <w:rStyle w:val="HideTWBExt"/>
        </w:rPr>
        <w:t>&lt;Commission&gt;</w:t>
      </w:r>
      <w:r>
        <w:rPr>
          <w:rStyle w:val="HideTWBInt"/>
        </w:rPr>
        <w:t>{LIBE}</w:t>
      </w:r>
      <w:r>
        <w:t>Výbor pro občanské svobody, spravedlnost</w:t>
      </w:r>
      <w:r w:rsidR="00D95667">
        <w:t xml:space="preserve"> a </w:t>
      </w:r>
      <w:r>
        <w:t>vnitřní věci</w:t>
      </w:r>
      <w:r>
        <w:rPr>
          <w:rStyle w:val="HideTWBExt"/>
        </w:rPr>
        <w:t>&lt;/Commission&gt;</w:t>
      </w:r>
    </w:p>
    <w:p w:rsidR="00363B94" w:rsidRPr="008E4F12" w:rsidRDefault="00C53B2C">
      <w:pPr>
        <w:pStyle w:val="CoverNormal24a"/>
      </w:pPr>
      <w:r>
        <w:t xml:space="preserve">Zpravodaj: </w:t>
      </w:r>
      <w:r>
        <w:rPr>
          <w:rStyle w:val="HideTWBExt"/>
        </w:rPr>
        <w:t>&lt;Depute&gt;</w:t>
      </w:r>
      <w:r>
        <w:t>Malik Azmani</w:t>
      </w:r>
      <w:r>
        <w:rPr>
          <w:rStyle w:val="HideTWBExt"/>
        </w:rPr>
        <w:t>&lt;/Depute&gt;</w:t>
      </w:r>
    </w:p>
    <w:p w:rsidR="00B42885" w:rsidRPr="008E4F12" w:rsidRDefault="00B42885" w:rsidP="00B42885">
      <w:pPr>
        <w:pStyle w:val="CoverNormal"/>
      </w:pPr>
    </w:p>
    <w:p w:rsidR="00BD5920" w:rsidRPr="008E4F12" w:rsidRDefault="00363B94" w:rsidP="00016E55">
      <w:bookmarkStart w:id="0" w:name="_GoBack"/>
      <w:bookmarkEnd w:id="0"/>
      <w:r>
        <w:br w:type="page"/>
      </w:r>
      <w:r w:rsidR="00D95667">
        <w:lastRenderedPageBreak/>
        <w:fldChar w:fldCharType="begin"/>
      </w:r>
      <w:r w:rsidR="00D95667">
        <w:instrText xml:space="preserve"> TITLE  \* MERGEFORMAT </w:instrText>
      </w:r>
      <w:r w:rsidR="00D95667">
        <w:fldChar w:fldCharType="separate"/>
      </w:r>
      <w:r w:rsidR="00D95667">
        <w:t>PR_NLE-AP_Agreement</w:t>
      </w:r>
      <w:r w:rsidR="00D95667">
        <w:fldChar w:fldCharType="end"/>
      </w:r>
    </w:p>
    <w:p w:rsidR="00BD5920" w:rsidRPr="008E4F12" w:rsidRDefault="00BD5920" w:rsidP="00016E55"/>
    <w:p w:rsidR="00BD5920" w:rsidRPr="008E4F12" w:rsidRDefault="00BD5920"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53B2C" w:rsidRPr="00572047" w:rsidTr="000624B5">
        <w:tc>
          <w:tcPr>
            <w:tcW w:w="5811" w:type="dxa"/>
            <w:tcBorders>
              <w:top w:val="single" w:sz="4" w:space="0" w:color="auto"/>
            </w:tcBorders>
          </w:tcPr>
          <w:p w:rsidR="00C53B2C" w:rsidRPr="00572047" w:rsidRDefault="00C53B2C" w:rsidP="000624B5">
            <w:pPr>
              <w:pStyle w:val="Lgendetitre"/>
              <w:rPr>
                <w:szCs w:val="24"/>
              </w:rPr>
            </w:pPr>
            <w:r>
              <w:t xml:space="preserve">Vysvětlivky </w:t>
            </w:r>
          </w:p>
        </w:tc>
      </w:tr>
      <w:tr w:rsidR="00C53B2C" w:rsidRPr="00572047" w:rsidTr="000624B5">
        <w:trPr>
          <w:cantSplit/>
          <w:trHeight w:val="2170"/>
        </w:trPr>
        <w:tc>
          <w:tcPr>
            <w:tcW w:w="5811" w:type="dxa"/>
            <w:tcBorders>
              <w:bottom w:val="single" w:sz="4" w:space="0" w:color="auto"/>
            </w:tcBorders>
          </w:tcPr>
          <w:p w:rsidR="00C53B2C" w:rsidRPr="00572047" w:rsidRDefault="00C53B2C" w:rsidP="000624B5">
            <w:pPr>
              <w:pStyle w:val="Lgendesigne"/>
              <w:rPr>
                <w:szCs w:val="24"/>
              </w:rPr>
            </w:pPr>
            <w:r>
              <w:tab/>
              <w:t>*</w:t>
            </w:r>
            <w:r>
              <w:tab/>
              <w:t>Postup konzultace</w:t>
            </w:r>
            <w:r>
              <w:tab/>
            </w:r>
          </w:p>
          <w:p w:rsidR="00C53B2C" w:rsidRPr="00572047" w:rsidRDefault="00C53B2C" w:rsidP="000624B5">
            <w:pPr>
              <w:pStyle w:val="Lgendesigne"/>
              <w:rPr>
                <w:szCs w:val="24"/>
              </w:rPr>
            </w:pPr>
            <w:r>
              <w:tab/>
              <w:t>***</w:t>
            </w:r>
            <w:r>
              <w:tab/>
              <w:t>Postup souhlasu</w:t>
            </w:r>
          </w:p>
          <w:p w:rsidR="00C53B2C" w:rsidRPr="00572047" w:rsidRDefault="00C53B2C" w:rsidP="000624B5">
            <w:pPr>
              <w:pStyle w:val="Lgendesigne"/>
              <w:rPr>
                <w:szCs w:val="24"/>
              </w:rPr>
            </w:pPr>
            <w:r>
              <w:tab/>
              <w:t>***I</w:t>
            </w:r>
            <w:r>
              <w:tab/>
              <w:t>Řádný legislativní postup (první čtení)</w:t>
            </w:r>
          </w:p>
          <w:p w:rsidR="00C53B2C" w:rsidRPr="00572047" w:rsidRDefault="00C53B2C" w:rsidP="000624B5">
            <w:pPr>
              <w:pStyle w:val="Lgendesigne"/>
              <w:rPr>
                <w:szCs w:val="24"/>
              </w:rPr>
            </w:pPr>
            <w:r>
              <w:tab/>
              <w:t>***II</w:t>
            </w:r>
            <w:r>
              <w:tab/>
              <w:t>Řádný legislativní postup (druhé čtení)</w:t>
            </w:r>
          </w:p>
          <w:p w:rsidR="00C53B2C" w:rsidRPr="00572047" w:rsidRDefault="00C53B2C" w:rsidP="000624B5">
            <w:pPr>
              <w:pStyle w:val="Lgendesigne"/>
              <w:rPr>
                <w:szCs w:val="24"/>
              </w:rPr>
            </w:pPr>
            <w:r>
              <w:tab/>
              <w:t>***III</w:t>
            </w:r>
            <w:r>
              <w:tab/>
              <w:t>Řádný legislativní postup (třetí čtení)</w:t>
            </w:r>
            <w:r>
              <w:br/>
            </w:r>
          </w:p>
          <w:p w:rsidR="00C53B2C" w:rsidRPr="00572047" w:rsidRDefault="00C53B2C" w:rsidP="000624B5">
            <w:pPr>
              <w:pStyle w:val="Lgendestandard"/>
              <w:rPr>
                <w:szCs w:val="24"/>
              </w:rPr>
            </w:pPr>
            <w:r>
              <w:t>(Druh postupu závisí na právním základu navrženém</w:t>
            </w:r>
            <w:r w:rsidR="00D95667">
              <w:t xml:space="preserve"> v </w:t>
            </w:r>
            <w:r>
              <w:t>návrhu aktu.)</w:t>
            </w:r>
          </w:p>
          <w:p w:rsidR="00C53B2C" w:rsidRPr="00572047" w:rsidRDefault="00C53B2C" w:rsidP="000624B5">
            <w:pPr>
              <w:pStyle w:val="Lgendestandard"/>
              <w:rPr>
                <w:szCs w:val="24"/>
              </w:rPr>
            </w:pPr>
          </w:p>
        </w:tc>
      </w:tr>
    </w:tbl>
    <w:p w:rsidR="00BD5920" w:rsidRPr="008E4F12" w:rsidRDefault="00BD5920" w:rsidP="00016E55"/>
    <w:p w:rsidR="00363B94" w:rsidRPr="008E4F12" w:rsidRDefault="00363B94" w:rsidP="00613F2E">
      <w:pPr>
        <w:widowControl/>
        <w:tabs>
          <w:tab w:val="center" w:pos="4677"/>
        </w:tabs>
      </w:pPr>
    </w:p>
    <w:p w:rsidR="00363B94" w:rsidRPr="008E4F12" w:rsidRDefault="00363B94">
      <w:pPr>
        <w:pStyle w:val="TOCHeading"/>
      </w:pPr>
      <w:r>
        <w:br w:type="page"/>
      </w:r>
      <w:r>
        <w:lastRenderedPageBreak/>
        <w:t>OBSAH</w:t>
      </w:r>
    </w:p>
    <w:p w:rsidR="00363B94" w:rsidRPr="008E4F12" w:rsidRDefault="00C53B2C">
      <w:pPr>
        <w:pStyle w:val="TOCPage"/>
      </w:pPr>
      <w:r>
        <w:t>Strana</w:t>
      </w:r>
    </w:p>
    <w:p w:rsidR="00D95667" w:rsidRDefault="00EF48F2">
      <w:pPr>
        <w:pStyle w:val="TOC1"/>
        <w:tabs>
          <w:tab w:val="right" w:leader="dot" w:pos="9060"/>
        </w:tabs>
        <w:rPr>
          <w:rFonts w:asciiTheme="minorHAnsi" w:eastAsiaTheme="minorEastAsia" w:hAnsiTheme="minorHAnsi" w:cstheme="minorBidi"/>
          <w:noProof/>
          <w:sz w:val="22"/>
          <w:szCs w:val="22"/>
          <w:lang w:val="en-GB"/>
        </w:rPr>
      </w:pPr>
      <w:r w:rsidRPr="008E4F12">
        <w:fldChar w:fldCharType="begin"/>
      </w:r>
      <w:r w:rsidRPr="008E4F12">
        <w:instrText xml:space="preserve"> TOC \t "PageHeading</w:instrText>
      </w:r>
      <w:r w:rsidR="00D95667">
        <w:instrText>;</w:instrText>
      </w:r>
      <w:r w:rsidRPr="008E4F12">
        <w:instrText xml:space="preserve">1" </w:instrText>
      </w:r>
      <w:r w:rsidRPr="008E4F12">
        <w:fldChar w:fldCharType="separate"/>
      </w:r>
      <w:r w:rsidR="00D95667">
        <w:rPr>
          <w:noProof/>
        </w:rPr>
        <w:t>NÁVRH LEGISLATIVNÍHO USNESENÍ EVROPSKÉHO PARLAMENTU</w:t>
      </w:r>
      <w:r w:rsidR="00D95667">
        <w:rPr>
          <w:noProof/>
        </w:rPr>
        <w:tab/>
      </w:r>
      <w:r w:rsidR="00D95667">
        <w:rPr>
          <w:noProof/>
        </w:rPr>
        <w:fldChar w:fldCharType="begin"/>
      </w:r>
      <w:r w:rsidR="00D95667">
        <w:rPr>
          <w:noProof/>
        </w:rPr>
        <w:instrText xml:space="preserve"> PAGEREF _Toc160010605 \h </w:instrText>
      </w:r>
      <w:r w:rsidR="00D95667">
        <w:rPr>
          <w:noProof/>
        </w:rPr>
      </w:r>
      <w:r w:rsidR="00D95667">
        <w:rPr>
          <w:noProof/>
        </w:rPr>
        <w:fldChar w:fldCharType="separate"/>
      </w:r>
      <w:r w:rsidR="00D95667">
        <w:rPr>
          <w:noProof/>
        </w:rPr>
        <w:t>5</w:t>
      </w:r>
      <w:r w:rsidR="00D95667">
        <w:rPr>
          <w:noProof/>
        </w:rPr>
        <w:fldChar w:fldCharType="end"/>
      </w:r>
    </w:p>
    <w:p w:rsidR="00D95667" w:rsidRDefault="00D95667">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_Toc160010606 \h </w:instrText>
      </w:r>
      <w:r>
        <w:rPr>
          <w:noProof/>
        </w:rPr>
      </w:r>
      <w:r>
        <w:rPr>
          <w:noProof/>
        </w:rPr>
        <w:fldChar w:fldCharType="separate"/>
      </w:r>
      <w:r>
        <w:rPr>
          <w:noProof/>
        </w:rPr>
        <w:t>6</w:t>
      </w:r>
      <w:r>
        <w:rPr>
          <w:noProof/>
        </w:rPr>
        <w:fldChar w:fldCharType="end"/>
      </w:r>
    </w:p>
    <w:p w:rsidR="004E1650" w:rsidRPr="008E4F12" w:rsidRDefault="00EF48F2" w:rsidP="00F04010">
      <w:r w:rsidRPr="008E4F12">
        <w:fldChar w:fldCharType="end"/>
      </w:r>
    </w:p>
    <w:p w:rsidR="00363B94" w:rsidRPr="008E4F12" w:rsidRDefault="00363B94" w:rsidP="0006167F">
      <w:pPr>
        <w:pStyle w:val="PageHeading"/>
      </w:pPr>
      <w:r>
        <w:br w:type="page"/>
      </w:r>
      <w:r>
        <w:lastRenderedPageBreak/>
        <w:br w:type="page"/>
      </w:r>
      <w:bookmarkStart w:id="1" w:name="_Toc160010605"/>
      <w:r>
        <w:lastRenderedPageBreak/>
        <w:t>NÁVRH LEGISLATIVNÍHO USNESENÍ EVROPSKÉHO PARLAMENTU</w:t>
      </w:r>
      <w:bookmarkEnd w:id="1"/>
    </w:p>
    <w:p w:rsidR="00363B94" w:rsidRPr="008E4F12" w:rsidRDefault="00BD3084">
      <w:pPr>
        <w:pStyle w:val="NormalBold"/>
      </w:pPr>
      <w:r>
        <w:t>k návrhu rozhodnutí Rady</w:t>
      </w:r>
      <w:r w:rsidR="00D95667">
        <w:t xml:space="preserve"> o </w:t>
      </w:r>
      <w:r>
        <w:t>uzavření, jménem Unie, Dohody mezi Evropskou unií</w:t>
      </w:r>
      <w:r w:rsidR="00D95667">
        <w:t xml:space="preserve"> a </w:t>
      </w:r>
      <w:r>
        <w:t>Islandem</w:t>
      </w:r>
      <w:r w:rsidR="00D95667">
        <w:t xml:space="preserve"> o </w:t>
      </w:r>
      <w:r>
        <w:t>doplňkových pravidlech týkajících se Nástroje pro finanční podporu správy hranic</w:t>
      </w:r>
      <w:r w:rsidR="00D95667">
        <w:t xml:space="preserve"> a </w:t>
      </w:r>
      <w:r>
        <w:t>vízové politiky jako součásti Fondu pro integrovanou správu hranic na období 2021 - 2027</w:t>
      </w:r>
    </w:p>
    <w:p w:rsidR="00363B94" w:rsidRPr="008E4F12" w:rsidRDefault="00BD3084">
      <w:pPr>
        <w:pStyle w:val="NormalBold12a"/>
      </w:pPr>
      <w:r>
        <w:t>(12125/2023 – C9</w:t>
      </w:r>
      <w:r>
        <w:noBreakHyphen/>
        <w:t>0004/2024 – 2023/0231(NLE))</w:t>
      </w:r>
    </w:p>
    <w:p w:rsidR="00363B94" w:rsidRPr="008E4F12" w:rsidRDefault="00BD3084" w:rsidP="00893FBD">
      <w:pPr>
        <w:pStyle w:val="NormalBold"/>
      </w:pPr>
      <w:r>
        <w:t>(Souhlas)</w:t>
      </w:r>
    </w:p>
    <w:p w:rsidR="00363B94" w:rsidRPr="008E4F12" w:rsidRDefault="00BD3084">
      <w:pPr>
        <w:pStyle w:val="EPComma"/>
      </w:pPr>
      <w:r>
        <w:rPr>
          <w:i/>
        </w:rPr>
        <w:t>Evropský parlament</w:t>
      </w:r>
      <w:r>
        <w:t>,</w:t>
      </w:r>
    </w:p>
    <w:p w:rsidR="00BF7F55" w:rsidRPr="008E4F12" w:rsidRDefault="00BF7F55" w:rsidP="00BF7F55">
      <w:pPr>
        <w:pStyle w:val="NormalHanging12a"/>
      </w:pPr>
      <w:r>
        <w:t>–</w:t>
      </w:r>
      <w:r>
        <w:tab/>
        <w:t>s ohledem na návrh rozhodnutí Rady (12125/2023),</w:t>
      </w:r>
    </w:p>
    <w:p w:rsidR="00363B94" w:rsidRPr="008E4F12" w:rsidRDefault="00363B94">
      <w:pPr>
        <w:pStyle w:val="NormalHanging12a"/>
      </w:pPr>
      <w:r>
        <w:t>–</w:t>
      </w:r>
      <w:r>
        <w:tab/>
        <w:t>s ohledem na návrh Dohody mezi Evropskou unií</w:t>
      </w:r>
      <w:r w:rsidR="00D95667">
        <w:t xml:space="preserve"> a </w:t>
      </w:r>
      <w:r>
        <w:t>Islandem</w:t>
      </w:r>
      <w:r w:rsidR="00D95667">
        <w:t xml:space="preserve"> o </w:t>
      </w:r>
      <w:r>
        <w:t>doplňkových pravidlech týkajících se Nástroje pro finanční podporu správy hranic</w:t>
      </w:r>
      <w:r w:rsidR="00D95667">
        <w:t xml:space="preserve"> a </w:t>
      </w:r>
      <w:r>
        <w:t>vízové politiky jako součásti Fondu pro integrovanou správu hranic na období 2021 až 2027 (12124/2023),</w:t>
      </w:r>
    </w:p>
    <w:p w:rsidR="00363B94" w:rsidRPr="008E4F12" w:rsidRDefault="005F5D6C">
      <w:pPr>
        <w:pStyle w:val="NormalHanging12a"/>
      </w:pPr>
      <w:r>
        <w:t>–</w:t>
      </w:r>
      <w:r>
        <w:tab/>
        <w:t>s ohledem na žádost</w:t>
      </w:r>
      <w:r w:rsidR="00D95667">
        <w:t xml:space="preserve"> o </w:t>
      </w:r>
      <w:r>
        <w:t>udělení souhlasu, kterou předložila Rada</w:t>
      </w:r>
      <w:r w:rsidR="00D95667">
        <w:t xml:space="preserve"> v </w:t>
      </w:r>
      <w:r>
        <w:t>souladu</w:t>
      </w:r>
      <w:r w:rsidR="00D95667">
        <w:t xml:space="preserve"> s </w:t>
      </w:r>
      <w:r>
        <w:t>čl. 77 odst. 2, čl. 218 odst. 6 druhým pododstavcem písm. a)</w:t>
      </w:r>
      <w:r w:rsidR="00D95667">
        <w:t xml:space="preserve"> a </w:t>
      </w:r>
      <w:r>
        <w:t>čl. 218 odst. 7 Smlouvy</w:t>
      </w:r>
      <w:r w:rsidR="00D95667">
        <w:t xml:space="preserve"> o </w:t>
      </w:r>
      <w:r>
        <w:t>fungování Evropské unie (C9</w:t>
      </w:r>
      <w:r>
        <w:noBreakHyphen/>
        <w:t>0004/2024),</w:t>
      </w:r>
    </w:p>
    <w:p w:rsidR="00363B94" w:rsidRPr="008E4F12" w:rsidRDefault="00363B94">
      <w:pPr>
        <w:pStyle w:val="NormalHanging12a"/>
      </w:pPr>
      <w:r>
        <w:t>–</w:t>
      </w:r>
      <w:r>
        <w:tab/>
        <w:t>s ohledem na čl. 105 odst. 1</w:t>
      </w:r>
      <w:r w:rsidR="00D95667">
        <w:t xml:space="preserve"> a </w:t>
      </w:r>
      <w:r>
        <w:t>4</w:t>
      </w:r>
      <w:r w:rsidR="00D95667">
        <w:t xml:space="preserve"> a </w:t>
      </w:r>
      <w:r>
        <w:t>čl. 114 odst. 7 jednacího řádu,</w:t>
      </w:r>
    </w:p>
    <w:p w:rsidR="00363B94" w:rsidRPr="008E4F12" w:rsidRDefault="00363B94">
      <w:pPr>
        <w:pStyle w:val="NormalHanging12a"/>
      </w:pPr>
      <w:r>
        <w:t>–</w:t>
      </w:r>
      <w:r>
        <w:tab/>
        <w:t>s ohledem na doporučení Výboru pro občanské svobody, spravedlnost</w:t>
      </w:r>
      <w:r w:rsidR="00D95667">
        <w:t xml:space="preserve"> a </w:t>
      </w:r>
      <w:r>
        <w:t>vnitřní věci (A9</w:t>
      </w:r>
      <w:r>
        <w:noBreakHyphen/>
        <w:t>0000/2024),</w:t>
      </w:r>
    </w:p>
    <w:p w:rsidR="00363B94" w:rsidRPr="008E4F12" w:rsidRDefault="00363B94">
      <w:pPr>
        <w:pStyle w:val="NormalHanging12a"/>
      </w:pPr>
      <w:r>
        <w:t>1.</w:t>
      </w:r>
      <w:r>
        <w:tab/>
        <w:t>uděluje souhlas</w:t>
      </w:r>
      <w:r w:rsidR="00D95667">
        <w:t xml:space="preserve"> s </w:t>
      </w:r>
      <w:r>
        <w:t>uzavřením dohody;</w:t>
      </w:r>
    </w:p>
    <w:p w:rsidR="001D02E3" w:rsidRPr="008E4F12" w:rsidRDefault="001D02E3">
      <w:pPr>
        <w:pStyle w:val="NormalHanging12a"/>
      </w:pPr>
      <w:r>
        <w:t>2.</w:t>
      </w:r>
      <w:r>
        <w:tab/>
        <w:t>pověřuje svou předsedkyni, aby předala postoj Parlamentu Radě, Komisi, jakož</w:t>
      </w:r>
      <w:r w:rsidR="00D95667">
        <w:t xml:space="preserve"> i </w:t>
      </w:r>
      <w:r>
        <w:t>vládám</w:t>
      </w:r>
      <w:r w:rsidR="00D95667">
        <w:t xml:space="preserve"> a </w:t>
      </w:r>
      <w:r>
        <w:t>parlamentům členských států</w:t>
      </w:r>
      <w:r w:rsidR="00D95667">
        <w:t xml:space="preserve"> a </w:t>
      </w:r>
      <w:r>
        <w:t>Islandu.</w:t>
      </w:r>
    </w:p>
    <w:p w:rsidR="002430B9" w:rsidRPr="008E4F12" w:rsidRDefault="002430B9" w:rsidP="00822206">
      <w:pPr>
        <w:sectPr w:rsidR="002430B9" w:rsidRPr="008E4F12" w:rsidSect="000671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8E4F12" w:rsidRDefault="00C53B2C" w:rsidP="002430B9">
      <w:pPr>
        <w:pStyle w:val="PageHeading"/>
      </w:pPr>
      <w:bookmarkStart w:id="2" w:name="_Toc160010606"/>
      <w:r>
        <w:lastRenderedPageBreak/>
        <w:t>VYSVĚTLUJÍCÍ PROHLÁŠENÍ</w:t>
      </w:r>
      <w:bookmarkEnd w:id="2"/>
    </w:p>
    <w:p w:rsidR="009D4811" w:rsidRPr="008E4F12" w:rsidRDefault="009D4811" w:rsidP="009D4811">
      <w:pPr>
        <w:jc w:val="both"/>
        <w:rPr>
          <w:sz w:val="22"/>
          <w:szCs w:val="22"/>
        </w:rPr>
      </w:pPr>
      <w:r>
        <w:rPr>
          <w:b/>
        </w:rPr>
        <w:t>a. Souvislosti</w:t>
      </w:r>
      <w:r>
        <w:rPr>
          <w:sz w:val="22"/>
        </w:rPr>
        <w:t xml:space="preserve"> </w:t>
      </w:r>
    </w:p>
    <w:p w:rsidR="009D4811" w:rsidRPr="008E4F12" w:rsidRDefault="009D4811" w:rsidP="009D4811">
      <w:pPr>
        <w:jc w:val="both"/>
      </w:pPr>
    </w:p>
    <w:p w:rsidR="009D4811" w:rsidRPr="008E4F12" w:rsidRDefault="009D4811" w:rsidP="009636AF">
      <w:pPr>
        <w:spacing w:after="240"/>
        <w:jc w:val="both"/>
        <w:rPr>
          <w:noProof/>
        </w:rPr>
      </w:pPr>
      <w:r>
        <w:t>Dne 7. července 2021 bylo přijato nařízení Evropského parlamentu</w:t>
      </w:r>
      <w:r w:rsidR="00D95667">
        <w:t xml:space="preserve"> a </w:t>
      </w:r>
      <w:r>
        <w:t>Rady (EU) 2021/1148, kterým byl zřízen Nástroj pro finanční podporu správy hranic</w:t>
      </w:r>
      <w:r w:rsidR="00D95667">
        <w:t xml:space="preserve"> a </w:t>
      </w:r>
      <w:r>
        <w:t>vízové politiky na období 2021–2027 (nařízení</w:t>
      </w:r>
      <w:r w:rsidR="00D95667">
        <w:t xml:space="preserve"> o </w:t>
      </w:r>
      <w:r>
        <w:t>BMVI).</w:t>
      </w:r>
    </w:p>
    <w:p w:rsidR="009D4811" w:rsidRPr="008E4F12" w:rsidRDefault="009D4811" w:rsidP="009636AF">
      <w:pPr>
        <w:spacing w:after="240"/>
        <w:jc w:val="both"/>
        <w:rPr>
          <w:noProof/>
        </w:rPr>
      </w:pPr>
      <w:r>
        <w:t>Účelem nařízení</w:t>
      </w:r>
      <w:r w:rsidR="00D95667">
        <w:t xml:space="preserve"> o </w:t>
      </w:r>
      <w:r>
        <w:t>BMVI je vyjádřit prostřednictvím financování pomoci solidaritu těm (členským) státům, které uplatňují ustanovení schengenského acquis na vnějších hranicích. Nařízení rozvíjí ta ustanovení schengenského acquis, která se vztahují na země přidružené</w:t>
      </w:r>
      <w:r w:rsidR="00D95667">
        <w:t xml:space="preserve"> k </w:t>
      </w:r>
      <w:r>
        <w:t>provádění, uplatňování</w:t>
      </w:r>
      <w:r w:rsidR="00D95667">
        <w:t xml:space="preserve"> a </w:t>
      </w:r>
      <w:r>
        <w:t>dalšímu rozvoji schengenského acquis (dále jen „země přidružené</w:t>
      </w:r>
      <w:r w:rsidR="00D95667">
        <w:t xml:space="preserve"> k </w:t>
      </w:r>
      <w:r>
        <w:t>Schengenu“ nebo „přidružené země“).</w:t>
      </w:r>
    </w:p>
    <w:p w:rsidR="009D4811" w:rsidRPr="008E4F12" w:rsidRDefault="009D4811" w:rsidP="009636AF">
      <w:pPr>
        <w:spacing w:after="240"/>
        <w:jc w:val="both"/>
        <w:rPr>
          <w:noProof/>
        </w:rPr>
      </w:pPr>
      <w:r>
        <w:t>V čl. 7 odst. 6 nařízení</w:t>
      </w:r>
      <w:r w:rsidR="00D95667">
        <w:t xml:space="preserve"> o </w:t>
      </w:r>
      <w:r>
        <w:t>BMVI se stanoví, že</w:t>
      </w:r>
      <w:r w:rsidR="00D95667">
        <w:t xml:space="preserve"> v </w:t>
      </w:r>
      <w:r>
        <w:t>souladu</w:t>
      </w:r>
      <w:r w:rsidR="00D95667">
        <w:t xml:space="preserve"> s </w:t>
      </w:r>
      <w:r>
        <w:t>příslušnými ustanoveními jednotlivých dohod</w:t>
      </w:r>
      <w:r w:rsidR="00D95667">
        <w:t xml:space="preserve"> o </w:t>
      </w:r>
      <w:r>
        <w:t>přidružení by měla být vypracována „ujednání“, která určí povahu</w:t>
      </w:r>
      <w:r w:rsidR="00D95667">
        <w:t xml:space="preserve"> a </w:t>
      </w:r>
      <w:r>
        <w:t>způsoby účasti zemí přidružených</w:t>
      </w:r>
      <w:r w:rsidR="00D95667">
        <w:t xml:space="preserve"> k </w:t>
      </w:r>
      <w:r>
        <w:t>provádění, uplatňování</w:t>
      </w:r>
      <w:r w:rsidR="00D95667">
        <w:t xml:space="preserve"> a </w:t>
      </w:r>
      <w:r>
        <w:t>rozvoji schengenského acquis na Nástroji pro správu hranic</w:t>
      </w:r>
      <w:r w:rsidR="00D95667">
        <w:t xml:space="preserve"> a </w:t>
      </w:r>
      <w:r>
        <w:t>vízové politiky. Tato ujednání mají podobu dohod uzavřených Unií se zeměmi přidruženými</w:t>
      </w:r>
      <w:r w:rsidR="00D95667">
        <w:t xml:space="preserve"> k </w:t>
      </w:r>
      <w:r>
        <w:t>Schengenu</w:t>
      </w:r>
      <w:r w:rsidR="00D95667">
        <w:t xml:space="preserve"> v </w:t>
      </w:r>
      <w:r>
        <w:t>souladu</w:t>
      </w:r>
      <w:r w:rsidR="00D95667">
        <w:t xml:space="preserve"> s </w:t>
      </w:r>
      <w:r>
        <w:t xml:space="preserve">článkem 216 SFEU. </w:t>
      </w:r>
    </w:p>
    <w:p w:rsidR="009D4811" w:rsidRPr="008E4F12" w:rsidRDefault="009D4811" w:rsidP="009636AF">
      <w:pPr>
        <w:spacing w:after="240"/>
        <w:jc w:val="both"/>
        <w:rPr>
          <w:sz w:val="22"/>
          <w:szCs w:val="22"/>
        </w:rPr>
      </w:pPr>
      <w:r>
        <w:t>Island dne 1. září 2021 oznámil své rozhodnutí přijmout obsah nařízení</w:t>
      </w:r>
      <w:r w:rsidR="00D95667">
        <w:t xml:space="preserve"> o </w:t>
      </w:r>
      <w:r>
        <w:t>BMVI</w:t>
      </w:r>
      <w:r w:rsidR="00D95667">
        <w:t xml:space="preserve"> a </w:t>
      </w:r>
      <w:r>
        <w:t>provést jej ve svém právním řádu.</w:t>
      </w:r>
    </w:p>
    <w:p w:rsidR="009D4811" w:rsidRPr="008E4F12" w:rsidRDefault="009D4811" w:rsidP="009636AF">
      <w:pPr>
        <w:spacing w:after="240"/>
        <w:jc w:val="both"/>
      </w:pPr>
      <w:r>
        <w:t>Dne 21. února 2022 zmocnila Rada Komisi</w:t>
      </w:r>
      <w:r w:rsidR="00D95667">
        <w:t xml:space="preserve"> k </w:t>
      </w:r>
      <w:r>
        <w:t>zahájení jednání</w:t>
      </w:r>
      <w:r w:rsidRPr="008E4F12">
        <w:rPr>
          <w:rStyle w:val="FootnoteReference"/>
          <w:b w:val="0"/>
        </w:rPr>
        <w:footnoteReference w:id="1"/>
      </w:r>
      <w:r w:rsidR="00D95667">
        <w:t xml:space="preserve"> s </w:t>
      </w:r>
      <w:r>
        <w:t>Islandem, Norským královstvím, Švýcarskou konfederací</w:t>
      </w:r>
      <w:r w:rsidR="00D95667">
        <w:t xml:space="preserve"> a </w:t>
      </w:r>
      <w:r>
        <w:t>Lichtenštejnským knížectvím</w:t>
      </w:r>
      <w:r w:rsidR="00D95667">
        <w:t xml:space="preserve"> o </w:t>
      </w:r>
      <w:r>
        <w:t xml:space="preserve">ujednáních týkajících se </w:t>
      </w:r>
      <w:bookmarkStart w:id="3" w:name="_Hlk132892775"/>
      <w:r>
        <w:t>finančních příspěvků těchto zemí</w:t>
      </w:r>
      <w:r w:rsidR="00D95667">
        <w:t xml:space="preserve"> a </w:t>
      </w:r>
      <w:r>
        <w:t>doplňkových pravidel nezbytných pro jejich účast</w:t>
      </w:r>
      <w:bookmarkEnd w:id="3"/>
      <w:r w:rsidR="00D95667">
        <w:t xml:space="preserve"> v </w:t>
      </w:r>
      <w:r>
        <w:t>Nástroji pro finanční podporu správy hranic</w:t>
      </w:r>
      <w:r w:rsidR="00D95667">
        <w:t xml:space="preserve"> a </w:t>
      </w:r>
      <w:r>
        <w:t>vízové politiky na období 2021–2027, včetně ustanovení zajišťujících ochranu finančních zájmů Unie</w:t>
      </w:r>
      <w:r w:rsidR="00D95667">
        <w:t xml:space="preserve"> a </w:t>
      </w:r>
      <w:r>
        <w:t>pravomoci auditu Účetního dvora, která mají být uzavřena podle nařízení Evropského parlamentu</w:t>
      </w:r>
      <w:r w:rsidR="00D95667">
        <w:t xml:space="preserve"> a </w:t>
      </w:r>
      <w:r>
        <w:t>Rady (EU) 2021/1148</w:t>
      </w:r>
      <w:r w:rsidRPr="008E4F12">
        <w:rPr>
          <w:rStyle w:val="FootnoteReference"/>
          <w:b w:val="0"/>
        </w:rPr>
        <w:footnoteReference w:id="2"/>
      </w:r>
      <w:r>
        <w:t>. Jednání</w:t>
      </w:r>
      <w:r w:rsidR="00D95667">
        <w:t xml:space="preserve"> s </w:t>
      </w:r>
      <w:r>
        <w:t>Islandem byla úspěšně uzavřena Komisí parafováním dohody dne 14. února 2023.</w:t>
      </w:r>
    </w:p>
    <w:p w:rsidR="009D4811" w:rsidRPr="008E4F12" w:rsidRDefault="009D4811" w:rsidP="009636AF">
      <w:pPr>
        <w:spacing w:after="240"/>
        <w:jc w:val="both"/>
      </w:pPr>
      <w:r>
        <w:t>Dne 13. července 2014 předložila Komise Radě návrh rozhodnutí Rady</w:t>
      </w:r>
      <w:r w:rsidR="00D95667">
        <w:t xml:space="preserve"> o </w:t>
      </w:r>
      <w:r>
        <w:t>uzavření, jménem Evropské unie, Dohody mezi Evropskou unií</w:t>
      </w:r>
      <w:r w:rsidR="00D95667">
        <w:t xml:space="preserve"> a </w:t>
      </w:r>
      <w:r>
        <w:t>Islandem</w:t>
      </w:r>
      <w:r w:rsidR="00D95667">
        <w:t xml:space="preserve"> o </w:t>
      </w:r>
      <w:r>
        <w:t>doplňkových pravidlech týkajících se Nástroje pro finanční podporu správy hranic</w:t>
      </w:r>
      <w:r w:rsidR="00D95667">
        <w:t xml:space="preserve"> a </w:t>
      </w:r>
      <w:r>
        <w:t>vízové politiky jako součásti Fondu pro integrovanou správu hranic, na období 2021–2027.</w:t>
      </w:r>
    </w:p>
    <w:p w:rsidR="009D4811" w:rsidRPr="008E4F12" w:rsidRDefault="009D4811" w:rsidP="009636AF">
      <w:pPr>
        <w:spacing w:after="240"/>
        <w:jc w:val="both"/>
      </w:pPr>
      <w:r>
        <w:t>Dne 28. září 2023 Rada přijala rozhodnutí Rady</w:t>
      </w:r>
      <w:r w:rsidR="00D95667">
        <w:t xml:space="preserve"> a </w:t>
      </w:r>
      <w:r>
        <w:t>téhož dne požádala Evropský parlament</w:t>
      </w:r>
      <w:r w:rsidR="00D95667">
        <w:t xml:space="preserve"> o </w:t>
      </w:r>
      <w:r>
        <w:t>souhlas</w:t>
      </w:r>
      <w:r w:rsidR="00D95667">
        <w:t xml:space="preserve"> s </w:t>
      </w:r>
      <w:r>
        <w:t>návrhem rozhodnutí Rady</w:t>
      </w:r>
      <w:r w:rsidR="00D95667">
        <w:t xml:space="preserve"> o </w:t>
      </w:r>
      <w:r>
        <w:t xml:space="preserve">uzavření výše uvedené dohody. Dohoda byla podepsána </w:t>
      </w:r>
      <w:r>
        <w:lastRenderedPageBreak/>
        <w:t>dne 20. prosince 2023</w:t>
      </w:r>
      <w:r w:rsidR="00D95667">
        <w:t xml:space="preserve"> v </w:t>
      </w:r>
      <w:r>
        <w:t>Bruselu.</w:t>
      </w:r>
    </w:p>
    <w:p w:rsidR="009D4811" w:rsidRPr="008E4F12" w:rsidRDefault="009D4811" w:rsidP="009636AF">
      <w:pPr>
        <w:spacing w:after="240"/>
        <w:jc w:val="both"/>
      </w:pPr>
      <w:r>
        <w:t>Dne 21. prosince 2023 Rada požádala Evropský parlament</w:t>
      </w:r>
      <w:r w:rsidR="00D95667">
        <w:t xml:space="preserve"> o </w:t>
      </w:r>
      <w:r>
        <w:t>souhlas</w:t>
      </w:r>
      <w:r w:rsidR="00D95667">
        <w:t xml:space="preserve"> s </w:t>
      </w:r>
      <w:r>
        <w:t>návrhem rozhodnutí Rady</w:t>
      </w:r>
      <w:r w:rsidR="00D95667">
        <w:t xml:space="preserve"> o </w:t>
      </w:r>
      <w:r>
        <w:t>uzavření výše uvedené dohody.</w:t>
      </w:r>
    </w:p>
    <w:p w:rsidR="009D4811" w:rsidRPr="008E4F12" w:rsidRDefault="009D4811" w:rsidP="009D4811">
      <w:pPr>
        <w:jc w:val="both"/>
        <w:rPr>
          <w:sz w:val="22"/>
          <w:szCs w:val="22"/>
        </w:rPr>
      </w:pPr>
    </w:p>
    <w:p w:rsidR="009D4811" w:rsidRPr="008E4F12" w:rsidRDefault="009D4811" w:rsidP="009D4811">
      <w:pPr>
        <w:jc w:val="both"/>
        <w:rPr>
          <w:sz w:val="22"/>
          <w:szCs w:val="22"/>
        </w:rPr>
      </w:pPr>
    </w:p>
    <w:p w:rsidR="009D4811" w:rsidRPr="008E4F12" w:rsidRDefault="009D4811" w:rsidP="009D4811">
      <w:pPr>
        <w:jc w:val="both"/>
      </w:pPr>
      <w:r>
        <w:rPr>
          <w:b/>
        </w:rPr>
        <w:t>b. Postoj zpravodaje</w:t>
      </w:r>
    </w:p>
    <w:p w:rsidR="009D4811" w:rsidRPr="008E4F12" w:rsidRDefault="009D4811" w:rsidP="009D4811">
      <w:pPr>
        <w:jc w:val="both"/>
      </w:pPr>
    </w:p>
    <w:p w:rsidR="009D4811" w:rsidRPr="008E4F12" w:rsidRDefault="009D4811" w:rsidP="009636AF">
      <w:pPr>
        <w:spacing w:after="240"/>
        <w:jc w:val="both"/>
      </w:pPr>
      <w:r>
        <w:t>Nástroj pro finanční podporu správy hranic</w:t>
      </w:r>
      <w:r w:rsidR="00D95667">
        <w:t xml:space="preserve"> a </w:t>
      </w:r>
      <w:r>
        <w:t>vízové politiky, který je součástí Fondu pro integrovanou správu hranic, představuje zvláštní nástroj</w:t>
      </w:r>
      <w:r w:rsidR="00D95667">
        <w:t xml:space="preserve"> v </w:t>
      </w:r>
      <w:r>
        <w:t xml:space="preserve">kontextu schengenského </w:t>
      </w:r>
      <w:r>
        <w:rPr>
          <w:i/>
        </w:rPr>
        <w:t>acquis</w:t>
      </w:r>
      <w:r>
        <w:t xml:space="preserve"> určený</w:t>
      </w:r>
      <w:r w:rsidR="00D95667">
        <w:t xml:space="preserve"> k </w:t>
      </w:r>
      <w:r>
        <w:t>zajištění silné</w:t>
      </w:r>
      <w:r w:rsidR="00D95667">
        <w:t xml:space="preserve"> a </w:t>
      </w:r>
      <w:r>
        <w:t>účinné evropské integrované správy vnějších hranic při současném zajištění volného pohybu osob</w:t>
      </w:r>
      <w:r w:rsidR="00D95667">
        <w:t xml:space="preserve"> v </w:t>
      </w:r>
      <w:r>
        <w:t>plném souladu se závazky členských států</w:t>
      </w:r>
      <w:r w:rsidR="00D95667">
        <w:t xml:space="preserve"> a </w:t>
      </w:r>
      <w:r>
        <w:t>přidružených zemí</w:t>
      </w:r>
      <w:r w:rsidR="00D95667">
        <w:t xml:space="preserve"> v </w:t>
      </w:r>
      <w:r>
        <w:t>oblasti základních práv, jakož</w:t>
      </w:r>
      <w:r w:rsidR="00D95667">
        <w:t xml:space="preserve"> i k </w:t>
      </w:r>
      <w:r>
        <w:t>podpoře jednotného provádění</w:t>
      </w:r>
      <w:r w:rsidR="00D95667">
        <w:t xml:space="preserve"> a </w:t>
      </w:r>
      <w:r>
        <w:t>modernizace společné vízové politiky, čímž přispívá</w:t>
      </w:r>
      <w:r w:rsidR="00D95667">
        <w:t xml:space="preserve"> k </w:t>
      </w:r>
      <w:r>
        <w:t>zajištění vysoké úrovně bezpečnosti</w:t>
      </w:r>
      <w:r w:rsidR="00D95667">
        <w:t xml:space="preserve"> v </w:t>
      </w:r>
      <w:r>
        <w:t>členských státech</w:t>
      </w:r>
      <w:r w:rsidR="00D95667">
        <w:t xml:space="preserve"> a </w:t>
      </w:r>
      <w:r>
        <w:t>přidružených zemích.</w:t>
      </w:r>
    </w:p>
    <w:p w:rsidR="009D4811" w:rsidRPr="008E4F12" w:rsidRDefault="009D4811" w:rsidP="009636AF">
      <w:pPr>
        <w:spacing w:after="240"/>
        <w:jc w:val="both"/>
      </w:pPr>
      <w:r>
        <w:t>Podle poskytnuté dokumentace se Island nyní řídí pravidly stanovenými</w:t>
      </w:r>
      <w:r w:rsidR="00D95667">
        <w:t xml:space="preserve"> v </w:t>
      </w:r>
      <w:r>
        <w:t>nařízení, kterým se zřizuje Nástroj pro finanční podporu správy hranic</w:t>
      </w:r>
      <w:r w:rsidR="00D95667">
        <w:t xml:space="preserve"> a </w:t>
      </w:r>
      <w:r>
        <w:t>vízové politiky,</w:t>
      </w:r>
      <w:r w:rsidR="00D95667">
        <w:t xml:space="preserve"> a </w:t>
      </w:r>
      <w:r>
        <w:t>příslušnými články nařízení</w:t>
      </w:r>
      <w:r w:rsidR="00D95667">
        <w:t xml:space="preserve"> o </w:t>
      </w:r>
      <w:r>
        <w:t>společných ustanoveních</w:t>
      </w:r>
      <w:r w:rsidR="00D95667">
        <w:t xml:space="preserve"> a </w:t>
      </w:r>
      <w:r>
        <w:t xml:space="preserve">finančního nařízení podobně jako členské státy EU. </w:t>
      </w:r>
    </w:p>
    <w:p w:rsidR="009D4811" w:rsidRPr="008E4F12" w:rsidRDefault="009D4811" w:rsidP="009636AF">
      <w:pPr>
        <w:spacing w:after="240"/>
        <w:jc w:val="both"/>
      </w:pPr>
      <w:r>
        <w:t>Zpravodaj proto doporučuje udělit povolení</w:t>
      </w:r>
      <w:r w:rsidR="00D95667">
        <w:t xml:space="preserve"> k </w:t>
      </w:r>
      <w:r>
        <w:t>uzavření dohody, kterou se stanoví doplňková pravidla nezbytná pro účast Islandu na Nástroji pro finanční podporu správy hranic</w:t>
      </w:r>
      <w:r w:rsidR="00D95667">
        <w:t xml:space="preserve"> a </w:t>
      </w:r>
      <w:r>
        <w:t>vízové politiky jako součásti Fondu pro integrovanou správu hranic na programové období 2021–2027</w:t>
      </w:r>
      <w:r w:rsidR="00D95667">
        <w:t xml:space="preserve"> v </w:t>
      </w:r>
      <w:r>
        <w:t>souladu</w:t>
      </w:r>
      <w:r w:rsidR="00D95667">
        <w:t xml:space="preserve"> s </w:t>
      </w:r>
      <w:r>
        <w:t>čl. 7 odst. 6 nařízení (EU) 2021/1148 nařízení</w:t>
      </w:r>
      <w:r w:rsidR="00D95667">
        <w:t xml:space="preserve"> o </w:t>
      </w:r>
      <w:r>
        <w:t>BMVI.</w:t>
      </w:r>
    </w:p>
    <w:p w:rsidR="002430B9" w:rsidRPr="008E4F12" w:rsidRDefault="002430B9" w:rsidP="00723634">
      <w:pPr>
        <w:jc w:val="both"/>
      </w:pPr>
    </w:p>
    <w:p w:rsidR="002430B9" w:rsidRPr="008E4F12" w:rsidRDefault="002430B9" w:rsidP="00822206"/>
    <w:sectPr w:rsidR="002430B9" w:rsidRPr="008E4F12" w:rsidSect="002430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084" w:rsidRPr="008E4F12" w:rsidRDefault="00BD3084">
      <w:r w:rsidRPr="008E4F12">
        <w:separator/>
      </w:r>
    </w:p>
  </w:endnote>
  <w:endnote w:type="continuationSeparator" w:id="0">
    <w:p w:rsidR="00BD3084" w:rsidRPr="008E4F12" w:rsidRDefault="00BD3084">
      <w:r w:rsidRPr="008E4F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140" w:rsidRPr="008E4F12" w:rsidRDefault="00067140" w:rsidP="00067140">
    <w:pPr>
      <w:pStyle w:val="EPFooter"/>
    </w:pPr>
    <w:r w:rsidRPr="008E4F12">
      <w:t>PE</w:t>
    </w:r>
    <w:r w:rsidRPr="008E4F12">
      <w:rPr>
        <w:rStyle w:val="HideTWBExt"/>
      </w:rPr>
      <w:t>&lt;NoPE&gt;</w:t>
    </w:r>
    <w:r w:rsidRPr="008E4F12">
      <w:t>758.914</w:t>
    </w:r>
    <w:r w:rsidRPr="008E4F12">
      <w:rPr>
        <w:rStyle w:val="HideTWBExt"/>
      </w:rPr>
      <w:t>&lt;/NoPE&gt;&lt;Version&gt;</w:t>
    </w:r>
    <w:r w:rsidRPr="008E4F12">
      <w:t>v01-00</w:t>
    </w:r>
    <w:r w:rsidRPr="008E4F12">
      <w:rPr>
        <w:rStyle w:val="HideTWBExt"/>
      </w:rPr>
      <w:t>&lt;/Version&gt;</w:t>
    </w:r>
    <w:r w:rsidRPr="008E4F12">
      <w:tab/>
    </w:r>
    <w:r w:rsidRPr="008E4F12">
      <w:fldChar w:fldCharType="begin"/>
    </w:r>
    <w:r w:rsidRPr="008E4F12">
      <w:instrText xml:space="preserve"> PAGE  \* MERGEFORMAT </w:instrText>
    </w:r>
    <w:r w:rsidRPr="008E4F12">
      <w:fldChar w:fldCharType="separate"/>
    </w:r>
    <w:r w:rsidR="00D95667">
      <w:rPr>
        <w:noProof/>
      </w:rPr>
      <w:t>2</w:t>
    </w:r>
    <w:r w:rsidRPr="008E4F12">
      <w:fldChar w:fldCharType="end"/>
    </w:r>
    <w:r w:rsidRPr="008E4F12">
      <w:t>/</w:t>
    </w:r>
    <w:r w:rsidR="00D95667">
      <w:fldChar w:fldCharType="begin"/>
    </w:r>
    <w:r w:rsidR="00D95667">
      <w:instrText xml:space="preserve"> NUMPAGES  \* MERGEFORMAT </w:instrText>
    </w:r>
    <w:r w:rsidR="00D95667">
      <w:fldChar w:fldCharType="separate"/>
    </w:r>
    <w:r w:rsidR="00D95667">
      <w:rPr>
        <w:noProof/>
      </w:rPr>
      <w:t>7</w:t>
    </w:r>
    <w:r w:rsidR="00D95667">
      <w:rPr>
        <w:noProof/>
      </w:rPr>
      <w:fldChar w:fldCharType="end"/>
    </w:r>
    <w:r w:rsidRPr="008E4F12">
      <w:tab/>
    </w:r>
    <w:r w:rsidRPr="008E4F12">
      <w:rPr>
        <w:rStyle w:val="HideTWBExt"/>
      </w:rPr>
      <w:t>&lt;PathFdR&gt;</w:t>
    </w:r>
    <w:r w:rsidRPr="008E4F12">
      <w:t>PR\1296235CS.docx</w:t>
    </w:r>
    <w:r w:rsidRPr="008E4F12">
      <w:rPr>
        <w:rStyle w:val="HideTWBExt"/>
      </w:rPr>
      <w:t>&lt;/PathFdR&gt;</w:t>
    </w:r>
  </w:p>
  <w:p w:rsidR="0085501C" w:rsidRPr="008E4F12" w:rsidRDefault="00067140" w:rsidP="00067140">
    <w:pPr>
      <w:pStyle w:val="EPFooter2"/>
    </w:pPr>
    <w:r w:rsidRPr="008E4F12">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140" w:rsidRPr="008E4F12" w:rsidRDefault="00067140" w:rsidP="00067140">
    <w:pPr>
      <w:pStyle w:val="EPFooter"/>
    </w:pPr>
    <w:r w:rsidRPr="008E4F12">
      <w:rPr>
        <w:rStyle w:val="HideTWBExt"/>
      </w:rPr>
      <w:t>&lt;PathFdR&gt;</w:t>
    </w:r>
    <w:r w:rsidRPr="008E4F12">
      <w:t>PR\1296235CS.docx</w:t>
    </w:r>
    <w:r w:rsidRPr="008E4F12">
      <w:rPr>
        <w:rStyle w:val="HideTWBExt"/>
      </w:rPr>
      <w:t>&lt;/PathFdR&gt;</w:t>
    </w:r>
    <w:r w:rsidRPr="008E4F12">
      <w:tab/>
    </w:r>
    <w:r w:rsidRPr="008E4F12">
      <w:fldChar w:fldCharType="begin"/>
    </w:r>
    <w:r w:rsidRPr="008E4F12">
      <w:instrText xml:space="preserve"> PAGE  \* MERGEFORMAT </w:instrText>
    </w:r>
    <w:r w:rsidRPr="008E4F12">
      <w:fldChar w:fldCharType="separate"/>
    </w:r>
    <w:r w:rsidR="00D95667">
      <w:rPr>
        <w:noProof/>
      </w:rPr>
      <w:t>3</w:t>
    </w:r>
    <w:r w:rsidRPr="008E4F12">
      <w:fldChar w:fldCharType="end"/>
    </w:r>
    <w:r w:rsidRPr="008E4F12">
      <w:t>/</w:t>
    </w:r>
    <w:r w:rsidR="00D95667">
      <w:fldChar w:fldCharType="begin"/>
    </w:r>
    <w:r w:rsidR="00D95667">
      <w:instrText xml:space="preserve"> NUMPAGES  \* MERGEFORMAT </w:instrText>
    </w:r>
    <w:r w:rsidR="00D95667">
      <w:fldChar w:fldCharType="separate"/>
    </w:r>
    <w:r w:rsidR="00D95667">
      <w:rPr>
        <w:noProof/>
      </w:rPr>
      <w:t>7</w:t>
    </w:r>
    <w:r w:rsidR="00D95667">
      <w:rPr>
        <w:noProof/>
      </w:rPr>
      <w:fldChar w:fldCharType="end"/>
    </w:r>
    <w:r w:rsidRPr="008E4F12">
      <w:tab/>
      <w:t>PE</w:t>
    </w:r>
    <w:r w:rsidRPr="008E4F12">
      <w:rPr>
        <w:rStyle w:val="HideTWBExt"/>
      </w:rPr>
      <w:t>&lt;NoPE&gt;</w:t>
    </w:r>
    <w:r w:rsidRPr="008E4F12">
      <w:t>758.914</w:t>
    </w:r>
    <w:r w:rsidRPr="008E4F12">
      <w:rPr>
        <w:rStyle w:val="HideTWBExt"/>
      </w:rPr>
      <w:t>&lt;/NoPE&gt;&lt;Version&gt;</w:t>
    </w:r>
    <w:r w:rsidRPr="008E4F12">
      <w:t>v01-00</w:t>
    </w:r>
    <w:r w:rsidRPr="008E4F12">
      <w:rPr>
        <w:rStyle w:val="HideTWBExt"/>
      </w:rPr>
      <w:t>&lt;/Version&gt;</w:t>
    </w:r>
  </w:p>
  <w:p w:rsidR="0085501C" w:rsidRPr="008E4F12" w:rsidRDefault="00067140" w:rsidP="00067140">
    <w:pPr>
      <w:pStyle w:val="EPFooter2"/>
    </w:pPr>
    <w:r w:rsidRPr="008E4F12">
      <w:tab/>
    </w:r>
    <w:r w:rsidRPr="008E4F12">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140" w:rsidRPr="008E4F12" w:rsidRDefault="00067140" w:rsidP="00067140">
    <w:pPr>
      <w:pStyle w:val="EPFooter"/>
    </w:pPr>
    <w:r w:rsidRPr="008E4F12">
      <w:rPr>
        <w:rStyle w:val="HideTWBExt"/>
      </w:rPr>
      <w:t>&lt;PathFdR&gt;</w:t>
    </w:r>
    <w:r w:rsidRPr="008E4F12">
      <w:t>PR\1296235CS.docx</w:t>
    </w:r>
    <w:r w:rsidRPr="008E4F12">
      <w:rPr>
        <w:rStyle w:val="HideTWBExt"/>
      </w:rPr>
      <w:t>&lt;/PathFdR&gt;</w:t>
    </w:r>
    <w:r w:rsidRPr="008E4F12">
      <w:tab/>
    </w:r>
    <w:r w:rsidRPr="008E4F12">
      <w:tab/>
      <w:t>PE</w:t>
    </w:r>
    <w:r w:rsidRPr="008E4F12">
      <w:rPr>
        <w:rStyle w:val="HideTWBExt"/>
      </w:rPr>
      <w:t>&lt;NoPE&gt;</w:t>
    </w:r>
    <w:r w:rsidRPr="008E4F12">
      <w:t>758.914</w:t>
    </w:r>
    <w:r w:rsidRPr="008E4F12">
      <w:rPr>
        <w:rStyle w:val="HideTWBExt"/>
      </w:rPr>
      <w:t>&lt;/NoPE&gt;&lt;Version&gt;</w:t>
    </w:r>
    <w:r w:rsidRPr="008E4F12">
      <w:t>v01-00</w:t>
    </w:r>
    <w:r w:rsidRPr="008E4F12">
      <w:rPr>
        <w:rStyle w:val="HideTWBExt"/>
      </w:rPr>
      <w:t>&lt;/Version&gt;</w:t>
    </w:r>
  </w:p>
  <w:p w:rsidR="0085501C" w:rsidRPr="008E4F12" w:rsidRDefault="00067140" w:rsidP="00067140">
    <w:pPr>
      <w:pStyle w:val="EPFooter2"/>
    </w:pPr>
    <w:r w:rsidRPr="008E4F12">
      <w:t>CS</w:t>
    </w:r>
    <w:r w:rsidRPr="008E4F12">
      <w:tab/>
    </w:r>
    <w:r w:rsidRPr="008E4F12">
      <w:rPr>
        <w:b w:val="0"/>
        <w:i/>
        <w:color w:val="C0C0C0"/>
        <w:sz w:val="22"/>
      </w:rPr>
      <w:t>Jednotná v rozmanitosti</w:t>
    </w:r>
    <w:r w:rsidRPr="008E4F12">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084" w:rsidRPr="008E4F12" w:rsidRDefault="00BD3084">
      <w:r w:rsidRPr="008E4F12">
        <w:separator/>
      </w:r>
    </w:p>
  </w:footnote>
  <w:footnote w:type="continuationSeparator" w:id="0">
    <w:p w:rsidR="00BD3084" w:rsidRPr="008E4F12" w:rsidRDefault="00BD3084">
      <w:r w:rsidRPr="008E4F12">
        <w:continuationSeparator/>
      </w:r>
    </w:p>
  </w:footnote>
  <w:footnote w:id="1">
    <w:p w:rsidR="009D4811" w:rsidRPr="008E4F12" w:rsidRDefault="009D4811" w:rsidP="009D4811">
      <w:pPr>
        <w:pStyle w:val="FootnoteText"/>
        <w:jc w:val="both"/>
      </w:pPr>
      <w:r>
        <w:rPr>
          <w:rStyle w:val="FootnoteReference"/>
          <w:b w:val="0"/>
        </w:rPr>
        <w:footnoteRef/>
      </w:r>
      <w:r>
        <w:rPr>
          <w:b/>
        </w:rPr>
        <w:t xml:space="preserve"> </w:t>
      </w:r>
      <w:r>
        <w:tab/>
        <w:t>Rozhodnutí Rady (EU) 2022/442 ze dne 21. února 2022 o zmocnění k zahájení jednání s Islandem, Norským královstvím, Švýcarskou konfederací a Lichtenštejnským knížectvím za účelem uzavření dohod mezi Evropskou unií a těmito zeměmi o doplňkových pravidlech týkajících se Nástroje pro finanční podporu správy hranic a vízové politiky jako součásti Fondu pro integrovanou správu hranic (Úř. věst. L 90, 18.3.2022, s. 116).</w:t>
      </w:r>
    </w:p>
  </w:footnote>
  <w:footnote w:id="2">
    <w:p w:rsidR="009D4811" w:rsidRPr="008E4F12" w:rsidRDefault="009D4811" w:rsidP="009D4811">
      <w:pPr>
        <w:pStyle w:val="FootnoteText"/>
        <w:jc w:val="both"/>
      </w:pPr>
      <w:r>
        <w:rPr>
          <w:rStyle w:val="FootnoteReference"/>
          <w:b w:val="0"/>
        </w:rPr>
        <w:footnoteRef/>
      </w:r>
      <w:r>
        <w:rPr>
          <w:b/>
        </w:rPr>
        <w:t xml:space="preserve"> </w:t>
      </w:r>
      <w:r>
        <w:tab/>
        <w:t>Nařízení Evropského parlamentu a Rady (EU) 2021/1148 ze dne 7. července 2021, kterým se jako součást Fondu pro integrovanou správu hranic zřizuje Nástroj pro finanční podporu správy hranic a vízové politiky (Úř. věst. L 251, 15.7.2021, s.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B2C" w:rsidRDefault="00C53B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B2C" w:rsidRDefault="00C53B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B2C" w:rsidRDefault="00C53B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Malik Azmani"/>
    <w:docVar w:name="TXTLANGUE" w:val="CS"/>
    <w:docVar w:name="TXTLANGUEMIN" w:val="cs"/>
    <w:docVar w:name="TXTNRC" w:val="0004/2024"/>
    <w:docVar w:name="TXTNRCOUNC" w:val="12125/2023"/>
    <w:docVar w:name="TXTNRNLE" w:val="2023/0231"/>
    <w:docVar w:name="TXTNRPE" w:val="758.914"/>
    <w:docVar w:name="TXTPEorAP" w:val="PE"/>
    <w:docVar w:name="TXTROUTE" w:val="PR\1296235CS.docx"/>
    <w:docVar w:name="TXTTITLE" w:val="on the conclusion, on behalf of the Union, of the Agreement between the European Union and Iceland on supplementary rules in relation to the Instrument for Financial Support for Border Management and Visa Policy, as part of the Integrated Border Management Fund, for the period 2021 to 202"/>
    <w:docVar w:name="TXTVERSION" w:val="01-00"/>
  </w:docVars>
  <w:rsids>
    <w:rsidRoot w:val="00BD3084"/>
    <w:rsid w:val="00001D52"/>
    <w:rsid w:val="0000443F"/>
    <w:rsid w:val="000053E3"/>
    <w:rsid w:val="0006167F"/>
    <w:rsid w:val="00061EFE"/>
    <w:rsid w:val="00067140"/>
    <w:rsid w:val="00095D8B"/>
    <w:rsid w:val="000A2F73"/>
    <w:rsid w:val="000C123D"/>
    <w:rsid w:val="000D78AF"/>
    <w:rsid w:val="00180664"/>
    <w:rsid w:val="001874D8"/>
    <w:rsid w:val="001D02E3"/>
    <w:rsid w:val="001D69EA"/>
    <w:rsid w:val="001F7BBE"/>
    <w:rsid w:val="0021049A"/>
    <w:rsid w:val="0022685A"/>
    <w:rsid w:val="002430B9"/>
    <w:rsid w:val="002E2E20"/>
    <w:rsid w:val="002F5A83"/>
    <w:rsid w:val="00305876"/>
    <w:rsid w:val="003072BE"/>
    <w:rsid w:val="00337C92"/>
    <w:rsid w:val="00363B94"/>
    <w:rsid w:val="00374342"/>
    <w:rsid w:val="003B598C"/>
    <w:rsid w:val="003E17D8"/>
    <w:rsid w:val="004174FC"/>
    <w:rsid w:val="00460BD6"/>
    <w:rsid w:val="004824BF"/>
    <w:rsid w:val="004859B3"/>
    <w:rsid w:val="004C083C"/>
    <w:rsid w:val="004E1650"/>
    <w:rsid w:val="004F246B"/>
    <w:rsid w:val="0053367A"/>
    <w:rsid w:val="00544D48"/>
    <w:rsid w:val="005877C0"/>
    <w:rsid w:val="005A6B14"/>
    <w:rsid w:val="005D0B97"/>
    <w:rsid w:val="005F1C4F"/>
    <w:rsid w:val="005F5D6C"/>
    <w:rsid w:val="006132CE"/>
    <w:rsid w:val="00613F2E"/>
    <w:rsid w:val="00656165"/>
    <w:rsid w:val="006A1A75"/>
    <w:rsid w:val="006A2CF5"/>
    <w:rsid w:val="006B1D22"/>
    <w:rsid w:val="006B555B"/>
    <w:rsid w:val="006F1B6F"/>
    <w:rsid w:val="00723634"/>
    <w:rsid w:val="00737C66"/>
    <w:rsid w:val="00791637"/>
    <w:rsid w:val="007D078F"/>
    <w:rsid w:val="007D58CC"/>
    <w:rsid w:val="0080122F"/>
    <w:rsid w:val="00812117"/>
    <w:rsid w:val="00822206"/>
    <w:rsid w:val="0082247B"/>
    <w:rsid w:val="008368CB"/>
    <w:rsid w:val="008511E2"/>
    <w:rsid w:val="0085501C"/>
    <w:rsid w:val="00893FBD"/>
    <w:rsid w:val="008B75A4"/>
    <w:rsid w:val="008D23C6"/>
    <w:rsid w:val="008D3030"/>
    <w:rsid w:val="008E3848"/>
    <w:rsid w:val="008E4F12"/>
    <w:rsid w:val="00924EE0"/>
    <w:rsid w:val="009612AA"/>
    <w:rsid w:val="009636AF"/>
    <w:rsid w:val="009D4811"/>
    <w:rsid w:val="009E39A7"/>
    <w:rsid w:val="00A415B7"/>
    <w:rsid w:val="00A55AA1"/>
    <w:rsid w:val="00A9007C"/>
    <w:rsid w:val="00AD5D0C"/>
    <w:rsid w:val="00B31D18"/>
    <w:rsid w:val="00B42885"/>
    <w:rsid w:val="00B50C20"/>
    <w:rsid w:val="00B6769C"/>
    <w:rsid w:val="00BB22CC"/>
    <w:rsid w:val="00BB41C8"/>
    <w:rsid w:val="00BD3084"/>
    <w:rsid w:val="00BD5920"/>
    <w:rsid w:val="00BE5E72"/>
    <w:rsid w:val="00BF0A0F"/>
    <w:rsid w:val="00BF2E15"/>
    <w:rsid w:val="00BF5194"/>
    <w:rsid w:val="00BF7F55"/>
    <w:rsid w:val="00C05DD8"/>
    <w:rsid w:val="00C15447"/>
    <w:rsid w:val="00C35D01"/>
    <w:rsid w:val="00C53B2C"/>
    <w:rsid w:val="00CB5651"/>
    <w:rsid w:val="00CC20CB"/>
    <w:rsid w:val="00CD4399"/>
    <w:rsid w:val="00CF44DF"/>
    <w:rsid w:val="00D04E0B"/>
    <w:rsid w:val="00D62DA0"/>
    <w:rsid w:val="00D6543C"/>
    <w:rsid w:val="00D95667"/>
    <w:rsid w:val="00DF594D"/>
    <w:rsid w:val="00E027EA"/>
    <w:rsid w:val="00E14FEE"/>
    <w:rsid w:val="00E71368"/>
    <w:rsid w:val="00E7621E"/>
    <w:rsid w:val="00E93816"/>
    <w:rsid w:val="00EA59ED"/>
    <w:rsid w:val="00EB3D9C"/>
    <w:rsid w:val="00EF48F2"/>
    <w:rsid w:val="00F04010"/>
    <w:rsid w:val="00F36DAF"/>
    <w:rsid w:val="00FC699E"/>
    <w:rsid w:val="00FD6B7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8E83A5C-4623-4F76-976A-2CC7B215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D5920"/>
    <w:pPr>
      <w:tabs>
        <w:tab w:val="right" w:pos="454"/>
        <w:tab w:val="left" w:pos="737"/>
      </w:tabs>
      <w:ind w:left="737" w:hanging="737"/>
    </w:pPr>
    <w:rPr>
      <w:snapToGrid w:val="0"/>
      <w:sz w:val="18"/>
      <w:lang w:eastAsia="en-US"/>
    </w:rPr>
  </w:style>
  <w:style w:type="paragraph" w:customStyle="1" w:styleId="Lgendetitre">
    <w:name w:val="Légende titre"/>
    <w:basedOn w:val="Normal"/>
    <w:rsid w:val="00BD5920"/>
    <w:pPr>
      <w:spacing w:before="240" w:after="240"/>
    </w:pPr>
    <w:rPr>
      <w:b/>
      <w:i/>
      <w:snapToGrid w:val="0"/>
      <w:lang w:eastAsia="en-US"/>
    </w:rPr>
  </w:style>
  <w:style w:type="paragraph" w:customStyle="1" w:styleId="Lgendestandard">
    <w:name w:val="Légende standard"/>
    <w:basedOn w:val="Normal"/>
    <w:rsid w:val="00BD5920"/>
    <w:rPr>
      <w:sz w:val="18"/>
    </w:rPr>
  </w:style>
  <w:style w:type="character" w:customStyle="1" w:styleId="Heading1Char">
    <w:name w:val="Heading 1 Char"/>
    <w:basedOn w:val="DefaultParagraphFont"/>
    <w:link w:val="Heading1"/>
    <w:uiPriority w:val="9"/>
    <w:rsid w:val="002430B9"/>
    <w:rPr>
      <w:rFonts w:ascii="Arial" w:hAnsi="Arial"/>
      <w:b/>
      <w:kern w:val="28"/>
      <w:sz w:val="28"/>
    </w:rPr>
  </w:style>
  <w:style w:type="paragraph" w:styleId="FootnoteText">
    <w:name w:val="footnote text"/>
    <w:basedOn w:val="Normal"/>
    <w:link w:val="FootnoteTextChar"/>
    <w:uiPriority w:val="99"/>
    <w:unhideWhenUsed/>
    <w:rsid w:val="002430B9"/>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2430B9"/>
    <w:rPr>
      <w:rFonts w:eastAsiaTheme="minorHAnsi"/>
      <w:sz w:val="24"/>
      <w:lang w:eastAsia="en-US"/>
    </w:rPr>
  </w:style>
  <w:style w:type="character" w:styleId="FootnoteReference">
    <w:name w:val="footnote reference"/>
    <w:basedOn w:val="DefaultParagraphFont"/>
    <w:uiPriority w:val="99"/>
    <w:unhideWhenUsed/>
    <w:rsid w:val="002430B9"/>
    <w:rPr>
      <w:b/>
      <w:bdr w:val="none" w:sz="0" w:space="0" w:color="auto"/>
      <w:shd w:val="clear" w:color="auto" w:fill="auto"/>
      <w:vertAlign w:val="superscript"/>
    </w:rPr>
  </w:style>
  <w:style w:type="paragraph" w:styleId="Footer">
    <w:name w:val="footer"/>
    <w:basedOn w:val="Normal"/>
    <w:link w:val="FooterChar"/>
    <w:semiHidden/>
    <w:rsid w:val="00305876"/>
    <w:pPr>
      <w:tabs>
        <w:tab w:val="center" w:pos="4513"/>
        <w:tab w:val="right" w:pos="9026"/>
      </w:tabs>
    </w:pPr>
  </w:style>
  <w:style w:type="character" w:customStyle="1" w:styleId="FooterChar">
    <w:name w:val="Footer Char"/>
    <w:basedOn w:val="DefaultParagraphFont"/>
    <w:link w:val="Footer"/>
    <w:semiHidden/>
    <w:rsid w:val="003058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6C5D3-E621-42B0-A0C3-677DF71CA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886</Words>
  <Characters>5243</Characters>
  <Application>Microsoft Office Word</Application>
  <DocSecurity>0</DocSecurity>
  <Lines>124</Lines>
  <Paragraphs>60</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TOADER Maria</dc:creator>
  <cp:keywords/>
  <cp:lastModifiedBy>SMAKALOVA Sona</cp:lastModifiedBy>
  <cp:revision>2</cp:revision>
  <cp:lastPrinted>2002-12-11T09:25:00Z</cp:lastPrinted>
  <dcterms:created xsi:type="dcterms:W3CDTF">2024-02-28T10:03:00Z</dcterms:created>
  <dcterms:modified xsi:type="dcterms:W3CDTF">2024-02-28T10:03:00Z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9.17.1 Build [20240111]</vt:lpwstr>
  </property>
  <property fmtid="{D5CDD505-2E9C-101B-9397-08002B2CF9AE}" pid="4" name="LastEdited with">
    <vt:lpwstr>9.17.1 Build [20240202]</vt:lpwstr>
  </property>
  <property fmtid="{D5CDD505-2E9C-101B-9397-08002B2CF9AE}" pid="5" name="&lt;FdR&gt;">
    <vt:lpwstr>1296235</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\\eiciBRUpr1\pdocep$\DocEP\TRANSFIL\EN\PR_NLE-AP_Agreement.EN(29/06/2022 09:21:42)</vt:lpwstr>
  </property>
  <property fmtid="{D5CDD505-2E9C-101B-9397-08002B2CF9AE}" pid="9" name="&lt;Model&gt;">
    <vt:lpwstr>PR_NLE-AP_Agreement</vt:lpwstr>
  </property>
  <property fmtid="{D5CDD505-2E9C-101B-9397-08002B2CF9AE}" pid="10" name="FooterPath">
    <vt:lpwstr>PR\1296235CS.docx</vt:lpwstr>
  </property>
  <property fmtid="{D5CDD505-2E9C-101B-9397-08002B2CF9AE}" pid="11" name="PE number">
    <vt:lpwstr>758.914</vt:lpwstr>
  </property>
  <property fmtid="{D5CDD505-2E9C-101B-9397-08002B2CF9AE}" pid="12" name="SendToEpades">
    <vt:lpwstr>OK - 2024/02/14 17:26</vt:lpwstr>
  </property>
  <property fmtid="{D5CDD505-2E9C-101B-9397-08002B2CF9AE}" pid="13" name="Bookout">
    <vt:lpwstr>OK - 2024/02/28 11:03</vt:lpwstr>
  </property>
  <property fmtid="{D5CDD505-2E9C-101B-9397-08002B2CF9AE}" pid="14" name="SDLStudio">
    <vt:lpwstr/>
  </property>
</Properties>
</file>