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6F5B9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6F5B95" w:rsidRDefault="00734A99" w:rsidP="00C85D0F">
            <w:pPr>
              <w:pStyle w:val="EPName"/>
            </w:pPr>
            <w:bookmarkStart w:id="0" w:name="_GoBack"/>
            <w:bookmarkEnd w:id="0"/>
            <w:r>
              <w:t>Parlament Ewropew</w:t>
            </w:r>
          </w:p>
          <w:p w:rsidR="00C05DD8" w:rsidRPr="006F5B95" w:rsidRDefault="006F5B95" w:rsidP="006F5B95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6F5B95" w:rsidRDefault="00C05DD8" w:rsidP="00C85D0F">
            <w:pPr>
              <w:pStyle w:val="EPLogo"/>
            </w:pPr>
            <w:r w:rsidRPr="006F5B95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6F5B95" w:rsidRDefault="009612AA" w:rsidP="009612AA">
      <w:pPr>
        <w:pStyle w:val="LineTop"/>
      </w:pPr>
    </w:p>
    <w:p w:rsidR="009612AA" w:rsidRPr="006F5B95" w:rsidRDefault="009612AA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{LIBE}</w:t>
      </w:r>
      <w:r>
        <w:t>Kumitat għal-Libertajiet Ċivili, il-Ġustizzja u l-Intern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9612AA" w:rsidRPr="006F5B95" w:rsidRDefault="009612AA" w:rsidP="009612AA">
      <w:pPr>
        <w:pStyle w:val="LineBottom"/>
      </w:pPr>
    </w:p>
    <w:p w:rsidR="00363B94" w:rsidRPr="006F5B95" w:rsidRDefault="00363B94">
      <w:pPr>
        <w:pStyle w:val="CoverReference"/>
      </w:pPr>
      <w:r>
        <w:rPr>
          <w:rStyle w:val="HideTWBExt"/>
          <w:b w:val="0"/>
        </w:rPr>
        <w:t>&lt;RefProc&gt;</w:t>
      </w:r>
      <w:r>
        <w:t>2023/0231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:rsidR="00363B94" w:rsidRPr="006F5B95" w:rsidRDefault="00363B94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{14/02/2024}</w:t>
      </w:r>
      <w:r>
        <w:t>14.2.2024</w:t>
      </w:r>
      <w:r>
        <w:rPr>
          <w:rStyle w:val="HideTWBExt"/>
        </w:rPr>
        <w:t>&lt;/Date&gt;</w:t>
      </w:r>
    </w:p>
    <w:p w:rsidR="00363B94" w:rsidRPr="006F5B95" w:rsidRDefault="00363B94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:rsidR="00363B94" w:rsidRPr="006F5B95" w:rsidRDefault="00363B94">
      <w:pPr>
        <w:pStyle w:val="CoverDocType24a"/>
      </w:pPr>
      <w:r>
        <w:rPr>
          <w:rStyle w:val="HideTWBExt"/>
          <w:b w:val="0"/>
        </w:rPr>
        <w:t>&lt;TitreType&gt;</w:t>
      </w:r>
      <w:r>
        <w:t>ABBOZZ TA’ RAKKOMANDAZZJONI</w:t>
      </w:r>
      <w:r>
        <w:rPr>
          <w:rStyle w:val="HideTWBExt"/>
          <w:b w:val="0"/>
        </w:rPr>
        <w:t>&lt;/TitreType&gt;</w:t>
      </w:r>
    </w:p>
    <w:p w:rsidR="006F5B95" w:rsidRPr="006F5B95" w:rsidRDefault="006F5B95" w:rsidP="006F5B95">
      <w:pPr>
        <w:pStyle w:val="CoverNormal"/>
      </w:pPr>
      <w:r>
        <w:rPr>
          <w:rStyle w:val="HideTWBExt"/>
        </w:rPr>
        <w:t>&lt;Titre&gt;</w:t>
      </w:r>
      <w:r>
        <w:t>dwar abbozz tad-deċiżjoni tal-Kunsill dwar il-konklużjoni, f’isem l-Unjoni, tal-Ftehim bejn l-Unjoni Ewropea u l-Iżlanda dwar ir-regoli supplimentari fir-rigward tal-istrument għall-appoġġ finanzjarju għall-ġestjoni tal-fruntieri u l-politika dwar il-viżi, bħala parti mill-Fond għall-Ġestjoni Integrata tal-Fruntieri, għall-perjodu 2021 sa 2027</w:t>
      </w:r>
      <w:r>
        <w:rPr>
          <w:rStyle w:val="HideTWBExt"/>
        </w:rPr>
        <w:t>&lt;/Titre&gt;</w:t>
      </w:r>
    </w:p>
    <w:p w:rsidR="00363B94" w:rsidRPr="006F5B95" w:rsidRDefault="006F5B95" w:rsidP="006F5B95">
      <w:pPr>
        <w:pStyle w:val="CoverNormal24a"/>
      </w:pPr>
      <w:r>
        <w:rPr>
          <w:rStyle w:val="HideTWBExt"/>
        </w:rPr>
        <w:t>&lt;DocRef&gt;</w:t>
      </w:r>
      <w:r>
        <w:t>(12125/2023 – C9</w:t>
      </w:r>
      <w:r>
        <w:noBreakHyphen/>
        <w:t>0004/2024 – 2023/0231(NLE))</w:t>
      </w:r>
      <w:r>
        <w:rPr>
          <w:rStyle w:val="HideTWBExt"/>
        </w:rPr>
        <w:t>&lt;/DocRef&gt;</w:t>
      </w:r>
    </w:p>
    <w:p w:rsidR="00363B94" w:rsidRPr="006F5B95" w:rsidRDefault="00363B94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 w:rsidR="00363B94" w:rsidRPr="006F5B95" w:rsidRDefault="00734A99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bookmarkStart w:id="1" w:name="DocEPLastVariable"/>
      <w:bookmarkEnd w:id="1"/>
      <w:r>
        <w:t>Malik Azmani</w:t>
      </w:r>
      <w:r>
        <w:rPr>
          <w:rStyle w:val="HideTWBExt"/>
        </w:rPr>
        <w:t>&lt;/Depute&gt;</w:t>
      </w:r>
    </w:p>
    <w:p w:rsidR="00B42885" w:rsidRPr="006F5B95" w:rsidRDefault="00B42885" w:rsidP="00B42885">
      <w:pPr>
        <w:pStyle w:val="CoverNormal"/>
      </w:pPr>
    </w:p>
    <w:p w:rsidR="006F5B95" w:rsidRPr="006F5B95" w:rsidRDefault="00363B94" w:rsidP="00016E55">
      <w:r>
        <w:br w:type="page"/>
      </w:r>
      <w:r w:rsidR="002E0232">
        <w:lastRenderedPageBreak/>
        <w:fldChar w:fldCharType="begin"/>
      </w:r>
      <w:r w:rsidR="002E0232">
        <w:instrText xml:space="preserve"> TITLE  \* MERGEFORMAT </w:instrText>
      </w:r>
      <w:r w:rsidR="002E0232">
        <w:fldChar w:fldCharType="separate"/>
      </w:r>
      <w:r w:rsidR="002E0232">
        <w:t>PR_NLE-AP_Agreement</w:t>
      </w:r>
      <w:r w:rsidR="002E0232">
        <w:fldChar w:fldCharType="end"/>
      </w:r>
    </w:p>
    <w:p w:rsidR="006F5B95" w:rsidRPr="006F5B95" w:rsidRDefault="006F5B95" w:rsidP="00016E55"/>
    <w:p w:rsidR="006F5B95" w:rsidRPr="006F5B95" w:rsidRDefault="006F5B95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6F5B95" w:rsidRPr="006F5B95">
        <w:tc>
          <w:tcPr>
            <w:tcW w:w="5811" w:type="dxa"/>
          </w:tcPr>
          <w:p w:rsidR="006F5B95" w:rsidRPr="006F5B95" w:rsidRDefault="006F5B95" w:rsidP="00016E55">
            <w:pPr>
              <w:pStyle w:val="Lgendetitre"/>
            </w:pPr>
            <w:r>
              <w:t>Tifsira tas-simboli użati</w:t>
            </w:r>
          </w:p>
        </w:tc>
      </w:tr>
      <w:tr w:rsidR="006F5B95" w:rsidRPr="006F5B95" w:rsidTr="00486FAE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6F5B95" w:rsidRPr="006F5B95" w:rsidRDefault="006F5B95" w:rsidP="00486FAE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ta’ konsultazzjoni</w:t>
            </w:r>
          </w:p>
          <w:p w:rsidR="006F5B95" w:rsidRPr="006F5B95" w:rsidRDefault="006F5B95" w:rsidP="00486FAE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:rsidR="006F5B95" w:rsidRPr="006F5B95" w:rsidRDefault="006F5B95" w:rsidP="00486FAE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6F5B95" w:rsidRPr="006F5B95" w:rsidRDefault="006F5B95" w:rsidP="00486FAE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6F5B95" w:rsidRPr="006F5B95" w:rsidRDefault="006F5B95" w:rsidP="00486FAE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:rsidR="006F5B95" w:rsidRPr="006F5B95" w:rsidRDefault="006F5B95" w:rsidP="00486FAE">
            <w:pPr>
              <w:pStyle w:val="Lgendestandard"/>
            </w:pPr>
          </w:p>
          <w:p w:rsidR="006F5B95" w:rsidRPr="006F5B95" w:rsidRDefault="006F5B95" w:rsidP="00486FAE">
            <w:pPr>
              <w:pStyle w:val="Lgendestandard"/>
            </w:pPr>
            <w:r>
              <w:t>(It-tip ta’ proċedura jiddependi mill-bażi ġuridika proposta mill-abbozz ta’ att.)</w:t>
            </w:r>
          </w:p>
          <w:p w:rsidR="006F5B95" w:rsidRPr="006F5B95" w:rsidRDefault="006F5B95" w:rsidP="00486FAE">
            <w:pPr>
              <w:pStyle w:val="Lgendestandard"/>
            </w:pPr>
          </w:p>
        </w:tc>
      </w:tr>
    </w:tbl>
    <w:p w:rsidR="006F5B95" w:rsidRPr="006F5B95" w:rsidRDefault="006F5B95" w:rsidP="00016E55"/>
    <w:p w:rsidR="00363B94" w:rsidRPr="006F5B95" w:rsidRDefault="00363B94" w:rsidP="00613F2E">
      <w:pPr>
        <w:widowControl/>
        <w:tabs>
          <w:tab w:val="center" w:pos="4677"/>
        </w:tabs>
      </w:pPr>
    </w:p>
    <w:p w:rsidR="00363B94" w:rsidRPr="006F5B95" w:rsidRDefault="00363B94">
      <w:pPr>
        <w:pStyle w:val="TOCHeading"/>
      </w:pPr>
      <w:r>
        <w:br w:type="page"/>
      </w:r>
      <w:r>
        <w:lastRenderedPageBreak/>
        <w:t>WERREJ</w:t>
      </w:r>
    </w:p>
    <w:p w:rsidR="00363B94" w:rsidRPr="006F5B95" w:rsidRDefault="00734A99">
      <w:pPr>
        <w:pStyle w:val="TOCPage"/>
      </w:pPr>
      <w:r>
        <w:t>Paġna</w:t>
      </w:r>
    </w:p>
    <w:p w:rsidR="002E0232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6F5B95">
        <w:fldChar w:fldCharType="begin"/>
      </w:r>
      <w:r w:rsidRPr="006F5B95">
        <w:instrText xml:space="preserve"> TOC \t "PageHeading</w:instrText>
      </w:r>
      <w:r w:rsidR="006F5B95" w:rsidRPr="006F5B95">
        <w:instrText>;</w:instrText>
      </w:r>
      <w:r w:rsidRPr="006F5B95">
        <w:instrText xml:space="preserve">1" </w:instrText>
      </w:r>
      <w:r w:rsidRPr="006F5B95">
        <w:fldChar w:fldCharType="separate"/>
      </w:r>
      <w:r w:rsidR="002E0232">
        <w:rPr>
          <w:noProof/>
        </w:rPr>
        <w:t>ABBOZZ TA’ RIŻOLUZZJONI LEĠIŻLATTIVA TAL-PARLAMENT EWROPEW</w:t>
      </w:r>
      <w:r w:rsidR="002E0232">
        <w:rPr>
          <w:noProof/>
        </w:rPr>
        <w:tab/>
      </w:r>
      <w:r w:rsidR="002E0232">
        <w:rPr>
          <w:noProof/>
        </w:rPr>
        <w:fldChar w:fldCharType="begin"/>
      </w:r>
      <w:r w:rsidR="002E0232">
        <w:rPr>
          <w:noProof/>
        </w:rPr>
        <w:instrText xml:space="preserve"> PAGEREF _Toc158899414 \h </w:instrText>
      </w:r>
      <w:r w:rsidR="002E0232">
        <w:rPr>
          <w:noProof/>
        </w:rPr>
      </w:r>
      <w:r w:rsidR="002E0232">
        <w:rPr>
          <w:noProof/>
        </w:rPr>
        <w:fldChar w:fldCharType="separate"/>
      </w:r>
      <w:r w:rsidR="002E0232">
        <w:rPr>
          <w:noProof/>
        </w:rPr>
        <w:t>5</w:t>
      </w:r>
      <w:r w:rsidR="002E0232">
        <w:rPr>
          <w:noProof/>
        </w:rPr>
        <w:fldChar w:fldCharType="end"/>
      </w:r>
    </w:p>
    <w:p w:rsidR="002E0232" w:rsidRDefault="002E023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_Toc158899415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1650" w:rsidRPr="006F5B95" w:rsidRDefault="00EF48F2" w:rsidP="00F04010">
      <w:r w:rsidRPr="006F5B95">
        <w:fldChar w:fldCharType="end"/>
      </w:r>
    </w:p>
    <w:p w:rsidR="00363B94" w:rsidRPr="006F5B95" w:rsidRDefault="00363B94" w:rsidP="0006167F">
      <w:pPr>
        <w:pStyle w:val="PageHeading"/>
      </w:pPr>
      <w:r>
        <w:br w:type="page"/>
      </w:r>
      <w:r>
        <w:lastRenderedPageBreak/>
        <w:br w:type="page"/>
      </w:r>
      <w:bookmarkStart w:id="2" w:name="_Toc158899414"/>
      <w:r>
        <w:lastRenderedPageBreak/>
        <w:t>ABBOZZ TA’ RIŻOLUZZJONI LEĠIŻLATTIVA TAL-PARLAMENT EWROPEW</w:t>
      </w:r>
      <w:bookmarkEnd w:id="2"/>
    </w:p>
    <w:p w:rsidR="006F5B95" w:rsidRPr="006F5B95" w:rsidRDefault="006F5B95" w:rsidP="006F5B95">
      <w:pPr>
        <w:pStyle w:val="NormalBold"/>
      </w:pPr>
      <w:r>
        <w:t>dwar abbozz tad-deċiżjoni tal-Kunsill dwar il-konklużjoni, f’isem l-Unjoni, tal-Ftehim bejn l-Unjoni Ewropea u l-Iżlanda dwar ir-regoli supplimentari fir-rigward tal-istrument għall-appoġġ finanzjarju għall-ġestjoni tal-fruntieri u l-politika dwar il-viżi, bħala parti mill-Fond għall-Ġestjoni Integrata tal-Fruntieri, għall-perjodu 2021 sa 2027</w:t>
      </w:r>
    </w:p>
    <w:p w:rsidR="00363B94" w:rsidRPr="006F5B95" w:rsidRDefault="006F5B95" w:rsidP="006F5B95">
      <w:pPr>
        <w:pStyle w:val="NormalBold12a"/>
      </w:pPr>
      <w:r>
        <w:t>(12125/2023 – C9</w:t>
      </w:r>
      <w:r>
        <w:noBreakHyphen/>
        <w:t>0004/2024 – 2023/0231(NLE))</w:t>
      </w:r>
      <w:bookmarkStart w:id="3" w:name="DocEPLastPosition"/>
      <w:bookmarkEnd w:id="3"/>
    </w:p>
    <w:p w:rsidR="00363B94" w:rsidRPr="006F5B95" w:rsidRDefault="00734A99" w:rsidP="00893FBD">
      <w:pPr>
        <w:pStyle w:val="NormalBold"/>
      </w:pPr>
      <w:r>
        <w:t>(Approvazzjoni)</w:t>
      </w:r>
    </w:p>
    <w:p w:rsidR="00363B94" w:rsidRPr="006F5B95" w:rsidRDefault="00734A99">
      <w:pPr>
        <w:pStyle w:val="EPComma"/>
      </w:pPr>
      <w:r>
        <w:rPr>
          <w:i/>
        </w:rPr>
        <w:t>Il-Parlament Ewropew</w:t>
      </w:r>
      <w:r>
        <w:t>,</w:t>
      </w:r>
    </w:p>
    <w:p w:rsidR="006F5B95" w:rsidRPr="006F5B95" w:rsidRDefault="006F5B95" w:rsidP="006F5B95">
      <w:pPr>
        <w:pStyle w:val="NormalHanging12a"/>
      </w:pPr>
      <w:r>
        <w:t>–</w:t>
      </w:r>
      <w:r>
        <w:tab/>
        <w:t>wara li kkunsidra l-abbozz ta’ deċiżjoni tal-Kunsill (12125/2023),</w:t>
      </w:r>
    </w:p>
    <w:p w:rsidR="006F5B95" w:rsidRPr="006F5B95" w:rsidRDefault="006F5B95" w:rsidP="006F5B95">
      <w:pPr>
        <w:pStyle w:val="NormalHanging12a"/>
      </w:pPr>
      <w:r>
        <w:t>–</w:t>
      </w:r>
      <w:r>
        <w:tab/>
        <w:t>wara li kkunsidra l-abbozz ta’ Ftehim bejn l-Unjoni Ewropea u l-Iżlanda dwar regoli supplementari b’rabta mal-Istrument għall-Appoġġ Finanzjarju għall-Ġestjoni tal-Fruntieri u l-Politika dwar il-Viżi, bħala parti mill-Fond għall-Ġestjoni Integrata tal-Fruntieri għall-perjodu 2021 sa 2027 (12124/2023),</w:t>
      </w:r>
    </w:p>
    <w:p w:rsidR="006F5B95" w:rsidRPr="006F5B95" w:rsidRDefault="006F5B95" w:rsidP="006F5B95">
      <w:pPr>
        <w:pStyle w:val="NormalHanging12a"/>
      </w:pPr>
      <w:r>
        <w:t>–</w:t>
      </w:r>
      <w:r>
        <w:tab/>
        <w:t>wara li kkunsidra t-talba għal approvazzjoni ppreżentata mill-Kunsill skont l-Artikolu 77(2), l-Artikolu 218(6), it-tieni subparagrafu, il-punt (a), u l-Artikolu 218(7) tat-Trattat dwar il-Funzjonament tal-Unjoni Ewropea (C9</w:t>
      </w:r>
      <w:r>
        <w:noBreakHyphen/>
        <w:t>0004/2024),</w:t>
      </w:r>
    </w:p>
    <w:p w:rsidR="006F5B95" w:rsidRPr="006F5B95" w:rsidRDefault="006F5B95" w:rsidP="006F5B95">
      <w:pPr>
        <w:pStyle w:val="NormalHanging12a"/>
      </w:pPr>
      <w:r>
        <w:t>–</w:t>
      </w:r>
      <w:r>
        <w:tab/>
        <w:t>wara li kkunsidra l-Artikolu 105(1) u (4) u l-Artikolu 114(7) tar-Regoli ta’ Proċedura tiegħu,</w:t>
      </w:r>
    </w:p>
    <w:p w:rsidR="006F5B95" w:rsidRPr="006F5B95" w:rsidRDefault="006F5B95" w:rsidP="006F5B95">
      <w:pPr>
        <w:pStyle w:val="NormalHanging12a"/>
      </w:pPr>
      <w:r>
        <w:t>–</w:t>
      </w:r>
      <w:r>
        <w:tab/>
        <w:t>wara li kkunsidra r-rakkomandazzjoni tal-Kumitat għal-Libertajiet Ċivili, il-Ġustizzja u l-Intern (A9</w:t>
      </w:r>
      <w:r>
        <w:noBreakHyphen/>
        <w:t>0000/2024),</w:t>
      </w:r>
    </w:p>
    <w:p w:rsidR="006F5B95" w:rsidRPr="006F5B95" w:rsidRDefault="006F5B95" w:rsidP="006F5B95">
      <w:pPr>
        <w:pStyle w:val="NormalHanging12a"/>
      </w:pPr>
      <w:r>
        <w:t>1.</w:t>
      </w:r>
      <w:r>
        <w:tab/>
        <w:t>Jagħti l-approvazzjoni tiegħu għall-konklużjoni tal-ftehim;</w:t>
      </w:r>
    </w:p>
    <w:p w:rsidR="006F5B95" w:rsidRPr="006F5B95" w:rsidRDefault="006F5B95" w:rsidP="006F5B95">
      <w:pPr>
        <w:pStyle w:val="NormalHanging12a"/>
      </w:pPr>
      <w:r>
        <w:t>2.</w:t>
      </w:r>
      <w:r>
        <w:tab/>
        <w:t>Jagħti istruzzjonijiet lill-President tiegħu biex tgħaddi l-pożizzjoni tal-Parlament lill-Kunsill u lill-Kummissjoni, kif ukoll lill-gvernijiet u lill-parlamenti tal-Istati Membri u tal-Iżlanda.</w:t>
      </w:r>
    </w:p>
    <w:p w:rsidR="006F5B95" w:rsidRPr="006F5B95" w:rsidRDefault="006F5B95" w:rsidP="006F5B95">
      <w:pPr>
        <w:sectPr w:rsidR="006F5B95" w:rsidRPr="006F5B95" w:rsidSect="006F5B9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6F5B95" w:rsidRPr="006F5B95" w:rsidRDefault="006F5B95" w:rsidP="006F5B95">
      <w:pPr>
        <w:pStyle w:val="PageHeading"/>
      </w:pPr>
      <w:bookmarkStart w:id="4" w:name="_Toc158888815"/>
      <w:bookmarkStart w:id="5" w:name="_Toc158899415"/>
      <w:r>
        <w:lastRenderedPageBreak/>
        <w:t>NOTA SPJEGATTIVA</w:t>
      </w:r>
      <w:bookmarkEnd w:id="4"/>
      <w:bookmarkEnd w:id="5"/>
    </w:p>
    <w:p w:rsidR="006F5B95" w:rsidRPr="006F5B95" w:rsidRDefault="006F5B95" w:rsidP="006F5B95">
      <w:pPr>
        <w:jc w:val="both"/>
        <w:rPr>
          <w:sz w:val="22"/>
          <w:szCs w:val="22"/>
        </w:rPr>
      </w:pPr>
      <w:r>
        <w:rPr>
          <w:b/>
        </w:rPr>
        <w:t>a. Sfond</w:t>
      </w:r>
      <w:r>
        <w:rPr>
          <w:sz w:val="22"/>
        </w:rPr>
        <w:t xml:space="preserve"> </w:t>
      </w:r>
    </w:p>
    <w:p w:rsidR="006F5B95" w:rsidRPr="006F5B95" w:rsidRDefault="006F5B95" w:rsidP="006F5B95">
      <w:pPr>
        <w:jc w:val="both"/>
      </w:pPr>
    </w:p>
    <w:p w:rsidR="006F5B95" w:rsidRPr="006F5B95" w:rsidRDefault="006F5B95" w:rsidP="006F5B95">
      <w:pPr>
        <w:spacing w:after="240"/>
        <w:jc w:val="both"/>
        <w:rPr>
          <w:noProof/>
        </w:rPr>
      </w:pPr>
      <w:r>
        <w:t>Ir-Regolament (UE) 2021/1148 tal-Parlament Ewropew u tal-Kunsill li jistabbilixxi l-Istrument għall-Appoġġ Finanzjarju għall-Ġestjoni tal-Fruntieri u l-Politika dwar il-Viżi għall-perjodu 2021-2027 (ir-Regolament BMVI) ġie adottat fis-7 ta’ Lulju 2021.</w:t>
      </w:r>
    </w:p>
    <w:p w:rsidR="006F5B95" w:rsidRPr="006F5B95" w:rsidRDefault="006F5B95" w:rsidP="006F5B95">
      <w:pPr>
        <w:spacing w:after="240"/>
        <w:jc w:val="both"/>
        <w:rPr>
          <w:noProof/>
        </w:rPr>
      </w:pPr>
      <w:r>
        <w:t>L-għan tar-Regolament BMVI huwa li jkun hemm solidarjetà permezz tal-assistenza finanzjarja lil dawk l-Istati (Membri) li japplikaw id-dispożizzjonijiet tal-</w:t>
      </w:r>
      <w:r>
        <w:rPr>
          <w:i/>
          <w:iCs/>
        </w:rPr>
        <w:t>acquis</w:t>
      </w:r>
      <w:r>
        <w:t xml:space="preserve"> ta’ Schengen fir-rigward tal-fruntieri esterni. Dan jikkostitwixxi żvilupp tal-</w:t>
      </w:r>
      <w:r>
        <w:rPr>
          <w:i/>
          <w:iCs/>
        </w:rPr>
        <w:t>acquis</w:t>
      </w:r>
      <w:r>
        <w:t xml:space="preserve"> ta’ Schengen li fih jipparteċipaw il-pajjiżi assoċjati mal-implimentazzjoni, l-applikazzjoni u l-iżvilupp ulterjuri tal-</w:t>
      </w:r>
      <w:r>
        <w:rPr>
          <w:i/>
          <w:iCs/>
        </w:rPr>
        <w:t>acquis</w:t>
      </w:r>
      <w:r>
        <w:t xml:space="preserve"> ta’ Schengen (il-“pajjiżi assoċjati ta’ Schengen” jew il-“pajjiżi assoċjati”).</w:t>
      </w:r>
    </w:p>
    <w:p w:rsidR="006F5B95" w:rsidRPr="006F5B95" w:rsidRDefault="006F5B95" w:rsidP="006F5B95">
      <w:pPr>
        <w:spacing w:after="240"/>
        <w:jc w:val="both"/>
        <w:rPr>
          <w:noProof/>
        </w:rPr>
      </w:pPr>
      <w:r>
        <w:t>Il-paragrafu 6 tal-Artikolu 7 tar-Regolament BMVI jipprevedi li għandhom isiru “arranġamenti” li jispeċifikaw in-natura u l-modi ta’ parteċipazzjoni fil-BMVI tal-pajjiżi assoċjati mal-implimentazzjoni, l-applikazzjoni u l-iżvilupp tal-</w:t>
      </w:r>
      <w:r>
        <w:rPr>
          <w:i/>
          <w:iCs/>
        </w:rPr>
        <w:t>acquis</w:t>
      </w:r>
      <w:r>
        <w:t xml:space="preserve"> ta’ Schengen, f’konformità mad-dispożizzjonijiet rilevanti tal-ftehimiet ta’ assoċjazzjoni rispettivi. Dawn l-arranġamenti jieħdu l-forma ta’ ftehimiet konklużi mill-Unjoni mal-pajjiżi assoċjati ta’ Schengen f’konformità mal-Artikolu 216 tat-TFUE. </w:t>
      </w:r>
    </w:p>
    <w:p w:rsidR="006F5B95" w:rsidRPr="006F5B95" w:rsidRDefault="006F5B95" w:rsidP="006F5B95">
      <w:pPr>
        <w:spacing w:after="240"/>
        <w:jc w:val="both"/>
        <w:rPr>
          <w:sz w:val="22"/>
          <w:szCs w:val="22"/>
        </w:rPr>
      </w:pPr>
      <w:r>
        <w:t>Fl-1 ta’ Settembru 2021 l-Iżlanda nnotifikat id-deċiżjoni tagħha li taċċetta l-kontenut tar-Regolament BMVI u li timplimentah fl-ordni legali intern tagħha.</w:t>
      </w:r>
    </w:p>
    <w:p w:rsidR="006F5B95" w:rsidRPr="006F5B95" w:rsidRDefault="006F5B95" w:rsidP="006F5B95">
      <w:pPr>
        <w:spacing w:after="240"/>
        <w:jc w:val="both"/>
      </w:pPr>
      <w:r>
        <w:t>Fil-21 ta’ Frar 2022, il-Kunsill awtorizza lill-Kummissjoni biex tiftaħ negozjati</w:t>
      </w:r>
      <w:r w:rsidRPr="006F5B95">
        <w:rPr>
          <w:rStyle w:val="FootnoteReference"/>
        </w:rPr>
        <w:footnoteReference w:id="1"/>
      </w:r>
      <w:r>
        <w:t xml:space="preserve"> mal-Iżlanda, mar-Renju tan-Norveġja, mal-Konfederazzjoni Żvizzera u mal-Prinċipat tal-Liechtenstein għall-arranġamenti dwar </w:t>
      </w:r>
      <w:bookmarkStart w:id="6" w:name="_Hlk132892775"/>
      <w:r>
        <w:t>il-kontribuzzjonijiet finanzjarji ta’ dawk il-pajjiżi u r-regoli supplimentari meħtieġa għall-parteċipazzjoni tagħhom</w:t>
      </w:r>
      <w:bookmarkEnd w:id="6"/>
      <w:r>
        <w:t xml:space="preserve"> fl-Istrument għall-Appoġġ Finanzjarju għall-Ġestjoni tal-Fruntieri u l-Politika dwar il-Viżi għall-perjodu 2021 sa 2027, inklużi dispożizzjonijiet li jiżguraw il-protezzjoni tal-interessi finanzjarji tal-Unjoni u s-setgħat ta’ awditjar tal-Qorti tal-Awdituri, li għandhom jiġu konklużi skont ir-Regolament (UE) 2021/1148 tal-Parlament Ewropew u tal-Kunsill</w:t>
      </w:r>
      <w:r w:rsidRPr="006F5B95">
        <w:rPr>
          <w:rStyle w:val="FootnoteReference"/>
        </w:rPr>
        <w:footnoteReference w:id="2"/>
      </w:r>
      <w:r>
        <w:t>. In-negozjati mal-Iżlanda ġew konklużi b’suċċess mill-Kummissjoni bl-inizjalar tal-Ftehim fl-14 ta’ Frar 2023.</w:t>
      </w:r>
    </w:p>
    <w:p w:rsidR="006F5B95" w:rsidRPr="006F5B95" w:rsidRDefault="006F5B95" w:rsidP="006F5B95">
      <w:pPr>
        <w:spacing w:after="240"/>
        <w:jc w:val="both"/>
      </w:pPr>
      <w:r>
        <w:t>Fit-13 ta’ Lulju 2023, il-Kummissjoni ppreżentat lill-Kunsill proposta għal Deċiżjoni tal-Kunsill dwar il-konklużjoni, f’isem l-Unjoni Ewropea, tal-Ftehim bejn l-Unjoni Ewropea u l-Iżlanda dwar ir-regoli supplimentari fir-rigward tal-istrument għall-appoġġ finanzjarju għall-ġestjoni tal-fruntieri u l-politika dwar il-viżi, bħala parti mill-Fond għall-Ġestjoni Integrata tal-</w:t>
      </w:r>
      <w:r>
        <w:lastRenderedPageBreak/>
        <w:t>Fruntieri, għall-perjodu 2021 sa 2027</w:t>
      </w:r>
    </w:p>
    <w:p w:rsidR="006F5B95" w:rsidRPr="006F5B95" w:rsidRDefault="006F5B95" w:rsidP="006F5B95">
      <w:pPr>
        <w:spacing w:after="240"/>
        <w:jc w:val="both"/>
      </w:pPr>
      <w:r>
        <w:t>Fit-28 ta’ Settembru 2023, il-Kunsill adotta d-Deċiżjoni tal-Kunsill u fl-istess jum talab lill-Parlament Ewropew jagħti l-approvazzjoni tiegħu għall-abbozz ta’ Deċiżjoni tal-Kunsill dwar il-konklużjoni tal-ftehim imsemmi hawn fuq. Il-Ftehim ġie ffirmat fl-20 ta’ Diċembru 2023 fi Brussell.</w:t>
      </w:r>
    </w:p>
    <w:p w:rsidR="006F5B95" w:rsidRPr="006F5B95" w:rsidRDefault="006F5B95" w:rsidP="006F5B95">
      <w:pPr>
        <w:spacing w:after="240"/>
        <w:jc w:val="both"/>
      </w:pPr>
      <w:r>
        <w:t>Fil-21 ta' Diċembru 2023, il-Kunsill talab lill-Parlament Ewropew jagħti l-approvazzjoni tiegħu għall-abbozz ta' Deċiżjoni tal-Kunsill dwar il-konklużjoni tal-ftehim imsemmi hawn fuq.</w:t>
      </w:r>
    </w:p>
    <w:p w:rsidR="006F5B95" w:rsidRPr="006F5B95" w:rsidRDefault="006F5B95" w:rsidP="006F5B95">
      <w:pPr>
        <w:jc w:val="both"/>
        <w:rPr>
          <w:sz w:val="22"/>
          <w:szCs w:val="22"/>
        </w:rPr>
      </w:pPr>
    </w:p>
    <w:p w:rsidR="006F5B95" w:rsidRPr="006F5B95" w:rsidRDefault="006F5B95" w:rsidP="006F5B95">
      <w:pPr>
        <w:jc w:val="both"/>
        <w:rPr>
          <w:sz w:val="22"/>
          <w:szCs w:val="22"/>
        </w:rPr>
      </w:pPr>
    </w:p>
    <w:p w:rsidR="006F5B95" w:rsidRPr="006F5B95" w:rsidRDefault="006F5B95" w:rsidP="006F5B95">
      <w:pPr>
        <w:jc w:val="both"/>
      </w:pPr>
      <w:r>
        <w:rPr>
          <w:b/>
        </w:rPr>
        <w:t>b. Il-pożizzjoni tar-Rapporteur</w:t>
      </w:r>
    </w:p>
    <w:p w:rsidR="006F5B95" w:rsidRPr="006F5B95" w:rsidRDefault="006F5B95" w:rsidP="006F5B95">
      <w:pPr>
        <w:jc w:val="both"/>
      </w:pPr>
    </w:p>
    <w:p w:rsidR="006F5B95" w:rsidRPr="006F5B95" w:rsidRDefault="006F5B95" w:rsidP="006F5B95">
      <w:pPr>
        <w:spacing w:after="240"/>
        <w:jc w:val="both"/>
      </w:pPr>
      <w:r>
        <w:t>L-Istrument għall-Appoġġ Finanzjarju għall-Ġestjoni tal-Fruntieri u l-Politika dwar il-Viżi, bħala parti mill-Fond għall-Ġestjoni Integrata tal-Fruntieri, jikkostitwixxi strument speċifiku fil-kuntest tal-</w:t>
      </w:r>
      <w:r>
        <w:rPr>
          <w:i/>
          <w:iCs/>
        </w:rPr>
        <w:t>acquis</w:t>
      </w:r>
      <w:r>
        <w:t xml:space="preserve"> ta’ Schengen imfassal biex jiżgura ġestjoni integrata Ewropea tal-fruntieri b’saħħitha u effettiva fil-fruntieri esterni, filwaqt li jissalvagwardja l-moviment liberu tal-persuni, f’konformità sħiħa mal-impenji tal-Istati Membri u tal-pajjiżi assoċjati dwar id-drittijiet fundamentali, u biex jappoġġja l-implimentazzjoni u l-modernizzazzjoni uniformi tal-politika komuni dwar il-viżi, u b’hekk jikkontribwixxi għall-garanzija ta’ livell għoli ta’ sigurtà fl-Istati Membri u fil-pajjiżi assoċjati.</w:t>
      </w:r>
    </w:p>
    <w:p w:rsidR="006F5B95" w:rsidRPr="006F5B95" w:rsidRDefault="006F5B95" w:rsidP="006F5B95">
      <w:pPr>
        <w:spacing w:after="240"/>
        <w:jc w:val="both"/>
      </w:pPr>
      <w:r>
        <w:t xml:space="preserve">Mid-dokumentazzjoni pprovduta, jista’ jiġi stabbilit li l-Iżlanda issa ssegwi r-regoli definiti fir-Regolament li jistabbilixxi l-Istrument għall-Appoġġ Finanzjarju għall-Ġestjoni tal-Fruntieri u l-Politika dwar il-Viżi, u l-artikoli applikabbli tar-Regolament dwar Dispożizzjonijiet Komuni u r-Regolament Finanzjarju, l-istess bħall-Istati Membri tal-UE. </w:t>
      </w:r>
    </w:p>
    <w:p w:rsidR="006F5B95" w:rsidRPr="006F5B95" w:rsidRDefault="006F5B95" w:rsidP="006F5B95">
      <w:pPr>
        <w:spacing w:after="240"/>
        <w:jc w:val="both"/>
      </w:pPr>
      <w:r>
        <w:t>Għal din ir-raġuni, ir-Rapporteur jirrakkomanda l-approvazzjoni għall-konklużjoni tal-Ftehim li jistabbilixxi r-regoli supplimentari meħtieġa għall-parteċipazzjoni tal-Iżlanda fl-Istrument għall-Appoġġ Finanzjarju għall-Ġestjoni tal-Fruntieri u l-Politika dwar il-Viżi bħala parti mill-Fond għall-Ġestjoni Integrata tal-Fruntieri għall-perjodu ta’ programmazzjoni 2021 sa 2027 f’konformità mal-Artikolu 7(6) tar-Regolament BMVI.</w:t>
      </w:r>
    </w:p>
    <w:p w:rsidR="006F5B95" w:rsidRPr="006F5B95" w:rsidRDefault="006F5B95" w:rsidP="006F5B95">
      <w:pPr>
        <w:jc w:val="both"/>
      </w:pPr>
    </w:p>
    <w:p w:rsidR="006F5B95" w:rsidRPr="006F5B95" w:rsidRDefault="006F5B95" w:rsidP="006F5B95"/>
    <w:p w:rsidR="00363B94" w:rsidRPr="006F5B95" w:rsidRDefault="00363B94" w:rsidP="006F5B95">
      <w:pPr>
        <w:pStyle w:val="NormalHanging12a"/>
      </w:pPr>
    </w:p>
    <w:sectPr w:rsidR="00363B94" w:rsidRPr="006F5B95" w:rsidSect="006F5B95"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A99" w:rsidRPr="006F5B95" w:rsidRDefault="00734A99">
      <w:r w:rsidRPr="006F5B95">
        <w:separator/>
      </w:r>
    </w:p>
  </w:endnote>
  <w:endnote w:type="continuationSeparator" w:id="0">
    <w:p w:rsidR="00734A99" w:rsidRPr="006F5B95" w:rsidRDefault="00734A99">
      <w:r w:rsidRPr="006F5B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B95" w:rsidRPr="006F5B95" w:rsidRDefault="006F5B95" w:rsidP="006F5B95">
    <w:pPr>
      <w:pStyle w:val="EPFooter"/>
    </w:pPr>
    <w:r w:rsidRPr="006F5B95">
      <w:t>PE</w:t>
    </w:r>
    <w:r w:rsidRPr="006F5B95">
      <w:rPr>
        <w:rStyle w:val="HideTWBExt"/>
      </w:rPr>
      <w:t>&lt;NoPE&gt;</w:t>
    </w:r>
    <w:r w:rsidRPr="006F5B95">
      <w:t>758.914</w:t>
    </w:r>
    <w:r w:rsidRPr="006F5B95">
      <w:rPr>
        <w:rStyle w:val="HideTWBExt"/>
      </w:rPr>
      <w:t>&lt;/NoPE&gt;&lt;Version&gt;</w:t>
    </w:r>
    <w:r w:rsidRPr="006F5B95">
      <w:t>v01-00</w:t>
    </w:r>
    <w:r w:rsidRPr="006F5B95">
      <w:rPr>
        <w:rStyle w:val="HideTWBExt"/>
      </w:rPr>
      <w:t>&lt;/Version&gt;</w:t>
    </w:r>
    <w:r w:rsidRPr="006F5B95">
      <w:tab/>
    </w:r>
    <w:r w:rsidRPr="006F5B95">
      <w:fldChar w:fldCharType="begin"/>
    </w:r>
    <w:r w:rsidRPr="006F5B95">
      <w:instrText xml:space="preserve"> PAGE  \* MERGEFORMAT </w:instrText>
    </w:r>
    <w:r w:rsidRPr="006F5B95">
      <w:fldChar w:fldCharType="separate"/>
    </w:r>
    <w:r w:rsidR="002E0232">
      <w:rPr>
        <w:noProof/>
      </w:rPr>
      <w:t>7</w:t>
    </w:r>
    <w:r w:rsidRPr="006F5B95">
      <w:fldChar w:fldCharType="end"/>
    </w:r>
    <w:r w:rsidRPr="006F5B95">
      <w:t>/</w:t>
    </w:r>
    <w:r w:rsidR="002E0232">
      <w:fldChar w:fldCharType="begin"/>
    </w:r>
    <w:r w:rsidR="002E0232">
      <w:instrText xml:space="preserve"> NUMPAGES  \* MERGEFORMAT </w:instrText>
    </w:r>
    <w:r w:rsidR="002E0232">
      <w:fldChar w:fldCharType="separate"/>
    </w:r>
    <w:r w:rsidR="002E0232">
      <w:rPr>
        <w:noProof/>
      </w:rPr>
      <w:t>7</w:t>
    </w:r>
    <w:r w:rsidR="002E0232">
      <w:rPr>
        <w:noProof/>
      </w:rPr>
      <w:fldChar w:fldCharType="end"/>
    </w:r>
    <w:r w:rsidRPr="006F5B95">
      <w:tab/>
    </w:r>
    <w:r w:rsidRPr="006F5B95">
      <w:rPr>
        <w:rStyle w:val="HideTWBExt"/>
      </w:rPr>
      <w:t>&lt;PathFdR&gt;</w:t>
    </w:r>
    <w:r w:rsidRPr="006F5B95">
      <w:t>PR\1296235MT.docx</w:t>
    </w:r>
    <w:r w:rsidRPr="006F5B95">
      <w:rPr>
        <w:rStyle w:val="HideTWBExt"/>
      </w:rPr>
      <w:t>&lt;/PathFdR&gt;</w:t>
    </w:r>
  </w:p>
  <w:p w:rsidR="006F5B95" w:rsidRPr="006F5B95" w:rsidRDefault="006F5B95" w:rsidP="006F5B95">
    <w:pPr>
      <w:pStyle w:val="EPFooter2"/>
    </w:pPr>
    <w:r w:rsidRPr="006F5B95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B95" w:rsidRPr="006F5B95" w:rsidRDefault="006F5B95" w:rsidP="006F5B95">
    <w:pPr>
      <w:pStyle w:val="EPFooter"/>
    </w:pPr>
    <w:r w:rsidRPr="006F5B95">
      <w:rPr>
        <w:rStyle w:val="HideTWBExt"/>
      </w:rPr>
      <w:t>&lt;PathFdR&gt;</w:t>
    </w:r>
    <w:r w:rsidRPr="006F5B95">
      <w:t>PR\1296235MT.docx</w:t>
    </w:r>
    <w:r w:rsidRPr="006F5B95">
      <w:rPr>
        <w:rStyle w:val="HideTWBExt"/>
      </w:rPr>
      <w:t>&lt;/PathFdR&gt;</w:t>
    </w:r>
    <w:r w:rsidRPr="006F5B95">
      <w:tab/>
    </w:r>
    <w:r w:rsidRPr="006F5B95">
      <w:fldChar w:fldCharType="begin"/>
    </w:r>
    <w:r w:rsidRPr="006F5B95">
      <w:instrText xml:space="preserve"> PAGE  \* MERGEFORMAT </w:instrText>
    </w:r>
    <w:r w:rsidRPr="006F5B95">
      <w:fldChar w:fldCharType="separate"/>
    </w:r>
    <w:r w:rsidR="002E0232">
      <w:rPr>
        <w:noProof/>
      </w:rPr>
      <w:t>7</w:t>
    </w:r>
    <w:r w:rsidRPr="006F5B95">
      <w:fldChar w:fldCharType="end"/>
    </w:r>
    <w:r w:rsidRPr="006F5B95">
      <w:t>/</w:t>
    </w:r>
    <w:r w:rsidR="002E0232">
      <w:fldChar w:fldCharType="begin"/>
    </w:r>
    <w:r w:rsidR="002E0232">
      <w:instrText xml:space="preserve"> NUMPAGES  \* MERGEFORMAT </w:instrText>
    </w:r>
    <w:r w:rsidR="002E0232">
      <w:fldChar w:fldCharType="separate"/>
    </w:r>
    <w:r w:rsidR="002E0232">
      <w:rPr>
        <w:noProof/>
      </w:rPr>
      <w:t>7</w:t>
    </w:r>
    <w:r w:rsidR="002E0232">
      <w:rPr>
        <w:noProof/>
      </w:rPr>
      <w:fldChar w:fldCharType="end"/>
    </w:r>
    <w:r w:rsidRPr="006F5B95">
      <w:tab/>
      <w:t>PE</w:t>
    </w:r>
    <w:r w:rsidRPr="006F5B95">
      <w:rPr>
        <w:rStyle w:val="HideTWBExt"/>
      </w:rPr>
      <w:t>&lt;NoPE&gt;</w:t>
    </w:r>
    <w:r w:rsidRPr="006F5B95">
      <w:t>758.914</w:t>
    </w:r>
    <w:r w:rsidRPr="006F5B95">
      <w:rPr>
        <w:rStyle w:val="HideTWBExt"/>
      </w:rPr>
      <w:t>&lt;/NoPE&gt;&lt;Version&gt;</w:t>
    </w:r>
    <w:r w:rsidRPr="006F5B95">
      <w:t>v01-00</w:t>
    </w:r>
    <w:r w:rsidRPr="006F5B95">
      <w:rPr>
        <w:rStyle w:val="HideTWBExt"/>
      </w:rPr>
      <w:t>&lt;/Version&gt;</w:t>
    </w:r>
  </w:p>
  <w:p w:rsidR="006F5B95" w:rsidRPr="006F5B95" w:rsidRDefault="006F5B95" w:rsidP="006F5B95">
    <w:pPr>
      <w:pStyle w:val="EPFooter2"/>
    </w:pPr>
    <w:r w:rsidRPr="006F5B95">
      <w:tab/>
    </w:r>
    <w:r w:rsidRPr="006F5B95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B95" w:rsidRPr="006F5B95" w:rsidRDefault="006F5B95" w:rsidP="006F5B95">
    <w:pPr>
      <w:pStyle w:val="EPFooter"/>
    </w:pPr>
    <w:r w:rsidRPr="006F5B95">
      <w:rPr>
        <w:rStyle w:val="HideTWBExt"/>
      </w:rPr>
      <w:t>&lt;PathFdR&gt;</w:t>
    </w:r>
    <w:r w:rsidRPr="006F5B95">
      <w:t>PR\1296235MT.docx</w:t>
    </w:r>
    <w:r w:rsidRPr="006F5B95">
      <w:rPr>
        <w:rStyle w:val="HideTWBExt"/>
      </w:rPr>
      <w:t>&lt;/PathFdR&gt;</w:t>
    </w:r>
    <w:r w:rsidRPr="006F5B95">
      <w:tab/>
    </w:r>
    <w:r w:rsidRPr="006F5B95">
      <w:tab/>
      <w:t>PE</w:t>
    </w:r>
    <w:r w:rsidRPr="006F5B95">
      <w:rPr>
        <w:rStyle w:val="HideTWBExt"/>
      </w:rPr>
      <w:t>&lt;NoPE&gt;</w:t>
    </w:r>
    <w:r w:rsidRPr="006F5B95">
      <w:t>758.914</w:t>
    </w:r>
    <w:r w:rsidRPr="006F5B95">
      <w:rPr>
        <w:rStyle w:val="HideTWBExt"/>
      </w:rPr>
      <w:t>&lt;/NoPE&gt;&lt;Version&gt;</w:t>
    </w:r>
    <w:r w:rsidRPr="006F5B95">
      <w:t>v01-00</w:t>
    </w:r>
    <w:r w:rsidRPr="006F5B95">
      <w:rPr>
        <w:rStyle w:val="HideTWBExt"/>
      </w:rPr>
      <w:t>&lt;/Version&gt;</w:t>
    </w:r>
  </w:p>
  <w:p w:rsidR="006F5B95" w:rsidRPr="006F5B95" w:rsidRDefault="006F5B95" w:rsidP="006F5B95">
    <w:pPr>
      <w:pStyle w:val="EPFooter2"/>
    </w:pPr>
    <w:r w:rsidRPr="006F5B95">
      <w:t>MT</w:t>
    </w:r>
    <w:r w:rsidRPr="006F5B95">
      <w:tab/>
    </w:r>
    <w:r w:rsidRPr="006F5B95">
      <w:rPr>
        <w:b w:val="0"/>
        <w:i/>
        <w:color w:val="C0C0C0"/>
        <w:sz w:val="22"/>
      </w:rPr>
      <w:t>Magħquda fid-diversità</w:t>
    </w:r>
    <w:r w:rsidRPr="006F5B95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6F5B95" w:rsidRDefault="0085501C" w:rsidP="00B6769C">
    <w:pPr>
      <w:pStyle w:val="EPFooter"/>
    </w:pPr>
    <w:r w:rsidRPr="006F5B95">
      <w:rPr>
        <w:rStyle w:val="HideTWBExt"/>
      </w:rPr>
      <w:t>&lt;PathFdR&gt;</w:t>
    </w:r>
    <w:r w:rsidR="006F5B95" w:rsidRPr="006F5B95">
      <w:rPr>
        <w:color w:val="auto"/>
      </w:rPr>
      <w:t>PR\1296235MT.docx</w:t>
    </w:r>
    <w:r w:rsidRPr="006F5B95">
      <w:rPr>
        <w:rStyle w:val="HideTWBExt"/>
      </w:rPr>
      <w:t>&lt;/PathFdR&gt;</w:t>
    </w:r>
    <w:r w:rsidRPr="006F5B95">
      <w:tab/>
    </w:r>
    <w:r w:rsidRPr="006F5B95">
      <w:tab/>
      <w:t>PE</w:t>
    </w:r>
    <w:r w:rsidRPr="006F5B95">
      <w:rPr>
        <w:rStyle w:val="HideTWBExt"/>
      </w:rPr>
      <w:t>&lt;NoPE&gt;</w:t>
    </w:r>
    <w:r w:rsidR="006F5B95" w:rsidRPr="006F5B95">
      <w:rPr>
        <w:color w:val="auto"/>
      </w:rPr>
      <w:t>758.914</w:t>
    </w:r>
    <w:r w:rsidRPr="006F5B95">
      <w:rPr>
        <w:rStyle w:val="HideTWBExt"/>
      </w:rPr>
      <w:t>&lt;/NoPE&gt;&lt;Version&gt;</w:t>
    </w:r>
    <w:r w:rsidR="00734A99" w:rsidRPr="006F5B95">
      <w:t>v</w:t>
    </w:r>
    <w:r w:rsidR="006F5B95" w:rsidRPr="006F5B95">
      <w:rPr>
        <w:color w:val="auto"/>
      </w:rPr>
      <w:t>01-00</w:t>
    </w:r>
    <w:r w:rsidRPr="006F5B95">
      <w:rPr>
        <w:rStyle w:val="HideTWBExt"/>
      </w:rPr>
      <w:t>&lt;/Version&gt;</w:t>
    </w:r>
  </w:p>
  <w:p w:rsidR="0085501C" w:rsidRPr="006F5B95" w:rsidRDefault="00C05DD8" w:rsidP="009612AA">
    <w:pPr>
      <w:pStyle w:val="EPFooter2"/>
      <w:tabs>
        <w:tab w:val="clear" w:pos="4535"/>
        <w:tab w:val="center" w:pos="4536"/>
      </w:tabs>
    </w:pPr>
    <w:fldSimple w:instr=" DOCPROPERTY &quot;&lt;Extension&gt;&quot; ">
      <w:r w:rsidR="002E0232">
        <w:t>MT</w:t>
      </w:r>
    </w:fldSimple>
    <w:r w:rsidR="0085501C" w:rsidRPr="006F5B95">
      <w:tab/>
    </w:r>
    <w:r w:rsidR="006F5B95" w:rsidRPr="006F5B95">
      <w:rPr>
        <w:b w:val="0"/>
        <w:i/>
        <w:color w:val="C0C0C0"/>
        <w:sz w:val="22"/>
        <w:szCs w:val="22"/>
      </w:rPr>
      <w:t>Magħquda fid-diversità</w:t>
    </w:r>
    <w:r w:rsidR="0085501C" w:rsidRPr="006F5B95">
      <w:tab/>
    </w:r>
    <w:fldSimple w:instr=" DOCPROPERTY &quot;&lt;Extension&gt;&quot; ">
      <w:r w:rsidR="002E0232">
        <w:t>MT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A99" w:rsidRPr="006F5B95" w:rsidRDefault="00734A99">
      <w:r w:rsidRPr="006F5B95">
        <w:separator/>
      </w:r>
    </w:p>
  </w:footnote>
  <w:footnote w:type="continuationSeparator" w:id="0">
    <w:p w:rsidR="00734A99" w:rsidRPr="006F5B95" w:rsidRDefault="00734A99">
      <w:r w:rsidRPr="006F5B95">
        <w:continuationSeparator/>
      </w:r>
    </w:p>
  </w:footnote>
  <w:footnote w:id="1">
    <w:p w:rsidR="006F5B95" w:rsidRPr="006F5B95" w:rsidRDefault="006F5B95" w:rsidP="006F5B95">
      <w:pPr>
        <w:pStyle w:val="FootnoteText"/>
        <w:jc w:val="both"/>
      </w:pPr>
      <w:r>
        <w:rPr>
          <w:rStyle w:val="FootnoteReference"/>
        </w:rPr>
        <w:footnoteRef/>
      </w:r>
      <w:r>
        <w:rPr>
          <w:b/>
        </w:rPr>
        <w:t xml:space="preserve"> </w:t>
      </w:r>
      <w:r>
        <w:tab/>
        <w:t>Id-Deċiżjoni tal-Kunsill (UE) 2022/442 tal-21 ta’ Frar 2022 li tawtorizza l-ftuħ ta’ negozjati mal-Iżlanda, ir-Renju tan-Norveġja, il-Konfederazzjoni Żvizzera u l-Prinċipat tal-Liechtenstein bil-ħsieb li jiġu konklużi ftehimiet bejn l-Unjoni Ewropea u dawk il-pajjiżi dwar regoli supplementari fir-rigward tal-Istrument għall-Appoġġ Finanzjarju għall-Ġestjoni tal-Fruntieri u l-Politika dwar il-Viżi, bħala parti mill-Fond għall-Ġestjoni Integrata tal-Fruntieri (ĠU L 90, 18.3.2022, p. 116).</w:t>
      </w:r>
    </w:p>
  </w:footnote>
  <w:footnote w:id="2">
    <w:p w:rsidR="006F5B95" w:rsidRPr="006F5B95" w:rsidRDefault="006F5B95" w:rsidP="006F5B95">
      <w:pPr>
        <w:pStyle w:val="FootnoteText"/>
        <w:jc w:val="both"/>
      </w:pPr>
      <w:r>
        <w:rPr>
          <w:rStyle w:val="FootnoteReference"/>
        </w:rPr>
        <w:footnoteRef/>
      </w:r>
      <w:r>
        <w:rPr>
          <w:b/>
        </w:rPr>
        <w:t xml:space="preserve"> </w:t>
      </w:r>
      <w:r>
        <w:tab/>
        <w:t>Ir-Regolament (UE) 2021/1148 tal-Parlament Ewropew u tal-Kunsill tas-7 ta’ Lulju 2021 li jistabbilixxi, bħala parti mill-Fond għall-Ġestjoni Integrata tal-Fruntieri, l-Istrument għall-Appoġġ Finanzjarju għall-Ġestjoni tal-Fruntieri u l-Politika dwar il-Viżi (ĠU L 251, 15.7.2021, p. 48).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5EF" w:rsidRDefault="007815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5EF" w:rsidRDefault="007815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5EF" w:rsidRDefault="007815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LastEditedSection" w:val=" 1"/>
    <w:docVar w:name="strDocTypeID" w:val="PR_NLE-AP_Agreement"/>
    <w:docVar w:name="strSubDir" w:val="1296"/>
    <w:docVar w:name="TXTAUTHOR" w:val="Malik Azmani"/>
    <w:docVar w:name="TXTLANGUE" w:val="MT"/>
    <w:docVar w:name="TXTLANGUEMIN" w:val="mt"/>
    <w:docVar w:name="TXTNRNLE" w:val="2023/0231"/>
    <w:docVar w:name="TXTNRPE" w:val="758.914"/>
    <w:docVar w:name="TXTPEorAP" w:val="PE"/>
    <w:docVar w:name="TXTROUTE" w:val="PR\1296235MT.docx"/>
    <w:docVar w:name="TXTVERSION" w:val="01-00"/>
  </w:docVars>
  <w:rsids>
    <w:rsidRoot w:val="00734A99"/>
    <w:rsid w:val="00001D52"/>
    <w:rsid w:val="0000443F"/>
    <w:rsid w:val="000053E3"/>
    <w:rsid w:val="0006167F"/>
    <w:rsid w:val="00061EFE"/>
    <w:rsid w:val="00095D8B"/>
    <w:rsid w:val="000A2F73"/>
    <w:rsid w:val="000C123D"/>
    <w:rsid w:val="000D78AF"/>
    <w:rsid w:val="00180664"/>
    <w:rsid w:val="001874D8"/>
    <w:rsid w:val="001D02E3"/>
    <w:rsid w:val="001F7BBE"/>
    <w:rsid w:val="0021049A"/>
    <w:rsid w:val="0022685A"/>
    <w:rsid w:val="002E0232"/>
    <w:rsid w:val="002E2E20"/>
    <w:rsid w:val="002F5A83"/>
    <w:rsid w:val="003072BE"/>
    <w:rsid w:val="00337C92"/>
    <w:rsid w:val="00363B94"/>
    <w:rsid w:val="003B598C"/>
    <w:rsid w:val="004174FC"/>
    <w:rsid w:val="00460BD6"/>
    <w:rsid w:val="004859B3"/>
    <w:rsid w:val="004C083C"/>
    <w:rsid w:val="004E1650"/>
    <w:rsid w:val="0053367A"/>
    <w:rsid w:val="00544D48"/>
    <w:rsid w:val="005877C0"/>
    <w:rsid w:val="005A6B14"/>
    <w:rsid w:val="005D0B97"/>
    <w:rsid w:val="005F5D6C"/>
    <w:rsid w:val="006132CE"/>
    <w:rsid w:val="00613F2E"/>
    <w:rsid w:val="006A1A75"/>
    <w:rsid w:val="006A2CF5"/>
    <w:rsid w:val="006F1B6F"/>
    <w:rsid w:val="006F5B95"/>
    <w:rsid w:val="00734A99"/>
    <w:rsid w:val="007815EF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D5D0C"/>
    <w:rsid w:val="00B31D18"/>
    <w:rsid w:val="00B42885"/>
    <w:rsid w:val="00B50C20"/>
    <w:rsid w:val="00B6769C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B5651"/>
    <w:rsid w:val="00CC20CB"/>
    <w:rsid w:val="00CF44DF"/>
    <w:rsid w:val="00D04E0B"/>
    <w:rsid w:val="00D62DA0"/>
    <w:rsid w:val="00D6543C"/>
    <w:rsid w:val="00DF594D"/>
    <w:rsid w:val="00E14FEE"/>
    <w:rsid w:val="00E71368"/>
    <w:rsid w:val="00E93816"/>
    <w:rsid w:val="00EA59ED"/>
    <w:rsid w:val="00EF48F2"/>
    <w:rsid w:val="00F04010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63ABA-256B-498B-9C3F-2CB6D6B1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6F5B9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F5B9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F5B95"/>
    <w:rPr>
      <w:sz w:val="18"/>
    </w:rPr>
  </w:style>
  <w:style w:type="paragraph" w:styleId="FootnoteText">
    <w:name w:val="footnote text"/>
    <w:basedOn w:val="Normal"/>
    <w:link w:val="FootnoteTextChar"/>
    <w:uiPriority w:val="99"/>
    <w:unhideWhenUsed/>
    <w:rsid w:val="006F5B95"/>
    <w:pPr>
      <w:widowControl/>
      <w:ind w:left="720" w:hanging="720"/>
    </w:pPr>
    <w:rPr>
      <w:rFonts w:eastAsiaTheme="minorHAnsi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F5B95"/>
    <w:rPr>
      <w:rFonts w:eastAsiaTheme="minorHAnsi"/>
      <w:sz w:val="24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6F5B95"/>
    <w:rPr>
      <w:b/>
      <w:bdr w:val="none" w:sz="0" w:space="0" w:color="auto"/>
      <w:shd w:val="clear" w:color="auto" w:fill="auto"/>
      <w:vertAlign w:val="superscript"/>
    </w:rPr>
  </w:style>
  <w:style w:type="paragraph" w:styleId="Footer">
    <w:name w:val="footer"/>
    <w:basedOn w:val="Normal"/>
    <w:link w:val="FooterChar"/>
    <w:semiHidden/>
    <w:rsid w:val="002E02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E023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vella\AppData\Local\Temp\PR_NLE-AP_Agree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CD3A5-7C9A-4770-928A-93B91128F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PR_NLE-AP_Agreement.dotx</Template>
  <TotalTime>0</TotalTime>
  <Pages>7</Pages>
  <Words>823</Words>
  <Characters>6789</Characters>
  <Application>Microsoft Office Word</Application>
  <DocSecurity>0</DocSecurity>
  <Lines>138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VELLA George</dc:creator>
  <cp:keywords/>
  <cp:lastModifiedBy>VELLA George</cp:lastModifiedBy>
  <cp:revision>2</cp:revision>
  <cp:lastPrinted>2002-12-11T09:25:00Z</cp:lastPrinted>
  <dcterms:created xsi:type="dcterms:W3CDTF">2024-02-15T13:23:00Z</dcterms:created>
  <dcterms:modified xsi:type="dcterms:W3CDTF">2024-02-15T13:23:00Z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9.17.1 Build [20240110]</vt:lpwstr>
  </property>
  <property fmtid="{D5CDD505-2E9C-101B-9397-08002B2CF9AE}" pid="4" name="LastEdited with">
    <vt:lpwstr>9.17.1 Build [20240110]</vt:lpwstr>
  </property>
  <property fmtid="{D5CDD505-2E9C-101B-9397-08002B2CF9AE}" pid="5" name="&lt;FdR&gt;">
    <vt:lpwstr>1296235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\\eiciLUXpr1\pdocep$\DocEP\DOCS\General\PR\PR_Leg\NLE\PR_NLE-AP_Agreement.dotx(17/04/2020 18:28:04)</vt:lpwstr>
  </property>
  <property fmtid="{D5CDD505-2E9C-101B-9397-08002B2CF9AE}" pid="8" name="&lt;ModelTra&gt;">
    <vt:lpwstr>\\eiciLUXpr1\pdocep$\DocEP\TRANSFIL\MT\PR_NLE-AP_Agreement.MT(25/05/2023 15:04:13)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PR\1296235MT.docx</vt:lpwstr>
  </property>
  <property fmtid="{D5CDD505-2E9C-101B-9397-08002B2CF9AE}" pid="11" name="PE number">
    <vt:lpwstr>758.914</vt:lpwstr>
  </property>
  <property fmtid="{D5CDD505-2E9C-101B-9397-08002B2CF9AE}" pid="12" name="SDLStudio">
    <vt:lpwstr/>
  </property>
  <property fmtid="{D5CDD505-2E9C-101B-9397-08002B2CF9AE}" pid="13" name="Bookout">
    <vt:lpwstr>OK - 2024/02/15 14:23</vt:lpwstr>
  </property>
</Properties>
</file>