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53AA7" w:rsidRPr="00177052" w:rsidTr="00C85D0F">
        <w:trPr>
          <w:trHeight w:hRule="exact" w:val="1418"/>
        </w:trPr>
        <w:tc>
          <w:tcPr>
            <w:tcW w:w="6804" w:type="dxa"/>
            <w:shd w:val="clear" w:color="auto" w:fill="auto"/>
            <w:vAlign w:val="center"/>
          </w:tcPr>
          <w:p w:rsidR="00C05DD8" w:rsidRPr="00177052" w:rsidRDefault="00E70C59" w:rsidP="00C85D0F">
            <w:pPr>
              <w:pStyle w:val="EPName"/>
            </w:pPr>
            <w:r w:rsidRPr="00177052">
              <w:t>Europa-Parlamentet</w:t>
            </w:r>
          </w:p>
          <w:p w:rsidR="00C05DD8" w:rsidRPr="00177052" w:rsidRDefault="00E70C59" w:rsidP="007B1F4A">
            <w:pPr>
              <w:pStyle w:val="EPTerm"/>
            </w:pPr>
            <w:r w:rsidRPr="00177052">
              <w:t>2019-2024</w:t>
            </w:r>
          </w:p>
        </w:tc>
        <w:tc>
          <w:tcPr>
            <w:tcW w:w="2268" w:type="dxa"/>
            <w:shd w:val="clear" w:color="auto" w:fill="auto"/>
          </w:tcPr>
          <w:p w:rsidR="00C05DD8" w:rsidRPr="00177052" w:rsidRDefault="00E70C59" w:rsidP="00C85D0F">
            <w:pPr>
              <w:pStyle w:val="EPLogo"/>
            </w:pPr>
            <w:r w:rsidRPr="00177052">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9612AA" w:rsidRPr="00177052" w:rsidRDefault="009612AA" w:rsidP="009612AA">
      <w:pPr>
        <w:pStyle w:val="LineTop"/>
      </w:pPr>
    </w:p>
    <w:p w:rsidR="009612AA" w:rsidRPr="00177052" w:rsidRDefault="00E70C59" w:rsidP="009612AA">
      <w:pPr>
        <w:pStyle w:val="EPBody"/>
      </w:pPr>
      <w:r w:rsidRPr="00177052">
        <w:rPr>
          <w:rStyle w:val="HideTWBExt"/>
          <w:noProof w:val="0"/>
        </w:rPr>
        <w:t>&lt;</w:t>
      </w:r>
      <w:r w:rsidRPr="00177052">
        <w:rPr>
          <w:rStyle w:val="HideTWBExt"/>
          <w:i w:val="0"/>
          <w:noProof w:val="0"/>
        </w:rPr>
        <w:t>Commission</w:t>
      </w:r>
      <w:r w:rsidRPr="00177052">
        <w:rPr>
          <w:rStyle w:val="HideTWBExt"/>
          <w:noProof w:val="0"/>
        </w:rPr>
        <w:t>&gt;</w:t>
      </w:r>
      <w:r w:rsidRPr="00177052">
        <w:rPr>
          <w:rStyle w:val="HideTWBInt"/>
          <w:color w:val="auto"/>
        </w:rPr>
        <w:t>{LIBE}</w:t>
      </w:r>
      <w:r w:rsidRPr="00177052">
        <w:t>Udvalget om Borgernes Rettigheder og Retlige og Indre Anliggender</w:t>
      </w:r>
      <w:r w:rsidRPr="00177052">
        <w:rPr>
          <w:rStyle w:val="HideTWBExt"/>
          <w:noProof w:val="0"/>
        </w:rPr>
        <w:t>&lt;/</w:t>
      </w:r>
      <w:r w:rsidRPr="00177052">
        <w:rPr>
          <w:rStyle w:val="HideTWBExt"/>
          <w:i w:val="0"/>
          <w:noProof w:val="0"/>
        </w:rPr>
        <w:t>Commission</w:t>
      </w:r>
      <w:r w:rsidRPr="00177052">
        <w:rPr>
          <w:rStyle w:val="HideTWBExt"/>
          <w:noProof w:val="0"/>
        </w:rPr>
        <w:t>&gt;</w:t>
      </w:r>
    </w:p>
    <w:p w:rsidR="009612AA" w:rsidRPr="00177052" w:rsidRDefault="009612AA" w:rsidP="009612AA">
      <w:pPr>
        <w:pStyle w:val="LineBottom"/>
      </w:pPr>
    </w:p>
    <w:p w:rsidR="00363B94" w:rsidRPr="00177052" w:rsidRDefault="00E70C59">
      <w:pPr>
        <w:pStyle w:val="CoverReference"/>
      </w:pPr>
      <w:r w:rsidRPr="00177052">
        <w:rPr>
          <w:rStyle w:val="HideTWBExt"/>
          <w:b w:val="0"/>
          <w:noProof w:val="0"/>
        </w:rPr>
        <w:t>&lt;RefProc&gt;</w:t>
      </w:r>
      <w:r w:rsidRPr="00177052">
        <w:t>2023/0334</w:t>
      </w:r>
      <w:r w:rsidRPr="00177052">
        <w:rPr>
          <w:rStyle w:val="HideTWBExt"/>
          <w:b w:val="0"/>
          <w:noProof w:val="0"/>
        </w:rPr>
        <w:t>&lt;/RefProc&gt;&lt;RefTypeProc&gt;</w:t>
      </w:r>
      <w:r w:rsidRPr="00177052">
        <w:t>(NLE)</w:t>
      </w:r>
      <w:r w:rsidRPr="00177052">
        <w:rPr>
          <w:rStyle w:val="HideTWBExt"/>
          <w:b w:val="0"/>
          <w:noProof w:val="0"/>
        </w:rPr>
        <w:t>&lt;/RefTypeProc&gt;</w:t>
      </w:r>
    </w:p>
    <w:p w:rsidR="00363B94" w:rsidRPr="00177052" w:rsidRDefault="00E70C59">
      <w:pPr>
        <w:pStyle w:val="CoverDate"/>
      </w:pPr>
      <w:r w:rsidRPr="00177052">
        <w:rPr>
          <w:rStyle w:val="HideTWBExt"/>
          <w:noProof w:val="0"/>
        </w:rPr>
        <w:t>&lt;Date&gt;</w:t>
      </w:r>
      <w:r w:rsidRPr="00177052">
        <w:rPr>
          <w:rStyle w:val="HideTWBInt"/>
          <w:color w:val="auto"/>
        </w:rPr>
        <w:t>{14/02/2024}</w:t>
      </w:r>
      <w:r w:rsidRPr="00177052">
        <w:t>14.2.2024</w:t>
      </w:r>
      <w:bookmarkStart w:id="0" w:name="_GoBack"/>
      <w:bookmarkEnd w:id="0"/>
      <w:r w:rsidRPr="00177052">
        <w:rPr>
          <w:rStyle w:val="HideTWBExt"/>
          <w:noProof w:val="0"/>
        </w:rPr>
        <w:t>&lt;/Date&gt;</w:t>
      </w:r>
    </w:p>
    <w:p w:rsidR="00363B94" w:rsidRPr="00177052" w:rsidRDefault="00E70C59">
      <w:pPr>
        <w:pStyle w:val="CoverDocType"/>
      </w:pPr>
      <w:r w:rsidRPr="00177052">
        <w:rPr>
          <w:rStyle w:val="HideTWBExt"/>
          <w:b w:val="0"/>
          <w:noProof w:val="0"/>
        </w:rPr>
        <w:t>&lt;RefProcLect&gt;</w:t>
      </w:r>
      <w:r w:rsidRPr="00177052">
        <w:t>***</w:t>
      </w:r>
      <w:r w:rsidRPr="00177052">
        <w:rPr>
          <w:rStyle w:val="HideTWBExt"/>
          <w:b w:val="0"/>
          <w:noProof w:val="0"/>
        </w:rPr>
        <w:t>&lt;/RefProcLect&gt;</w:t>
      </w:r>
    </w:p>
    <w:p w:rsidR="00363B94" w:rsidRPr="00177052" w:rsidRDefault="00E70C59">
      <w:pPr>
        <w:pStyle w:val="CoverDocType24a"/>
      </w:pPr>
      <w:r w:rsidRPr="00177052">
        <w:rPr>
          <w:rStyle w:val="HideTWBExt"/>
          <w:b w:val="0"/>
          <w:noProof w:val="0"/>
        </w:rPr>
        <w:t>&lt;TitreType&gt;</w:t>
      </w:r>
      <w:r w:rsidRPr="00177052">
        <w:t>UDKAST TIL HENSTILLING</w:t>
      </w:r>
      <w:r w:rsidRPr="00177052">
        <w:rPr>
          <w:rStyle w:val="HideTWBExt"/>
          <w:b w:val="0"/>
          <w:noProof w:val="0"/>
        </w:rPr>
        <w:t>&lt;/TitreType&gt;</w:t>
      </w:r>
    </w:p>
    <w:p w:rsidR="00363B94" w:rsidRPr="00177052" w:rsidRDefault="00E70C59">
      <w:pPr>
        <w:pStyle w:val="CoverNormal"/>
      </w:pPr>
      <w:r w:rsidRPr="00177052">
        <w:rPr>
          <w:rStyle w:val="HideTWBExt"/>
          <w:noProof w:val="0"/>
        </w:rPr>
        <w:t>&lt;Titre&gt;</w:t>
      </w:r>
      <w:r w:rsidRPr="00177052">
        <w:t>om udkast til Rådets afgørelse om indgåelse på Unionens vegne af aftalen mellem Den Europæiske Union og Fyrstendømmet Liechtenstein om supplerende regler vedrørende instrumentet for finans</w:t>
      </w:r>
      <w:r w:rsidRPr="00177052">
        <w:t>iel støtte til grænseforvaltning og visumpolitik som del af Fonden for Integreret Grænseforvaltning for perioden 2021-2027</w:t>
      </w:r>
      <w:r w:rsidRPr="00177052">
        <w:rPr>
          <w:rStyle w:val="HideTWBExt"/>
          <w:noProof w:val="0"/>
        </w:rPr>
        <w:t>&lt;/Titre&gt;</w:t>
      </w:r>
    </w:p>
    <w:p w:rsidR="00363B94" w:rsidRPr="00177052" w:rsidRDefault="00E70C59">
      <w:pPr>
        <w:pStyle w:val="CoverNormal24a"/>
      </w:pPr>
      <w:r w:rsidRPr="00177052">
        <w:rPr>
          <w:rStyle w:val="HideTWBExt"/>
          <w:noProof w:val="0"/>
        </w:rPr>
        <w:t>&lt;DocRef&gt;</w:t>
      </w:r>
      <w:r w:rsidRPr="00177052">
        <w:t>(13936/2023 – C9</w:t>
      </w:r>
      <w:r w:rsidRPr="00177052">
        <w:noBreakHyphen/>
        <w:t>0462/2023 – 2023/0334(NLE))</w:t>
      </w:r>
      <w:r w:rsidRPr="00177052">
        <w:rPr>
          <w:rStyle w:val="HideTWBExt"/>
          <w:noProof w:val="0"/>
        </w:rPr>
        <w:t>&lt;/DocRef&gt;</w:t>
      </w:r>
    </w:p>
    <w:p w:rsidR="00363B94" w:rsidRPr="00177052" w:rsidRDefault="00E70C59">
      <w:pPr>
        <w:pStyle w:val="CoverNormal24a"/>
      </w:pPr>
      <w:r w:rsidRPr="00177052">
        <w:rPr>
          <w:rStyle w:val="HideTWBExt"/>
          <w:noProof w:val="0"/>
        </w:rPr>
        <w:t>&lt;Commission&gt;</w:t>
      </w:r>
      <w:r w:rsidRPr="00177052">
        <w:rPr>
          <w:rStyle w:val="HideTWBInt"/>
          <w:color w:val="auto"/>
        </w:rPr>
        <w:t>{LIBE}</w:t>
      </w:r>
      <w:r w:rsidRPr="00177052">
        <w:t xml:space="preserve">Udvalget om Borgernes Rettigheder og Retlige </w:t>
      </w:r>
      <w:r w:rsidRPr="00177052">
        <w:t>og Indre Anliggender</w:t>
      </w:r>
      <w:r w:rsidRPr="00177052">
        <w:rPr>
          <w:rStyle w:val="HideTWBExt"/>
          <w:noProof w:val="0"/>
        </w:rPr>
        <w:t>&lt;/Commission&gt;</w:t>
      </w:r>
    </w:p>
    <w:p w:rsidR="00363B94" w:rsidRPr="00177052" w:rsidRDefault="00E70C59">
      <w:pPr>
        <w:pStyle w:val="CoverNormal24a"/>
      </w:pPr>
      <w:r w:rsidRPr="00177052">
        <w:t xml:space="preserve">Ordfører: </w:t>
      </w:r>
      <w:r w:rsidRPr="00177052">
        <w:rPr>
          <w:rStyle w:val="HideTWBExt"/>
          <w:noProof w:val="0"/>
        </w:rPr>
        <w:t>&lt;Depute&gt;</w:t>
      </w:r>
      <w:r w:rsidRPr="00177052">
        <w:t>Paulo Rangel</w:t>
      </w:r>
      <w:r w:rsidRPr="00177052">
        <w:rPr>
          <w:rStyle w:val="HideTWBExt"/>
          <w:noProof w:val="0"/>
        </w:rPr>
        <w:t>&lt;/Depute&gt;</w:t>
      </w:r>
    </w:p>
    <w:p w:rsidR="00B42885" w:rsidRPr="00177052" w:rsidRDefault="00B42885" w:rsidP="00B42885">
      <w:pPr>
        <w:pStyle w:val="CoverNormal"/>
      </w:pPr>
    </w:p>
    <w:p w:rsidR="007B1F4A" w:rsidRPr="00177052" w:rsidRDefault="00E70C59" w:rsidP="00016E55">
      <w:r w:rsidRPr="00177052">
        <w:br w:type="page"/>
      </w:r>
      <w:r w:rsidRPr="00177052">
        <w:lastRenderedPageBreak/>
        <w:fldChar w:fldCharType="begin"/>
      </w:r>
      <w:r w:rsidRPr="00177052">
        <w:instrText xml:space="preserve"> TITLE  \* MERGEFORMAT </w:instrText>
      </w:r>
      <w:r w:rsidRPr="00177052">
        <w:fldChar w:fldCharType="separate"/>
      </w:r>
      <w:r>
        <w:t>PR_NLE-AP_Agreement</w:t>
      </w:r>
      <w:r w:rsidRPr="00177052">
        <w:fldChar w:fldCharType="end"/>
      </w:r>
    </w:p>
    <w:p w:rsidR="007B1F4A" w:rsidRPr="00177052" w:rsidRDefault="007B1F4A" w:rsidP="00016E55"/>
    <w:p w:rsidR="007B1F4A" w:rsidRPr="00177052" w:rsidRDefault="007B1F4A"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53AA7" w:rsidRPr="00177052">
        <w:tc>
          <w:tcPr>
            <w:tcW w:w="5811" w:type="dxa"/>
          </w:tcPr>
          <w:p w:rsidR="007B1F4A" w:rsidRPr="00177052" w:rsidRDefault="00E70C59" w:rsidP="00016E55">
            <w:pPr>
              <w:pStyle w:val="Lgendetitre"/>
            </w:pPr>
            <w:r w:rsidRPr="00177052">
              <w:t>Tegnforklaring</w:t>
            </w:r>
          </w:p>
        </w:tc>
      </w:tr>
      <w:tr w:rsidR="00453AA7" w:rsidRPr="00177052" w:rsidTr="007948A1">
        <w:trPr>
          <w:cantSplit/>
          <w:trHeight w:val="1944"/>
        </w:trPr>
        <w:tc>
          <w:tcPr>
            <w:tcW w:w="5811" w:type="dxa"/>
            <w:tcBorders>
              <w:bottom w:val="single" w:sz="4" w:space="0" w:color="auto"/>
            </w:tcBorders>
          </w:tcPr>
          <w:p w:rsidR="007B1F4A" w:rsidRPr="00177052" w:rsidRDefault="00E70C59" w:rsidP="00DA6388">
            <w:pPr>
              <w:pStyle w:val="Lgendesigne"/>
              <w:rPr>
                <w:szCs w:val="24"/>
              </w:rPr>
            </w:pPr>
            <w:r w:rsidRPr="00177052">
              <w:tab/>
              <w:t>*</w:t>
            </w:r>
            <w:r w:rsidRPr="00177052">
              <w:tab/>
              <w:t>Høringsprocedure</w:t>
            </w:r>
          </w:p>
          <w:p w:rsidR="007B1F4A" w:rsidRPr="00177052" w:rsidRDefault="00E70C59" w:rsidP="00DA6388">
            <w:pPr>
              <w:pStyle w:val="Lgendesigne"/>
              <w:rPr>
                <w:szCs w:val="24"/>
              </w:rPr>
            </w:pPr>
            <w:r w:rsidRPr="00177052">
              <w:tab/>
              <w:t>***</w:t>
            </w:r>
            <w:r w:rsidRPr="00177052">
              <w:tab/>
              <w:t>Godkendelsesprocedure</w:t>
            </w:r>
          </w:p>
          <w:p w:rsidR="007B1F4A" w:rsidRPr="00177052" w:rsidRDefault="00E70C59" w:rsidP="00DA6388">
            <w:pPr>
              <w:pStyle w:val="Lgendesigne"/>
              <w:rPr>
                <w:szCs w:val="24"/>
              </w:rPr>
            </w:pPr>
            <w:r w:rsidRPr="00177052">
              <w:tab/>
              <w:t>***I</w:t>
            </w:r>
            <w:r w:rsidRPr="00177052">
              <w:tab/>
              <w:t>Almindelig lovgivningsprocedure (førstebehandling)</w:t>
            </w:r>
          </w:p>
          <w:p w:rsidR="007B1F4A" w:rsidRPr="00177052" w:rsidRDefault="00E70C59" w:rsidP="00DA6388">
            <w:pPr>
              <w:pStyle w:val="Lgendesigne"/>
              <w:rPr>
                <w:szCs w:val="24"/>
              </w:rPr>
            </w:pPr>
            <w:r w:rsidRPr="00177052">
              <w:tab/>
              <w:t>***II</w:t>
            </w:r>
            <w:r w:rsidRPr="00177052">
              <w:tab/>
            </w:r>
            <w:r w:rsidRPr="00177052">
              <w:t>Almindelig lovgivningsprocedure (andenbehandling)</w:t>
            </w:r>
          </w:p>
          <w:p w:rsidR="007B1F4A" w:rsidRPr="00177052" w:rsidRDefault="00E70C59" w:rsidP="00DA6388">
            <w:pPr>
              <w:pStyle w:val="Lgendesigne"/>
              <w:rPr>
                <w:szCs w:val="24"/>
              </w:rPr>
            </w:pPr>
            <w:r w:rsidRPr="00177052">
              <w:tab/>
              <w:t>***III</w:t>
            </w:r>
            <w:r w:rsidRPr="00177052">
              <w:tab/>
              <w:t>Almindelig lovgivningsprocedure (tredjebehandling)</w:t>
            </w:r>
          </w:p>
          <w:p w:rsidR="007B1F4A" w:rsidRPr="00177052" w:rsidRDefault="007B1F4A" w:rsidP="00DA6388">
            <w:pPr>
              <w:pStyle w:val="Lgendestandard"/>
            </w:pPr>
          </w:p>
          <w:p w:rsidR="007B1F4A" w:rsidRPr="00177052" w:rsidRDefault="00E70C59" w:rsidP="00DA6388">
            <w:pPr>
              <w:pStyle w:val="Lgendestandard"/>
            </w:pPr>
            <w:r w:rsidRPr="00177052">
              <w:t>(Proceduren afhænger af, hvilket retsgrundlag der er valgt i udkastet til retsakt)</w:t>
            </w:r>
          </w:p>
          <w:p w:rsidR="007B1F4A" w:rsidRPr="00177052" w:rsidRDefault="007B1F4A" w:rsidP="00BD67E9">
            <w:pPr>
              <w:pStyle w:val="Lgendestandard"/>
            </w:pPr>
          </w:p>
        </w:tc>
      </w:tr>
    </w:tbl>
    <w:p w:rsidR="007B1F4A" w:rsidRPr="00177052" w:rsidRDefault="007B1F4A" w:rsidP="00016E55"/>
    <w:p w:rsidR="00363B94" w:rsidRPr="00177052" w:rsidRDefault="00363B94" w:rsidP="00613F2E">
      <w:pPr>
        <w:widowControl/>
        <w:tabs>
          <w:tab w:val="center" w:pos="4677"/>
        </w:tabs>
      </w:pPr>
    </w:p>
    <w:p w:rsidR="00363B94" w:rsidRPr="00177052" w:rsidRDefault="00E70C59">
      <w:pPr>
        <w:pStyle w:val="TOCHeading"/>
      </w:pPr>
      <w:r w:rsidRPr="00177052">
        <w:br w:type="page"/>
      </w:r>
      <w:r w:rsidRPr="00177052">
        <w:lastRenderedPageBreak/>
        <w:t>INDHOLD</w:t>
      </w:r>
    </w:p>
    <w:p w:rsidR="00363B94" w:rsidRPr="00177052" w:rsidRDefault="00E70C59">
      <w:pPr>
        <w:pStyle w:val="TOCPage"/>
      </w:pPr>
      <w:r w:rsidRPr="00177052">
        <w:t>Side</w:t>
      </w:r>
    </w:p>
    <w:p w:rsidR="00E70C59" w:rsidRDefault="00E70C59">
      <w:pPr>
        <w:pStyle w:val="TOC1"/>
        <w:tabs>
          <w:tab w:val="right" w:leader="dot" w:pos="9060"/>
        </w:tabs>
        <w:rPr>
          <w:rFonts w:asciiTheme="minorHAnsi" w:eastAsiaTheme="minorEastAsia" w:hAnsiTheme="minorHAnsi" w:cstheme="minorBidi"/>
          <w:noProof/>
          <w:sz w:val="22"/>
          <w:szCs w:val="22"/>
          <w:lang w:val="en-GB"/>
        </w:rPr>
      </w:pPr>
      <w:r w:rsidRPr="00177052">
        <w:fldChar w:fldCharType="begin"/>
      </w:r>
      <w:r w:rsidRPr="00177052">
        <w:instrText xml:space="preserve"> TOC \t "PageHeading</w:instrText>
      </w:r>
      <w:r w:rsidR="00177052" w:rsidRPr="00177052">
        <w:instrText>;</w:instrText>
      </w:r>
      <w:r w:rsidRPr="00177052">
        <w:instrText xml:space="preserve">1" </w:instrText>
      </w:r>
      <w:r w:rsidRPr="00177052">
        <w:fldChar w:fldCharType="separate"/>
      </w:r>
      <w:r>
        <w:rPr>
          <w:noProof/>
        </w:rPr>
        <w:t>FORSLAG TIL EUROPA-PARLAMENTETS LOVGIVNINGSMÆSSIGE BESLUTNING</w:t>
      </w:r>
      <w:r>
        <w:rPr>
          <w:noProof/>
        </w:rPr>
        <w:tab/>
      </w:r>
      <w:r>
        <w:rPr>
          <w:noProof/>
        </w:rPr>
        <w:fldChar w:fldCharType="begin"/>
      </w:r>
      <w:r>
        <w:rPr>
          <w:noProof/>
        </w:rPr>
        <w:instrText xml:space="preserve"> PAGEREF _Toc160020968 \h </w:instrText>
      </w:r>
      <w:r>
        <w:rPr>
          <w:noProof/>
        </w:rPr>
      </w:r>
      <w:r>
        <w:rPr>
          <w:noProof/>
        </w:rPr>
        <w:fldChar w:fldCharType="separate"/>
      </w:r>
      <w:r>
        <w:rPr>
          <w:noProof/>
        </w:rPr>
        <w:t>5</w:t>
      </w:r>
      <w:r>
        <w:rPr>
          <w:noProof/>
        </w:rPr>
        <w:fldChar w:fldCharType="end"/>
      </w:r>
    </w:p>
    <w:p w:rsidR="00E70C59" w:rsidRDefault="00E70C59">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_Toc160020969 \h </w:instrText>
      </w:r>
      <w:r>
        <w:rPr>
          <w:noProof/>
        </w:rPr>
      </w:r>
      <w:r>
        <w:rPr>
          <w:noProof/>
        </w:rPr>
        <w:fldChar w:fldCharType="separate"/>
      </w:r>
      <w:r>
        <w:rPr>
          <w:noProof/>
        </w:rPr>
        <w:t>6</w:t>
      </w:r>
      <w:r>
        <w:rPr>
          <w:noProof/>
        </w:rPr>
        <w:fldChar w:fldCharType="end"/>
      </w:r>
    </w:p>
    <w:p w:rsidR="004E1650" w:rsidRPr="00177052" w:rsidRDefault="00E70C59" w:rsidP="00F04010">
      <w:r w:rsidRPr="00177052">
        <w:fldChar w:fldCharType="end"/>
      </w:r>
    </w:p>
    <w:p w:rsidR="00363B94" w:rsidRPr="00177052" w:rsidRDefault="00E70C59" w:rsidP="0006167F">
      <w:pPr>
        <w:pStyle w:val="PageHeading"/>
      </w:pPr>
      <w:r w:rsidRPr="00177052">
        <w:br w:type="page"/>
      </w:r>
      <w:r w:rsidRPr="00177052">
        <w:lastRenderedPageBreak/>
        <w:br w:type="page"/>
      </w:r>
      <w:bookmarkStart w:id="1" w:name="_Toc160020968"/>
      <w:r w:rsidRPr="00177052">
        <w:lastRenderedPageBreak/>
        <w:t>FORSLAG TIL EUROPA-PARLAMENTETS LOVGIVNINGSMÆSSIGE BESLUTNING</w:t>
      </w:r>
      <w:bookmarkEnd w:id="1"/>
    </w:p>
    <w:p w:rsidR="00363B94" w:rsidRPr="00177052" w:rsidRDefault="00E70C59">
      <w:pPr>
        <w:pStyle w:val="NormalBold"/>
      </w:pPr>
      <w:r w:rsidRPr="00177052">
        <w:t>om udkast til Rådets afgørelse om indgåelse på Unionens vegne af aftalen mellem Den Europæiske Union og Fyrstendømmet Liechtenstein om supplerende regler vedrørende instrumentet for</w:t>
      </w:r>
      <w:r w:rsidRPr="00177052">
        <w:t xml:space="preserve"> finansiel støtte til grænseforvaltning og visumpolitik som del af Fonden for Integreret Grænseforvaltning for perioden 2021-2027</w:t>
      </w:r>
    </w:p>
    <w:p w:rsidR="00363B94" w:rsidRPr="00177052" w:rsidRDefault="00E70C59">
      <w:pPr>
        <w:pStyle w:val="NormalBold12a"/>
      </w:pPr>
      <w:r w:rsidRPr="00177052">
        <w:t>(13936/2023 – C9</w:t>
      </w:r>
      <w:r w:rsidRPr="00177052">
        <w:noBreakHyphen/>
        <w:t>0462/2023 – 2023/0334(NLE))</w:t>
      </w:r>
    </w:p>
    <w:p w:rsidR="00363B94" w:rsidRPr="00177052" w:rsidRDefault="00E70C59" w:rsidP="00893FBD">
      <w:pPr>
        <w:pStyle w:val="NormalBold"/>
      </w:pPr>
      <w:r w:rsidRPr="00177052">
        <w:t>(Godkendelse)</w:t>
      </w:r>
    </w:p>
    <w:p w:rsidR="00363B94" w:rsidRPr="00177052" w:rsidRDefault="00E70C59">
      <w:pPr>
        <w:pStyle w:val="EPComma"/>
      </w:pPr>
      <w:r w:rsidRPr="00177052">
        <w:rPr>
          <w:i/>
        </w:rPr>
        <w:t>Europa-Parlamentet</w:t>
      </w:r>
      <w:r w:rsidRPr="00177052">
        <w:t>,</w:t>
      </w:r>
    </w:p>
    <w:p w:rsidR="00BF7F55" w:rsidRPr="00177052" w:rsidRDefault="00E70C59" w:rsidP="00BF7F55">
      <w:pPr>
        <w:pStyle w:val="NormalHanging12a"/>
      </w:pPr>
      <w:r w:rsidRPr="00177052">
        <w:t>–</w:t>
      </w:r>
      <w:r w:rsidRPr="00177052">
        <w:tab/>
        <w:t xml:space="preserve">der henviser til udkast til Rådets afgørelse </w:t>
      </w:r>
      <w:r w:rsidRPr="00177052">
        <w:t>(13936/2023),</w:t>
      </w:r>
    </w:p>
    <w:p w:rsidR="00363B94" w:rsidRPr="00177052" w:rsidRDefault="00E70C59">
      <w:pPr>
        <w:pStyle w:val="NormalHanging12a"/>
      </w:pPr>
      <w:r w:rsidRPr="00177052">
        <w:t>–</w:t>
      </w:r>
      <w:r w:rsidRPr="00177052">
        <w:tab/>
        <w:t>der henviser til udkast til aftalen mellem Den Europæiske Union og Fyrstendømmet Liechtenstein om supplerende regler vedrørende instrumentet for finansiel støtte til grænseforvaltning og visumpolitik som del af Fonden for Integreret Grænsef</w:t>
      </w:r>
      <w:r w:rsidRPr="00177052">
        <w:t>orvaltning for perioden 2021-2027 (13935/2023)</w:t>
      </w:r>
      <w:r w:rsidRPr="00177052">
        <w:rPr>
          <w:rStyle w:val="FootnoteReference"/>
        </w:rPr>
        <w:t xml:space="preserve"> </w:t>
      </w:r>
      <w:r w:rsidRPr="00177052">
        <w:rPr>
          <w:rStyle w:val="FootnoteReference"/>
        </w:rPr>
        <w:footnoteReference w:id="1"/>
      </w:r>
      <w:r w:rsidRPr="00177052">
        <w:t>,</w:t>
      </w:r>
    </w:p>
    <w:p w:rsidR="00363B94" w:rsidRPr="00177052" w:rsidRDefault="00E70C59">
      <w:pPr>
        <w:pStyle w:val="NormalHanging12a"/>
      </w:pPr>
      <w:r w:rsidRPr="00177052">
        <w:t>–</w:t>
      </w:r>
      <w:r w:rsidRPr="00177052">
        <w:tab/>
        <w:t>der henviser til den anmodning om godkendelse, som Rådet har forelagt, jf. artikel 77, stk. 2, og artikel 218, stk. 6, andet afsnit, litra a), og stk. 7, i traktaten om Den Europæiske Unions funktionsmåde</w:t>
      </w:r>
      <w:r w:rsidRPr="00177052">
        <w:t xml:space="preserve"> (C9</w:t>
      </w:r>
      <w:r w:rsidRPr="00177052">
        <w:noBreakHyphen/>
        <w:t>0462/2023),</w:t>
      </w:r>
    </w:p>
    <w:p w:rsidR="00363B94" w:rsidRPr="00177052" w:rsidRDefault="00E70C59">
      <w:pPr>
        <w:pStyle w:val="NormalHanging12a"/>
      </w:pPr>
      <w:r w:rsidRPr="00177052">
        <w:t>–</w:t>
      </w:r>
      <w:r w:rsidRPr="00177052">
        <w:tab/>
        <w:t>der henviser til forretningsordenens artikel 105, stk. 1 og 4, og artikel 114, stk. 7,</w:t>
      </w:r>
    </w:p>
    <w:p w:rsidR="00363B94" w:rsidRPr="00177052" w:rsidRDefault="00E70C59">
      <w:pPr>
        <w:pStyle w:val="NormalHanging12a"/>
      </w:pPr>
      <w:r w:rsidRPr="00177052">
        <w:t>–</w:t>
      </w:r>
      <w:r w:rsidRPr="00177052">
        <w:tab/>
        <w:t>der henviser til henstilling fra Udvalget om Borgernes Rettigheder og Retlige og Indre Anliggender (A9</w:t>
      </w:r>
      <w:r w:rsidRPr="00177052">
        <w:noBreakHyphen/>
        <w:t>0000/2024),</w:t>
      </w:r>
    </w:p>
    <w:p w:rsidR="00363B94" w:rsidRPr="00177052" w:rsidRDefault="00E70C59">
      <w:pPr>
        <w:pStyle w:val="NormalHanging12a"/>
      </w:pPr>
      <w:r w:rsidRPr="00177052">
        <w:t>1.</w:t>
      </w:r>
      <w:r w:rsidRPr="00177052">
        <w:tab/>
        <w:t>godkender indgåelsen af aftale</w:t>
      </w:r>
      <w:r w:rsidRPr="00177052">
        <w:t>n;</w:t>
      </w:r>
    </w:p>
    <w:p w:rsidR="003174D3" w:rsidRPr="00177052" w:rsidRDefault="00E70C59">
      <w:pPr>
        <w:pStyle w:val="NormalHanging12a"/>
      </w:pPr>
      <w:r w:rsidRPr="00177052">
        <w:t>2.</w:t>
      </w:r>
      <w:r w:rsidRPr="00177052">
        <w:tab/>
        <w:t>pålægger sin formand at sende Parlamentets holdning til Rådet og Kommissionen samt til medlemsstaternes regeringer og parlamenter og Fyrstendømmet Liechtensteins regering og parlament.</w:t>
      </w:r>
    </w:p>
    <w:p w:rsidR="003174D3" w:rsidRPr="00177052" w:rsidRDefault="00E70C59">
      <w:pPr>
        <w:widowControl/>
      </w:pPr>
      <w:r w:rsidRPr="00177052">
        <w:br w:type="page"/>
      </w:r>
    </w:p>
    <w:p w:rsidR="003174D3" w:rsidRPr="00177052" w:rsidRDefault="00E70C59" w:rsidP="003174D3">
      <w:pPr>
        <w:pStyle w:val="PageHeading"/>
      </w:pPr>
      <w:bookmarkStart w:id="2" w:name="_Toc158886164"/>
      <w:bookmarkStart w:id="3" w:name="_Toc160020969"/>
      <w:r w:rsidRPr="00177052">
        <w:lastRenderedPageBreak/>
        <w:t>BEGRUNDELSE</w:t>
      </w:r>
      <w:bookmarkEnd w:id="2"/>
      <w:bookmarkEnd w:id="3"/>
    </w:p>
    <w:p w:rsidR="003174D3" w:rsidRPr="00177052" w:rsidRDefault="00E70C59" w:rsidP="00E70C59">
      <w:pPr>
        <w:spacing w:after="240"/>
        <w:rPr>
          <w:sz w:val="22"/>
          <w:szCs w:val="22"/>
        </w:rPr>
      </w:pPr>
      <w:r w:rsidRPr="00177052">
        <w:rPr>
          <w:b/>
        </w:rPr>
        <w:t>a. Baggrund</w:t>
      </w:r>
      <w:r w:rsidRPr="00177052">
        <w:rPr>
          <w:sz w:val="22"/>
        </w:rPr>
        <w:t xml:space="preserve"> </w:t>
      </w:r>
    </w:p>
    <w:p w:rsidR="003174D3" w:rsidRPr="00177052" w:rsidRDefault="00E70C59" w:rsidP="00E70C59">
      <w:pPr>
        <w:spacing w:after="240"/>
      </w:pPr>
      <w:r w:rsidRPr="00177052">
        <w:t>Europa-Parlamentets og Rådets forordn</w:t>
      </w:r>
      <w:r w:rsidRPr="00177052">
        <w:t>ing (EU) 2021/1148 om oprettelse af instrumentet for finansiel støtte til grænseforvaltning og visumpolitik for perioden 2021-2027 (IGFV) blev vedtaget den 7. juli 2021.</w:t>
      </w:r>
    </w:p>
    <w:p w:rsidR="003174D3" w:rsidRPr="00177052" w:rsidRDefault="00E70C59" w:rsidP="00E70C59">
      <w:pPr>
        <w:spacing w:after="240"/>
      </w:pPr>
      <w:r w:rsidRPr="00177052">
        <w:t xml:space="preserve">Formålet med IGFV-forordningen er at yde finansiel bistand til de medlemsstater, der </w:t>
      </w:r>
      <w:r w:rsidRPr="00177052">
        <w:t>anvender Schengenreglerne om de ydre grænser. Den udgør en udvikling af Schengenreglerne, som de lande, der er associeret i gennemførelsen, anvendelsen og videreudviklingen af Schengenreglerne, deltager i ("associerede Schengenlande" eller "associerede lan</w:t>
      </w:r>
      <w:r w:rsidRPr="00177052">
        <w:t>de").</w:t>
      </w:r>
    </w:p>
    <w:p w:rsidR="003174D3" w:rsidRPr="00177052" w:rsidRDefault="00E70C59" w:rsidP="00E70C59">
      <w:pPr>
        <w:spacing w:after="240"/>
      </w:pPr>
      <w:r w:rsidRPr="00177052">
        <w:t xml:space="preserve">Fyrstendømmet Liechtenstein meddelte den 18. august 2021 sin beslutning om at acceptere indholdet af IGFV-forordningen og gennemføre den i sin interne retsorden. </w:t>
      </w:r>
    </w:p>
    <w:p w:rsidR="003174D3" w:rsidRPr="00177052" w:rsidRDefault="00E70C59" w:rsidP="00E70C59">
      <w:pPr>
        <w:spacing w:after="240"/>
      </w:pPr>
      <w:r w:rsidRPr="00177052">
        <w:t>I henhold til IGFV-forordningens artikel 7, stk. 6, bør der fastlægges "ordninger" fo</w:t>
      </w:r>
      <w:r w:rsidRPr="00177052">
        <w:t>r at præcisere arten af og måderne for deltagelse i IGFV for de lande, der er associeret i gennemførelsen, anvendelsen og udviklingen af Schengenreglerne, i overensstemmelse med de relevante bestemmelser i de respektive associeringsaftaler. Disse ordninger</w:t>
      </w:r>
      <w:r w:rsidRPr="00177052">
        <w:t xml:space="preserve"> har form af aftaler, som Unionen indgår med de associerede Schengenlande, jf. artikel 216 i TEUF. </w:t>
      </w:r>
    </w:p>
    <w:p w:rsidR="003174D3" w:rsidRPr="00177052" w:rsidRDefault="00E70C59" w:rsidP="00E70C59">
      <w:pPr>
        <w:spacing w:after="240"/>
      </w:pPr>
      <w:r w:rsidRPr="00177052">
        <w:t>Den 21. februar 2022 bemyndigede Rådet Kommissionen til at indlede forhandlinger</w:t>
      </w:r>
      <w:r w:rsidRPr="00177052">
        <w:rPr>
          <w:rStyle w:val="FootnoteReference"/>
          <w:rFonts w:eastAsiaTheme="minorHAnsi"/>
          <w:b w:val="0"/>
        </w:rPr>
        <w:footnoteReference w:id="2"/>
      </w:r>
      <w:r w:rsidRPr="00177052">
        <w:t xml:space="preserve"> med Island, Kongeriget Norge, Det Schweiziske Forbund og Fyrstendømmet Li</w:t>
      </w:r>
      <w:r w:rsidRPr="00177052">
        <w:t xml:space="preserve">echtenstein om de ordninger for </w:t>
      </w:r>
      <w:bookmarkStart w:id="4" w:name="_Hlk132892775"/>
      <w:r w:rsidRPr="00177052">
        <w:t>disse landes finansielle bidrag og de supplerende regler, der er nødvendige for deres deltagelse</w:t>
      </w:r>
      <w:bookmarkEnd w:id="4"/>
      <w:r w:rsidRPr="00177052">
        <w:t xml:space="preserve"> i instrumentet for finansiel støtte til grænseforvaltning og visumpolitik for perioden 2021 til 2027, herunder bestemmelser, de</w:t>
      </w:r>
      <w:r w:rsidRPr="00177052">
        <w:t>r sikrer beskyttelse af Unionens finansielle interesser og Revisionsrettens revisionsbeføjelser, som skal indgås i henhold til Europa-Parlamentets og Rådets forordning (EU) 2021/1148</w:t>
      </w:r>
      <w:r w:rsidRPr="00177052">
        <w:rPr>
          <w:rStyle w:val="FootnoteReference"/>
          <w:rFonts w:eastAsiaTheme="minorHAnsi"/>
          <w:b w:val="0"/>
        </w:rPr>
        <w:footnoteReference w:id="3"/>
      </w:r>
      <w:r w:rsidRPr="00177052">
        <w:t>. Forhandlingerne med Fyrstendømmet Liechtenstein blev afsluttet med et p</w:t>
      </w:r>
      <w:r w:rsidRPr="00177052">
        <w:t>ositivt resultat med paraferingen af aftalen den 16. juni 2023.</w:t>
      </w:r>
    </w:p>
    <w:p w:rsidR="003174D3" w:rsidRPr="00177052" w:rsidRDefault="00E70C59" w:rsidP="00E70C59">
      <w:pPr>
        <w:spacing w:after="240"/>
      </w:pPr>
      <w:r w:rsidRPr="00177052">
        <w:t>Kommissionen forelagde den 29. september 2023 Rådet et forslag til Rådets afgørelse om indgåelse på Den Europæiske Unions vegne af aftalen mellem Den Europæiske Union og Fyrstendømmet Liechte</w:t>
      </w:r>
      <w:r w:rsidRPr="00177052">
        <w:t>nstein om supplerende regler vedrørende instrumentet for finansiel støtte til grænseforvaltning og visumpolitik som del af Fonden for Integreret Grænseforvaltning.</w:t>
      </w:r>
    </w:p>
    <w:p w:rsidR="003174D3" w:rsidRPr="00177052" w:rsidRDefault="00E70C59" w:rsidP="00E70C59">
      <w:pPr>
        <w:spacing w:after="240"/>
      </w:pPr>
      <w:r w:rsidRPr="00177052">
        <w:t>Rådet vedtog den 13. november 2023 en afgørelse om undertegnelse på Unionens vegne og om m</w:t>
      </w:r>
      <w:r w:rsidRPr="00177052">
        <w:t xml:space="preserve">idlertidig anvendelse af aftalen mellem Den Europæiske Union og Fyrstendømmet </w:t>
      </w:r>
      <w:r w:rsidRPr="00177052">
        <w:lastRenderedPageBreak/>
        <w:t>Liechtenstein om supplerende regler vedrørende instrumentet for finansiel støtte til grænseforvaltning og visumpolitik som del af Fonden for Integreret Grænseforvaltning for peri</w:t>
      </w:r>
      <w:r w:rsidRPr="00177052">
        <w:t>oden 2021 til 2027. Aftalen blev undertegnet den 28. november 2023 i Bruxelles.</w:t>
      </w:r>
    </w:p>
    <w:p w:rsidR="003174D3" w:rsidRPr="00177052" w:rsidRDefault="00E70C59" w:rsidP="00E70C59">
      <w:pPr>
        <w:spacing w:after="240"/>
      </w:pPr>
      <w:r w:rsidRPr="00177052">
        <w:t>Den 4. december 2023 anmodede Rådet Europa-Parlamentet om at godkende udkastet til Rådets afgørelse om indgåelse af ovennævnte aftale.</w:t>
      </w:r>
    </w:p>
    <w:p w:rsidR="003174D3" w:rsidRPr="00177052" w:rsidRDefault="00E70C59" w:rsidP="00E70C59">
      <w:pPr>
        <w:spacing w:after="240"/>
      </w:pPr>
      <w:r w:rsidRPr="00177052">
        <w:rPr>
          <w:b/>
        </w:rPr>
        <w:t>b. Ordførerens holdning</w:t>
      </w:r>
    </w:p>
    <w:p w:rsidR="003174D3" w:rsidRPr="00177052" w:rsidRDefault="00E70C59" w:rsidP="00E70C59">
      <w:pPr>
        <w:spacing w:after="240"/>
      </w:pPr>
      <w:r w:rsidRPr="00177052">
        <w:t xml:space="preserve">Instrumentet </w:t>
      </w:r>
      <w:r w:rsidRPr="00177052">
        <w:t>for finansiel støtte til grænseforvaltning og visumpolitik som del af Fonden for Integreret Grænseforvaltning udgør et særligt instrument inden for rammerne af Schengenreglerne, der skal sikre en solid og effektiv integreret europæisk grænseforvaltning ved</w:t>
      </w:r>
      <w:r w:rsidRPr="00177052">
        <w:t xml:space="preserve"> de ydre grænser, samtidig med at den frie bevægelighed for personer sikres i fuld overensstemmelse med medlemsstaternes og de associerede landes forpligtelser med hensyn til de grundlæggende rettigheder, og som skal understøtte en ensartet gennemførelse a</w:t>
      </w:r>
      <w:r w:rsidRPr="00177052">
        <w:t>f den fælles visumpolitik og dermed bidrage til at sikre et højt sikkerhedsniveau i medlemsstaterne og de associerede lande og styrke Schengenområdets overordnede funktion.</w:t>
      </w:r>
    </w:p>
    <w:p w:rsidR="003174D3" w:rsidRPr="00177052" w:rsidRDefault="00E70C59" w:rsidP="00E70C59">
      <w:pPr>
        <w:spacing w:after="240"/>
      </w:pPr>
      <w:r w:rsidRPr="00177052">
        <w:t>Ordføreren er enig i, at IGFV giver mulighed for at gennemføre tiltag ved delt for</w:t>
      </w:r>
      <w:r w:rsidRPr="00177052">
        <w:t xml:space="preserve">valtning, direkte og indirekte forvaltningsmetoder, og aftalen bør derfor sikre, at anvendelsen af en hvilken som helst af disse metoder i Fyrstendømmet Liechtenstein foretages i overensstemmelse med Unionens principper og regler for økonomisk forvaltning </w:t>
      </w:r>
      <w:r w:rsidRPr="00177052">
        <w:t>og kontrol.</w:t>
      </w:r>
    </w:p>
    <w:p w:rsidR="003174D3" w:rsidRPr="00177052" w:rsidRDefault="00E70C59" w:rsidP="00E70C59">
      <w:pPr>
        <w:spacing w:after="240"/>
      </w:pPr>
      <w:r w:rsidRPr="00177052">
        <w:t>Ordføreren mener endvidere, at alle regler for forvaltning af programmerne i betragtning af Schengenreglernes særlige karakter og betydningen af en ensartet anvendelse heraf for Schengenområdets integritet bør finde anvendelse for Fyrstendømme</w:t>
      </w:r>
      <w:r w:rsidRPr="00177052">
        <w:t>t Liechtenstein på samme måde som for medlemsstaterne.</w:t>
      </w:r>
    </w:p>
    <w:p w:rsidR="003174D3" w:rsidRPr="00177052" w:rsidRDefault="00E70C59" w:rsidP="00E70C59">
      <w:pPr>
        <w:spacing w:after="240"/>
      </w:pPr>
      <w:r w:rsidRPr="00177052">
        <w:t>Ordføreren mener, at indgåelsen af formelle, retligt bindende aftaler inden for rammerne af samarbejdet med associerede lande – til forskel fra andre former for ordninger – er af afgørende betydning f</w:t>
      </w:r>
      <w:r w:rsidRPr="00177052">
        <w:t>or at sikre gennemsigtighed, offentligt tilsyn og demokratisk kontrol. Dette er især vigtigt, når det drejer sig om anvendelsen af EU-budgettet.</w:t>
      </w:r>
    </w:p>
    <w:p w:rsidR="003174D3" w:rsidRPr="00177052" w:rsidRDefault="00E70C59" w:rsidP="00E70C59">
      <w:pPr>
        <w:spacing w:after="240"/>
      </w:pPr>
      <w:r w:rsidRPr="00177052">
        <w:t xml:space="preserve">Andre specifikke bestemmelser bør yderligere overholdes. </w:t>
      </w:r>
      <w:r w:rsidRPr="00177052">
        <w:rPr>
          <w:shd w:val="clear" w:color="auto" w:fill="FFFFFF"/>
        </w:rPr>
        <w:t>I medfør af Schengenassocieringsaftalerne</w:t>
      </w:r>
      <w:r w:rsidRPr="00177052">
        <w:t xml:space="preserve"> skal Fyrste</w:t>
      </w:r>
      <w:r w:rsidRPr="00177052">
        <w:t xml:space="preserve">ndømmet Liechtenstein fuldt ud acceptere EU-foranstaltningerne, herunder IGFV-forordningen, der videreudvikler eller udbygger Schengenreglerne, og træffe de nødvendige foranstaltninger for at sikre overholdelse af de bestemmelser, der er relevante for den </w:t>
      </w:r>
      <w:r w:rsidRPr="00177052">
        <w:t>økonomiske forvaltning og kontrol, som er fastsat i TEUF og i den afledte EU-ret med retsgrundlag i TEUF.</w:t>
      </w:r>
    </w:p>
    <w:p w:rsidR="003174D3" w:rsidRPr="00177052" w:rsidRDefault="00E70C59" w:rsidP="00E70C59">
      <w:pPr>
        <w:spacing w:after="240"/>
      </w:pPr>
      <w:r w:rsidRPr="00177052">
        <w:t>Ved aftalerne indføres der også specifikke mekanismer til hurtig tilpasning af aftalen med Fyrstendømmet Liechtenstein i tilfælde af ændringer af cen</w:t>
      </w:r>
      <w:r w:rsidRPr="00177052">
        <w:t>tral EU-lovgivning, der er relevant for gennemførelsen, såsom finansforordningen og forordningen om fælles bestemmelser. Aftalen sikrer også, at midtvejsevalueringen af IGFV tager hensyn til de associerede Schengenlandes forsinkede deltagelse.</w:t>
      </w:r>
    </w:p>
    <w:p w:rsidR="003174D3" w:rsidRPr="00177052" w:rsidRDefault="00E70C59" w:rsidP="00E70C59">
      <w:pPr>
        <w:spacing w:after="240"/>
      </w:pPr>
      <w:r w:rsidRPr="00177052">
        <w:t xml:space="preserve">Med hensyn </w:t>
      </w:r>
      <w:r w:rsidRPr="00177052">
        <w:t>til budgetkontrol og finanskontrol er medlemsstaterne desuden underlagt horisontale forpligtelser (f.eks. de beføjelser, som Revisionsretten og Det Europæiske Kontor til Bekæmpelse af Svig (OLAF), EPPO og Kommissionen har), enten afledt direkte af traktate</w:t>
      </w:r>
      <w:r w:rsidRPr="00177052">
        <w:t xml:space="preserve">n eller af afledt EU-ret, herunder forordningen om fælles bestemmelser som nævnt </w:t>
      </w:r>
      <w:r w:rsidRPr="00177052">
        <w:lastRenderedPageBreak/>
        <w:t>ovenfor. Disse forpligtelser gælder ipso facto for medlemsstaterne og er derfor ikke fastsat i IGFV-forordningen. Disse forpligtelser bør derfor udvides til også at omfatte Fy</w:t>
      </w:r>
      <w:r w:rsidRPr="00177052">
        <w:t>rstendømmet Liechtenstein gennem den pågældende aftale.</w:t>
      </w:r>
    </w:p>
    <w:p w:rsidR="003174D3" w:rsidRPr="00177052" w:rsidRDefault="00E70C59" w:rsidP="00E70C59">
      <w:pPr>
        <w:spacing w:after="240"/>
      </w:pPr>
      <w:r w:rsidRPr="00177052">
        <w:t>Endelig indeholder aftalen også en bestemmelse om det europæiske system vedrørende rejseinformation og rejsetilladelse (ETIAS). </w:t>
      </w:r>
    </w:p>
    <w:p w:rsidR="003174D3" w:rsidRPr="00177052" w:rsidRDefault="00E70C59" w:rsidP="00E70C59">
      <w:pPr>
        <w:spacing w:after="240"/>
      </w:pPr>
      <w:r w:rsidRPr="00177052">
        <w:t xml:space="preserve">Sammenfattende mener ordføreren, at det er hensigtsmæssigt at indgå </w:t>
      </w:r>
      <w:r w:rsidRPr="00177052">
        <w:t>en aftale om de supplerende regler, der er nødvendige for Fyrstendømmet Liechtensteins deltagelse i instrumentet for finansiel støtte til grænseforvaltning og visumpolitik ("IGFV") som del af Fonden for Integreret Grænseforvaltning for programmeringsperiod</w:t>
      </w:r>
      <w:r w:rsidRPr="00177052">
        <w:t>en 2021 til 2027, jf. artikel 7, stk. 6, i forordning (EU) 2021/1148 ("IGFV-forordningen").</w:t>
      </w:r>
    </w:p>
    <w:p w:rsidR="003174D3" w:rsidRPr="00177052" w:rsidRDefault="00E70C59" w:rsidP="00E70C59">
      <w:pPr>
        <w:spacing w:after="240"/>
      </w:pPr>
      <w:r w:rsidRPr="00177052">
        <w:t>Ordføreren anbefaler på baggrund af ovenstående, at Parlamentet godkender udkastet til Rådets afgørelse</w:t>
      </w:r>
      <w:bookmarkStart w:id="5" w:name="AM0"/>
      <w:bookmarkEnd w:id="5"/>
      <w:r w:rsidRPr="00177052">
        <w:t xml:space="preserve"> og pålægger sin formand at sende dets holdning til Rådet, K</w:t>
      </w:r>
      <w:r w:rsidRPr="00177052">
        <w:t>ommissionen samt medlemsstaternes regeringer og parlamenter.</w:t>
      </w:r>
    </w:p>
    <w:p w:rsidR="00363B94" w:rsidRPr="00177052" w:rsidRDefault="00363B94" w:rsidP="00E70C59">
      <w:pPr>
        <w:spacing w:after="240"/>
      </w:pPr>
    </w:p>
    <w:sectPr w:rsidR="00363B94" w:rsidRPr="00177052" w:rsidSect="001874D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70C59">
      <w:r>
        <w:separator/>
      </w:r>
    </w:p>
  </w:endnote>
  <w:endnote w:type="continuationSeparator" w:id="0">
    <w:p w:rsidR="00000000" w:rsidRDefault="00E70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01C" w:rsidRPr="00725388" w:rsidRDefault="00E70C59" w:rsidP="00B6769C">
    <w:pPr>
      <w:pStyle w:val="EPFooter"/>
    </w:pPr>
    <w:r w:rsidRPr="00725388">
      <w:t>PE</w:t>
    </w:r>
    <w:r w:rsidRPr="00725388">
      <w:rPr>
        <w:rStyle w:val="HideTWBExt"/>
      </w:rPr>
      <w:t>&lt;NoPE&gt;</w:t>
    </w:r>
    <w:r w:rsidR="003174D3" w:rsidRPr="003174D3">
      <w:t>758.915</w:t>
    </w:r>
    <w:r w:rsidRPr="00725388">
      <w:rPr>
        <w:rStyle w:val="HideTWBExt"/>
      </w:rPr>
      <w:t>&lt;/NoPE&gt;&lt;Version&gt;</w:t>
    </w:r>
    <w:r w:rsidR="00725388" w:rsidRPr="00725388">
      <w:t>v</w:t>
    </w:r>
    <w:r w:rsidR="003174D3" w:rsidRPr="003174D3">
      <w:t>01-00</w:t>
    </w:r>
    <w:r w:rsidRPr="00725388">
      <w:rPr>
        <w:rStyle w:val="HideTWBExt"/>
      </w:rPr>
      <w:t>&lt;/Version&gt;</w:t>
    </w:r>
    <w:r w:rsidRPr="00725388">
      <w:tab/>
    </w:r>
    <w:r w:rsidR="00337C92" w:rsidRPr="00725388">
      <w:fldChar w:fldCharType="begin"/>
    </w:r>
    <w:r w:rsidR="00337C92" w:rsidRPr="00725388">
      <w:instrText xml:space="preserve"> PAGE </w:instrText>
    </w:r>
    <w:r w:rsidR="00337C92" w:rsidRPr="00725388">
      <w:fldChar w:fldCharType="separate"/>
    </w:r>
    <w:r>
      <w:rPr>
        <w:noProof/>
      </w:rPr>
      <w:t>8</w:t>
    </w:r>
    <w:r w:rsidR="00337C92" w:rsidRPr="00725388">
      <w:fldChar w:fldCharType="end"/>
    </w:r>
    <w:r w:rsidR="00337C92" w:rsidRPr="00725388">
      <w:t>/</w:t>
    </w:r>
    <w:fldSimple w:instr=" NUMPAGES ">
      <w:r>
        <w:rPr>
          <w:noProof/>
        </w:rPr>
        <w:t>8</w:t>
      </w:r>
    </w:fldSimple>
    <w:r w:rsidRPr="00725388">
      <w:tab/>
    </w:r>
    <w:r w:rsidRPr="00725388">
      <w:rPr>
        <w:rStyle w:val="HideTWBExt"/>
      </w:rPr>
      <w:t>&lt;PathFdR&gt;</w:t>
    </w:r>
    <w:r w:rsidR="003174D3" w:rsidRPr="003174D3">
      <w:t>PR\1296236DA.docx</w:t>
    </w:r>
    <w:r w:rsidRPr="00725388">
      <w:rPr>
        <w:rStyle w:val="HideTWBExt"/>
      </w:rPr>
      <w:t>&lt;/PathFdR&gt;</w:t>
    </w:r>
  </w:p>
  <w:p w:rsidR="0085501C" w:rsidRPr="00725388" w:rsidRDefault="00E70C59">
    <w:pPr>
      <w:pStyle w:val="EPFooter2"/>
    </w:pPr>
    <w:r w:rsidRPr="00725388">
      <w:fldChar w:fldCharType="begin"/>
    </w:r>
    <w:r w:rsidRPr="00725388">
      <w:instrText xml:space="preserve"> DOCPROPERTY "&lt;Extension&gt;" </w:instrText>
    </w:r>
    <w:r w:rsidRPr="00725388">
      <w:fldChar w:fldCharType="separate"/>
    </w:r>
    <w:r>
      <w:t>DA</w:t>
    </w:r>
    <w:r w:rsidRPr="0072538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01C" w:rsidRPr="00725388" w:rsidRDefault="00E70C59" w:rsidP="00B6769C">
    <w:pPr>
      <w:pStyle w:val="EPFooter"/>
    </w:pPr>
    <w:r w:rsidRPr="00725388">
      <w:rPr>
        <w:rStyle w:val="HideTWBExt"/>
      </w:rPr>
      <w:t>&lt;PathFdR&gt;</w:t>
    </w:r>
    <w:r w:rsidR="003174D3" w:rsidRPr="003174D3">
      <w:t>PR\1296236DA.docx</w:t>
    </w:r>
    <w:r w:rsidRPr="00725388">
      <w:rPr>
        <w:rStyle w:val="HideTWBExt"/>
      </w:rPr>
      <w:t>&lt;/PathFdR&gt;</w:t>
    </w:r>
    <w:r w:rsidRPr="00725388">
      <w:tab/>
    </w:r>
    <w:r w:rsidR="00337C92" w:rsidRPr="00725388">
      <w:fldChar w:fldCharType="begin"/>
    </w:r>
    <w:r w:rsidR="00337C92" w:rsidRPr="00725388">
      <w:instrText xml:space="preserve"> PAGE </w:instrText>
    </w:r>
    <w:r w:rsidR="00337C92" w:rsidRPr="00725388">
      <w:fldChar w:fldCharType="separate"/>
    </w:r>
    <w:r>
      <w:rPr>
        <w:noProof/>
      </w:rPr>
      <w:t>8</w:t>
    </w:r>
    <w:r w:rsidR="00337C92" w:rsidRPr="00725388">
      <w:fldChar w:fldCharType="end"/>
    </w:r>
    <w:r w:rsidR="00337C92" w:rsidRPr="00725388">
      <w:t>/</w:t>
    </w:r>
    <w:fldSimple w:instr=" NUMPAGES ">
      <w:r>
        <w:rPr>
          <w:noProof/>
        </w:rPr>
        <w:t>8</w:t>
      </w:r>
    </w:fldSimple>
    <w:r w:rsidRPr="00725388">
      <w:tab/>
      <w:t>PE</w:t>
    </w:r>
    <w:r w:rsidRPr="00725388">
      <w:rPr>
        <w:rStyle w:val="HideTWBExt"/>
      </w:rPr>
      <w:t>&lt;NoPE&gt;</w:t>
    </w:r>
    <w:r w:rsidR="003174D3" w:rsidRPr="003174D3">
      <w:t>758.915</w:t>
    </w:r>
    <w:r w:rsidRPr="00725388">
      <w:rPr>
        <w:rStyle w:val="HideTWBExt"/>
      </w:rPr>
      <w:t>&lt;/NoPE&gt;&lt;Version&gt;</w:t>
    </w:r>
    <w:r w:rsidR="00725388" w:rsidRPr="00725388">
      <w:t>v</w:t>
    </w:r>
    <w:r w:rsidR="003174D3" w:rsidRPr="003174D3">
      <w:t>01-00</w:t>
    </w:r>
    <w:r w:rsidRPr="00725388">
      <w:rPr>
        <w:rStyle w:val="HideTWBExt"/>
      </w:rPr>
      <w:t>&lt;/Version&gt;</w:t>
    </w:r>
  </w:p>
  <w:p w:rsidR="0085501C" w:rsidRPr="00725388" w:rsidRDefault="00E70C59">
    <w:pPr>
      <w:pStyle w:val="EPFooter2"/>
    </w:pPr>
    <w:r w:rsidRPr="00725388">
      <w:tab/>
    </w:r>
    <w:r w:rsidRPr="00725388">
      <w:tab/>
    </w:r>
    <w:fldSimple w:instr=" DOCPROPERTY &quot;&lt;Extension&gt;&quot; ">
      <w:r>
        <w:t>DA</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01C" w:rsidRPr="00725388" w:rsidRDefault="00E70C59" w:rsidP="00B6769C">
    <w:pPr>
      <w:pStyle w:val="EPFooter"/>
    </w:pPr>
    <w:r w:rsidRPr="00725388">
      <w:rPr>
        <w:rStyle w:val="HideTWBExt"/>
      </w:rPr>
      <w:t>&lt;PathFdR&gt;</w:t>
    </w:r>
    <w:r w:rsidR="007B1F4A" w:rsidRPr="007B1F4A">
      <w:t>PR\1296236DA.docx</w:t>
    </w:r>
    <w:r w:rsidRPr="00725388">
      <w:rPr>
        <w:rStyle w:val="HideTWBExt"/>
      </w:rPr>
      <w:t>&lt;/PathFdR&gt;</w:t>
    </w:r>
    <w:r w:rsidRPr="00725388">
      <w:tab/>
    </w:r>
    <w:r w:rsidRPr="00725388">
      <w:tab/>
      <w:t>PE</w:t>
    </w:r>
    <w:r w:rsidRPr="00725388">
      <w:rPr>
        <w:rStyle w:val="HideTWBExt"/>
      </w:rPr>
      <w:t>&lt;NoPE&gt;</w:t>
    </w:r>
    <w:r w:rsidR="007B1F4A" w:rsidRPr="007B1F4A">
      <w:t>758.915</w:t>
    </w:r>
    <w:r w:rsidRPr="00725388">
      <w:rPr>
        <w:rStyle w:val="HideTWBExt"/>
      </w:rPr>
      <w:t>&lt;/NoPE&gt;&lt;Version&gt;</w:t>
    </w:r>
    <w:r w:rsidR="00725388" w:rsidRPr="00725388">
      <w:t>v</w:t>
    </w:r>
    <w:r w:rsidR="007B1F4A" w:rsidRPr="007B1F4A">
      <w:t>01-00</w:t>
    </w:r>
    <w:r w:rsidRPr="00725388">
      <w:rPr>
        <w:rStyle w:val="HideTWBExt"/>
      </w:rPr>
      <w:t>&lt;/Version&gt;</w:t>
    </w:r>
  </w:p>
  <w:p w:rsidR="0085501C" w:rsidRPr="00725388" w:rsidRDefault="00E70C59" w:rsidP="009612AA">
    <w:pPr>
      <w:pStyle w:val="EPFooter2"/>
      <w:tabs>
        <w:tab w:val="clear" w:pos="4535"/>
        <w:tab w:val="center" w:pos="4536"/>
      </w:tabs>
    </w:pPr>
    <w:r w:rsidRPr="00725388">
      <w:fldChar w:fldCharType="begin"/>
    </w:r>
    <w:r w:rsidRPr="00725388">
      <w:instrText xml:space="preserve"> DOCPROPERTY "&lt;Extension&gt;" </w:instrText>
    </w:r>
    <w:r w:rsidRPr="00725388">
      <w:fldChar w:fldCharType="separate"/>
    </w:r>
    <w:r>
      <w:t>DA</w:t>
    </w:r>
    <w:r w:rsidRPr="00725388">
      <w:fldChar w:fldCharType="end"/>
    </w:r>
    <w:r w:rsidRPr="00725388">
      <w:tab/>
    </w:r>
    <w:r w:rsidR="007B1F4A">
      <w:rPr>
        <w:b w:val="0"/>
        <w:i/>
        <w:color w:val="C0C0C0"/>
        <w:sz w:val="22"/>
        <w:szCs w:val="22"/>
      </w:rPr>
      <w:t>Forenet i mangfoldighed</w:t>
    </w:r>
    <w:r w:rsidRPr="00725388">
      <w:tab/>
    </w:r>
    <w:r w:rsidRPr="00725388">
      <w:fldChar w:fldCharType="begin"/>
    </w:r>
    <w:r w:rsidRPr="00725388">
      <w:instrText xml:space="preserve"> DOCPROPERTY "&lt;Extension&gt;" </w:instrText>
    </w:r>
    <w:r w:rsidRPr="00725388">
      <w:fldChar w:fldCharType="separate"/>
    </w:r>
    <w:r>
      <w:t>DA</w:t>
    </w:r>
    <w:r w:rsidRPr="0072538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388" w:rsidRPr="00725388" w:rsidRDefault="00E70C59">
      <w:r w:rsidRPr="00725388">
        <w:separator/>
      </w:r>
    </w:p>
  </w:footnote>
  <w:footnote w:type="continuationSeparator" w:id="0">
    <w:p w:rsidR="00725388" w:rsidRPr="00725388" w:rsidRDefault="00E70C59">
      <w:r w:rsidRPr="00725388">
        <w:continuationSeparator/>
      </w:r>
    </w:p>
  </w:footnote>
  <w:footnote w:id="1">
    <w:p w:rsidR="003174D3" w:rsidRPr="00E70C59" w:rsidRDefault="00E70C59" w:rsidP="00E70C59">
      <w:pPr>
        <w:pStyle w:val="FootnoteText"/>
        <w:ind w:left="0" w:firstLine="0"/>
        <w:rPr>
          <w:sz w:val="20"/>
        </w:rPr>
      </w:pPr>
      <w:r w:rsidRPr="00E70C59">
        <w:rPr>
          <w:rStyle w:val="FootnoteReference"/>
          <w:sz w:val="20"/>
        </w:rPr>
        <w:footnoteRef/>
      </w:r>
      <w:r w:rsidRPr="00E70C59">
        <w:rPr>
          <w:sz w:val="20"/>
        </w:rPr>
        <w:t xml:space="preserve"> EUT L 2024/200 af 4.1.2024, ELI: </w:t>
      </w:r>
      <w:hyperlink r:id="rId1" w:history="1">
        <w:r w:rsidRPr="00E70C59">
          <w:rPr>
            <w:rStyle w:val="Hyperlink"/>
            <w:sz w:val="20"/>
          </w:rPr>
          <w:t>https://eur-lex.europa.eu/legal-content/DA/TXT/?uri=CELEX:22024A00200</w:t>
        </w:r>
      </w:hyperlink>
    </w:p>
  </w:footnote>
  <w:footnote w:id="2">
    <w:p w:rsidR="003174D3" w:rsidRPr="00E70C59" w:rsidRDefault="00E70C59" w:rsidP="00E70C59">
      <w:pPr>
        <w:pStyle w:val="FootnoteText"/>
        <w:ind w:left="0" w:firstLine="0"/>
        <w:rPr>
          <w:sz w:val="20"/>
        </w:rPr>
      </w:pPr>
      <w:r w:rsidRPr="00E70C59">
        <w:rPr>
          <w:rStyle w:val="FootnoteReference"/>
          <w:b w:val="0"/>
          <w:sz w:val="20"/>
        </w:rPr>
        <w:footnoteRef/>
      </w:r>
      <w:r w:rsidRPr="00E70C59">
        <w:rPr>
          <w:b/>
          <w:sz w:val="20"/>
        </w:rPr>
        <w:t xml:space="preserve"> </w:t>
      </w:r>
      <w:r w:rsidRPr="00E70C59">
        <w:rPr>
          <w:sz w:val="20"/>
        </w:rPr>
        <w:t>Rådets afgørelse (EU) 2022/442 af 21. februar 2022 om bemyndigelse til at indlede forhandlinger med Island, Kongeriget Norge, Det Schweiziske Forbund og Fyrstendømmet Liechtenstein me</w:t>
      </w:r>
      <w:r w:rsidRPr="00E70C59">
        <w:rPr>
          <w:sz w:val="20"/>
        </w:rPr>
        <w:t>d henblik på indgåelse af aftaler mellem Den Europæiske Union og disse lande om supplerende regler i forbindelse med instrumentet for finansiel støtte til grænseforvaltning og visumpolitik som del af Fonden for Integreret Grænseforvaltning (EUT L 90 af 18.</w:t>
      </w:r>
      <w:r w:rsidRPr="00E70C59">
        <w:rPr>
          <w:sz w:val="20"/>
        </w:rPr>
        <w:t>3.2022, s. 116).</w:t>
      </w:r>
    </w:p>
  </w:footnote>
  <w:footnote w:id="3">
    <w:p w:rsidR="003174D3" w:rsidRPr="00E70C59" w:rsidRDefault="00E70C59" w:rsidP="00E70C59">
      <w:pPr>
        <w:pStyle w:val="FootnoteText"/>
        <w:ind w:left="0" w:firstLine="0"/>
        <w:rPr>
          <w:sz w:val="20"/>
        </w:rPr>
      </w:pPr>
      <w:r w:rsidRPr="00E70C59">
        <w:rPr>
          <w:rStyle w:val="FootnoteReference"/>
          <w:b w:val="0"/>
          <w:sz w:val="20"/>
        </w:rPr>
        <w:footnoteRef/>
      </w:r>
      <w:r w:rsidRPr="00E70C59">
        <w:rPr>
          <w:b/>
          <w:sz w:val="20"/>
        </w:rPr>
        <w:t xml:space="preserve"> </w:t>
      </w:r>
      <w:r w:rsidRPr="00E70C59">
        <w:rPr>
          <w:sz w:val="20"/>
        </w:rPr>
        <w:t>Europa-Parlamentets og Rådets forordning (EU) 2021/1148 af 7. juli 2021 om oprettelse af instrumentet for finansiel støtte til grænseforvaltning og visumpolitik som del af Fonden for Integreret Grænseforvaltning (EUT L 251 af 15.7.2021,</w:t>
      </w:r>
      <w:r w:rsidRPr="00E70C59">
        <w:rPr>
          <w:sz w:val="20"/>
        </w:rPr>
        <w:t xml:space="preserve"> s. 48).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D3" w:rsidRDefault="003174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D3" w:rsidRDefault="003174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D3" w:rsidRDefault="003174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LastEditedSection" w:val=" 1"/>
    <w:docVar w:name="strDocTypeID" w:val="PR_NLE-AP_Agreement"/>
    <w:docVar w:name="strSubDir" w:val="1296"/>
    <w:docVar w:name="TITLEMNU" w:val=" 2"/>
    <w:docVar w:name="TXTAUTHOR" w:val="Paulo Rangel"/>
    <w:docVar w:name="TXTLANGUE" w:val="DA"/>
    <w:docVar w:name="TXTLANGUEMIN" w:val="da"/>
    <w:docVar w:name="TXTNRC" w:val="0462/2023"/>
    <w:docVar w:name="TXTNRCOUNC" w:val="13936/2023"/>
    <w:docVar w:name="TXTNRNLE" w:val="2023/0334"/>
    <w:docVar w:name="TXTNRPE" w:val="758.915"/>
    <w:docVar w:name="TXTPEorAP" w:val="PE"/>
    <w:docVar w:name="TXTROUTE" w:val="PR\1296236DA.docx"/>
    <w:docVar w:name="TXTTITLE" w:val="indgåelse på Unionens vegne af aftalen mellem Den Europæiske Union og Fyrstendømmet Liechtenstein om supplerende regler vedrørende instrumentet for finansiel støtte til grænseforvaltning og visumpolitik som del af Fonden for Integreret Grænseforvaltning for perioden 2021-2027"/>
    <w:docVar w:name="TXTVERSION" w:val="01-00"/>
  </w:docVars>
  <w:rsids>
    <w:rsidRoot w:val="00725388"/>
    <w:rsid w:val="00001D52"/>
    <w:rsid w:val="0000443F"/>
    <w:rsid w:val="000053E3"/>
    <w:rsid w:val="00016E55"/>
    <w:rsid w:val="0006167F"/>
    <w:rsid w:val="00061EFE"/>
    <w:rsid w:val="00095D8B"/>
    <w:rsid w:val="000A2F73"/>
    <w:rsid w:val="000C123D"/>
    <w:rsid w:val="000D78AF"/>
    <w:rsid w:val="00177052"/>
    <w:rsid w:val="00180664"/>
    <w:rsid w:val="001874D8"/>
    <w:rsid w:val="001D02E3"/>
    <w:rsid w:val="001F7BBE"/>
    <w:rsid w:val="0021049A"/>
    <w:rsid w:val="0022685A"/>
    <w:rsid w:val="00252BA5"/>
    <w:rsid w:val="002E2E20"/>
    <w:rsid w:val="002F5A83"/>
    <w:rsid w:val="003072BE"/>
    <w:rsid w:val="003174D3"/>
    <w:rsid w:val="00337C92"/>
    <w:rsid w:val="00363B94"/>
    <w:rsid w:val="0037556D"/>
    <w:rsid w:val="003B598C"/>
    <w:rsid w:val="004174FC"/>
    <w:rsid w:val="00453AA7"/>
    <w:rsid w:val="00460BD6"/>
    <w:rsid w:val="004859B3"/>
    <w:rsid w:val="004C083C"/>
    <w:rsid w:val="004E1650"/>
    <w:rsid w:val="0053367A"/>
    <w:rsid w:val="00544D48"/>
    <w:rsid w:val="005877C0"/>
    <w:rsid w:val="005A6B14"/>
    <w:rsid w:val="005D0B97"/>
    <w:rsid w:val="005F5D6C"/>
    <w:rsid w:val="006132CE"/>
    <w:rsid w:val="00613F2E"/>
    <w:rsid w:val="006A1A75"/>
    <w:rsid w:val="006A2CF5"/>
    <w:rsid w:val="006F1B6F"/>
    <w:rsid w:val="00725388"/>
    <w:rsid w:val="00791637"/>
    <w:rsid w:val="007B1F4A"/>
    <w:rsid w:val="0080122F"/>
    <w:rsid w:val="00822206"/>
    <w:rsid w:val="008368CB"/>
    <w:rsid w:val="0085501C"/>
    <w:rsid w:val="00893FBD"/>
    <w:rsid w:val="008B75A4"/>
    <w:rsid w:val="008D23C6"/>
    <w:rsid w:val="008D3030"/>
    <w:rsid w:val="008E3848"/>
    <w:rsid w:val="00924EE0"/>
    <w:rsid w:val="009612AA"/>
    <w:rsid w:val="009C1BF8"/>
    <w:rsid w:val="009E39A7"/>
    <w:rsid w:val="00A415B7"/>
    <w:rsid w:val="00AD5D0C"/>
    <w:rsid w:val="00B31D18"/>
    <w:rsid w:val="00B42885"/>
    <w:rsid w:val="00B50C20"/>
    <w:rsid w:val="00B6769C"/>
    <w:rsid w:val="00BB22CC"/>
    <w:rsid w:val="00BB41C8"/>
    <w:rsid w:val="00BD67E9"/>
    <w:rsid w:val="00BE5E72"/>
    <w:rsid w:val="00BF0A0F"/>
    <w:rsid w:val="00BF2E15"/>
    <w:rsid w:val="00BF7F55"/>
    <w:rsid w:val="00C05DD8"/>
    <w:rsid w:val="00C15447"/>
    <w:rsid w:val="00C35D01"/>
    <w:rsid w:val="00C85D0F"/>
    <w:rsid w:val="00CB5651"/>
    <w:rsid w:val="00CC20CB"/>
    <w:rsid w:val="00CF44DF"/>
    <w:rsid w:val="00D04E0B"/>
    <w:rsid w:val="00D62DA0"/>
    <w:rsid w:val="00D6543C"/>
    <w:rsid w:val="00D74CEE"/>
    <w:rsid w:val="00DA6388"/>
    <w:rsid w:val="00DF594D"/>
    <w:rsid w:val="00E14FEE"/>
    <w:rsid w:val="00E70C59"/>
    <w:rsid w:val="00E71368"/>
    <w:rsid w:val="00E93816"/>
    <w:rsid w:val="00EA59ED"/>
    <w:rsid w:val="00EF48F2"/>
    <w:rsid w:val="00F04010"/>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F9779"/>
  <w15:chartTrackingRefBased/>
  <w15:docId w15:val="{CCD4FB0E-C66A-497F-9EF9-8FBAD74E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7B1F4A"/>
    <w:pPr>
      <w:tabs>
        <w:tab w:val="right" w:pos="454"/>
        <w:tab w:val="left" w:pos="737"/>
      </w:tabs>
      <w:ind w:left="737" w:hanging="737"/>
    </w:pPr>
    <w:rPr>
      <w:snapToGrid w:val="0"/>
      <w:sz w:val="18"/>
      <w:lang w:eastAsia="en-US"/>
    </w:rPr>
  </w:style>
  <w:style w:type="paragraph" w:customStyle="1" w:styleId="Lgendetitre">
    <w:name w:val="Légende titre"/>
    <w:basedOn w:val="Normal"/>
    <w:rsid w:val="007B1F4A"/>
    <w:pPr>
      <w:spacing w:before="240" w:after="240"/>
    </w:pPr>
    <w:rPr>
      <w:b/>
      <w:i/>
      <w:snapToGrid w:val="0"/>
      <w:lang w:eastAsia="en-US"/>
    </w:rPr>
  </w:style>
  <w:style w:type="paragraph" w:customStyle="1" w:styleId="Lgendestandard">
    <w:name w:val="Légende standard"/>
    <w:basedOn w:val="Normal"/>
    <w:rsid w:val="007B1F4A"/>
    <w:rPr>
      <w:sz w:val="18"/>
    </w:rPr>
  </w:style>
  <w:style w:type="paragraph" w:styleId="FootnoteText">
    <w:name w:val="footnote text"/>
    <w:basedOn w:val="Normal"/>
    <w:link w:val="FootnoteTextChar"/>
    <w:uiPriority w:val="99"/>
    <w:unhideWhenUsed/>
    <w:rsid w:val="003174D3"/>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3174D3"/>
    <w:rPr>
      <w:rFonts w:eastAsiaTheme="minorHAnsi"/>
      <w:sz w:val="24"/>
      <w:lang w:eastAsia="en-US"/>
    </w:rPr>
  </w:style>
  <w:style w:type="character" w:styleId="FootnoteReference">
    <w:name w:val="footnote reference"/>
    <w:basedOn w:val="DefaultParagraphFont"/>
    <w:uiPriority w:val="99"/>
    <w:unhideWhenUsed/>
    <w:rsid w:val="003174D3"/>
    <w:rPr>
      <w:b/>
      <w:bdr w:val="none" w:sz="0" w:space="0" w:color="auto"/>
      <w:shd w:val="clear" w:color="auto" w:fill="auto"/>
      <w:vertAlign w:val="superscript"/>
    </w:rPr>
  </w:style>
  <w:style w:type="character" w:styleId="Hyperlink">
    <w:name w:val="Hyperlink"/>
    <w:basedOn w:val="DefaultParagraphFont"/>
    <w:uiPriority w:val="99"/>
    <w:unhideWhenUsed/>
    <w:rsid w:val="003174D3"/>
    <w:rPr>
      <w:color w:val="0563C1"/>
      <w:u w:val="single"/>
    </w:rPr>
  </w:style>
  <w:style w:type="paragraph" w:styleId="Footer">
    <w:name w:val="footer"/>
    <w:basedOn w:val="Normal"/>
    <w:link w:val="FooterChar"/>
    <w:semiHidden/>
    <w:rsid w:val="00E70C59"/>
    <w:pPr>
      <w:tabs>
        <w:tab w:val="center" w:pos="4513"/>
        <w:tab w:val="right" w:pos="9026"/>
      </w:tabs>
    </w:pPr>
  </w:style>
  <w:style w:type="character" w:customStyle="1" w:styleId="FooterChar">
    <w:name w:val="Footer Char"/>
    <w:basedOn w:val="DefaultParagraphFont"/>
    <w:link w:val="Footer"/>
    <w:semiHidden/>
    <w:rsid w:val="00E70C5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DA/TXT/?uri=CELEX:22024A00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4D5A9-8078-4D5F-BD3F-2F832BE1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1252</Words>
  <Characters>8352</Characters>
  <Application>Microsoft Office Word</Application>
  <DocSecurity>0</DocSecurity>
  <Lines>163</Lines>
  <Paragraphs>66</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creator>THYBO Anne Fonnesbaek</dc:creator>
  <cp:lastModifiedBy>HEINSOEE Katja</cp:lastModifiedBy>
  <cp:revision>2</cp:revision>
  <cp:lastPrinted>2002-12-11T09:25:00Z</cp:lastPrinted>
  <dcterms:created xsi:type="dcterms:W3CDTF">2024-02-28T12:55:00Z</dcterms:created>
  <dcterms:modified xsi:type="dcterms:W3CDTF">2024-02-28T12:55:00Z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1296236</vt:lpwstr>
  </property>
  <property fmtid="{D5CDD505-2E9C-101B-9397-08002B2CF9AE}" pid="4" name="&lt;Model&gt;">
    <vt:lpwstr>PR_NLE-AP_Agreement</vt:lpwstr>
  </property>
  <property fmtid="{D5CDD505-2E9C-101B-9397-08002B2CF9AE}" pid="5" name="&lt;ModelCod&gt;">
    <vt:lpwstr>\\eiciBRUpr1\pdocep$\DocEP\DOCS\General\PR\PR_Leg\NLE\PR_NLE-AP_Agreement.dotx(17/04/2020 18:28:04)</vt:lpwstr>
  </property>
  <property fmtid="{D5CDD505-2E9C-101B-9397-08002B2CF9AE}" pid="6" name="&lt;ModelTra&gt;">
    <vt:lpwstr>\\eiciBRUpr1\pdocep$\DocEP\TRANSFIL\DA\PR_NLE-AP_Agreement.DA(29/06/2022 09:21:01)</vt:lpwstr>
  </property>
  <property fmtid="{D5CDD505-2E9C-101B-9397-08002B2CF9AE}" pid="7" name="&lt;Type&gt;">
    <vt:lpwstr>PR</vt:lpwstr>
  </property>
  <property fmtid="{D5CDD505-2E9C-101B-9397-08002B2CF9AE}" pid="8" name="Created with">
    <vt:lpwstr>9.17.1 Build [20240110]</vt:lpwstr>
  </property>
  <property fmtid="{D5CDD505-2E9C-101B-9397-08002B2CF9AE}" pid="9" name="FooterPath">
    <vt:lpwstr>PR\1296236DA.docx</vt:lpwstr>
  </property>
  <property fmtid="{D5CDD505-2E9C-101B-9397-08002B2CF9AE}" pid="10" name="LastEdited with">
    <vt:lpwstr>9.17.1 Build [20240202]</vt:lpwstr>
  </property>
  <property fmtid="{D5CDD505-2E9C-101B-9397-08002B2CF9AE}" pid="11" name="PE number">
    <vt:lpwstr>758.915</vt:lpwstr>
  </property>
  <property fmtid="{D5CDD505-2E9C-101B-9397-08002B2CF9AE}" pid="12" name="SDLStudio">
    <vt:lpwstr/>
  </property>
  <property fmtid="{D5CDD505-2E9C-101B-9397-08002B2CF9AE}" pid="13" name="Bookout">
    <vt:lpwstr>OK - 2024/02/28 13:55</vt:lpwstr>
  </property>
</Properties>
</file>