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E66B6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E66B6C" w:rsidRDefault="00DE56D2" w:rsidP="00C85D0F">
            <w:pPr>
              <w:pStyle w:val="EPName"/>
            </w:pPr>
            <w:bookmarkStart w:id="0" w:name="_GoBack"/>
            <w:bookmarkEnd w:id="0"/>
            <w:r w:rsidRPr="00E66B6C">
              <w:t>Parlament Ewropew</w:t>
            </w:r>
          </w:p>
          <w:p w:rsidR="00C05DD8" w:rsidRPr="00E66B6C" w:rsidRDefault="00561295" w:rsidP="00561295">
            <w:pPr>
              <w:pStyle w:val="EPTerm"/>
            </w:pPr>
            <w:r w:rsidRPr="00E66B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E66B6C" w:rsidRDefault="00C05DD8" w:rsidP="00C85D0F">
            <w:pPr>
              <w:pStyle w:val="EPLogo"/>
            </w:pPr>
            <w:r w:rsidRPr="00E66B6C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E66B6C" w:rsidRDefault="009612AA" w:rsidP="009612AA">
      <w:pPr>
        <w:pStyle w:val="LineTop"/>
      </w:pPr>
    </w:p>
    <w:p w:rsidR="009612AA" w:rsidRPr="00E66B6C" w:rsidRDefault="009612AA" w:rsidP="009612AA">
      <w:pPr>
        <w:pStyle w:val="EPBody"/>
      </w:pPr>
      <w:r w:rsidRPr="00E66B6C">
        <w:rPr>
          <w:rStyle w:val="HideTWBExt"/>
        </w:rPr>
        <w:t>&lt;</w:t>
      </w:r>
      <w:r w:rsidRPr="00E66B6C">
        <w:rPr>
          <w:rStyle w:val="HideTWBExt"/>
          <w:i w:val="0"/>
        </w:rPr>
        <w:t>Commission</w:t>
      </w:r>
      <w:r w:rsidRPr="00E66B6C">
        <w:rPr>
          <w:rStyle w:val="HideTWBExt"/>
        </w:rPr>
        <w:t>&gt;</w:t>
      </w:r>
      <w:r w:rsidRPr="00E66B6C">
        <w:rPr>
          <w:rStyle w:val="HideTWBInt"/>
        </w:rPr>
        <w:t>{LIBE}</w:t>
      </w:r>
      <w:r w:rsidRPr="00E66B6C">
        <w:t>Kumitat għal-Libertajiet Ċivili, il-Ġustizzja u l-Intern</w:t>
      </w:r>
      <w:r w:rsidRPr="00E66B6C">
        <w:rPr>
          <w:rStyle w:val="HideTWBExt"/>
        </w:rPr>
        <w:t>&lt;/</w:t>
      </w:r>
      <w:r w:rsidRPr="00E66B6C">
        <w:rPr>
          <w:rStyle w:val="HideTWBExt"/>
          <w:i w:val="0"/>
        </w:rPr>
        <w:t>Commission</w:t>
      </w:r>
      <w:r w:rsidRPr="00E66B6C">
        <w:rPr>
          <w:rStyle w:val="HideTWBExt"/>
        </w:rPr>
        <w:t>&gt;</w:t>
      </w:r>
    </w:p>
    <w:p w:rsidR="009612AA" w:rsidRPr="00E66B6C" w:rsidRDefault="009612AA" w:rsidP="009612AA">
      <w:pPr>
        <w:pStyle w:val="LineBottom"/>
      </w:pPr>
    </w:p>
    <w:p w:rsidR="00363B94" w:rsidRPr="00E66B6C" w:rsidRDefault="00363B94">
      <w:pPr>
        <w:pStyle w:val="CoverReference"/>
      </w:pPr>
      <w:r w:rsidRPr="00E66B6C">
        <w:rPr>
          <w:rStyle w:val="HideTWBExt"/>
          <w:b w:val="0"/>
        </w:rPr>
        <w:t>&lt;RefProc&gt;</w:t>
      </w:r>
      <w:r w:rsidRPr="00E66B6C">
        <w:t>2023/0334</w:t>
      </w:r>
      <w:r w:rsidRPr="00E66B6C">
        <w:rPr>
          <w:rStyle w:val="HideTWBExt"/>
          <w:b w:val="0"/>
        </w:rPr>
        <w:t>&lt;/RefProc&gt;&lt;RefTypeProc&gt;</w:t>
      </w:r>
      <w:r w:rsidRPr="00E66B6C">
        <w:t>(NLE)</w:t>
      </w:r>
      <w:r w:rsidRPr="00E66B6C">
        <w:rPr>
          <w:rStyle w:val="HideTWBExt"/>
          <w:b w:val="0"/>
        </w:rPr>
        <w:t>&lt;/RefTypeProc&gt;</w:t>
      </w:r>
    </w:p>
    <w:p w:rsidR="00363B94" w:rsidRPr="00E66B6C" w:rsidRDefault="00363B94">
      <w:pPr>
        <w:pStyle w:val="CoverDate"/>
      </w:pPr>
      <w:r w:rsidRPr="00E66B6C">
        <w:rPr>
          <w:rStyle w:val="HideTWBExt"/>
        </w:rPr>
        <w:t>&lt;Date&gt;</w:t>
      </w:r>
      <w:r w:rsidRPr="00E66B6C">
        <w:rPr>
          <w:rStyle w:val="HideTWBInt"/>
        </w:rPr>
        <w:t>{14/02/2024}</w:t>
      </w:r>
      <w:r w:rsidRPr="00E66B6C">
        <w:t>14.2.2024</w:t>
      </w:r>
      <w:r w:rsidRPr="00E66B6C">
        <w:rPr>
          <w:rStyle w:val="HideTWBExt"/>
        </w:rPr>
        <w:t>&lt;/Date&gt;</w:t>
      </w:r>
    </w:p>
    <w:p w:rsidR="00363B94" w:rsidRPr="00E66B6C" w:rsidRDefault="00363B94">
      <w:pPr>
        <w:pStyle w:val="CoverDocType"/>
      </w:pPr>
      <w:r w:rsidRPr="00E66B6C">
        <w:rPr>
          <w:rStyle w:val="HideTWBExt"/>
          <w:b w:val="0"/>
        </w:rPr>
        <w:t>&lt;RefProcLect&gt;</w:t>
      </w:r>
      <w:r w:rsidRPr="00E66B6C">
        <w:t>***</w:t>
      </w:r>
      <w:r w:rsidRPr="00E66B6C">
        <w:rPr>
          <w:rStyle w:val="HideTWBExt"/>
          <w:b w:val="0"/>
        </w:rPr>
        <w:t>&lt;/RefProcLect&gt;</w:t>
      </w:r>
    </w:p>
    <w:p w:rsidR="00363B94" w:rsidRPr="00E66B6C" w:rsidRDefault="00363B94">
      <w:pPr>
        <w:pStyle w:val="CoverDocType24a"/>
      </w:pPr>
      <w:r w:rsidRPr="00E66B6C">
        <w:rPr>
          <w:rStyle w:val="HideTWBExt"/>
          <w:b w:val="0"/>
        </w:rPr>
        <w:t>&lt;TitreType&gt;</w:t>
      </w:r>
      <w:r w:rsidRPr="00E66B6C">
        <w:t>ABBOZZ TA’ RAKKOMANDAZZJONI</w:t>
      </w:r>
      <w:r w:rsidRPr="00E66B6C">
        <w:rPr>
          <w:rStyle w:val="HideTWBExt"/>
          <w:b w:val="0"/>
        </w:rPr>
        <w:t>&lt;/TitreType&gt;</w:t>
      </w:r>
    </w:p>
    <w:p w:rsidR="009E6E25" w:rsidRPr="00E66B6C" w:rsidRDefault="009E6E25" w:rsidP="009E6E25">
      <w:pPr>
        <w:pStyle w:val="CoverNormal"/>
      </w:pPr>
      <w:r w:rsidRPr="00E66B6C">
        <w:rPr>
          <w:rStyle w:val="HideTWBExt"/>
        </w:rPr>
        <w:t>&lt;Titre&gt;</w:t>
      </w:r>
      <w:r w:rsidRPr="00E66B6C">
        <w:t>dwar l-abbozz ta’ deċiżjoni tal-Kunsill dwar il-konklużjoni, f’isem l-Unjoni Ewropea, tal-Ftehim bejn l-Unjoni Ewropea u l-Prinċipat tal-Liechtenstein dwar regoli supplementari fir-rigward tal-istrument għall-appoġġ finanzjarju għall-ġestjoni tal-fruntieri u l-politika dwar il-viżi, bħala parti mill-Fond għall-Ġestjoni Integrata tal-Fruntieri għall-perjodu 2021 sa 2027</w:t>
      </w:r>
      <w:r w:rsidRPr="00E66B6C">
        <w:rPr>
          <w:rStyle w:val="HideTWBExt"/>
        </w:rPr>
        <w:t>&lt;/Titre&gt;</w:t>
      </w:r>
    </w:p>
    <w:p w:rsidR="00363B94" w:rsidRPr="00E66B6C" w:rsidRDefault="009E6E25" w:rsidP="009E6E25">
      <w:pPr>
        <w:pStyle w:val="CoverNormal24a"/>
      </w:pPr>
      <w:r w:rsidRPr="00E66B6C">
        <w:rPr>
          <w:rStyle w:val="HideTWBExt"/>
        </w:rPr>
        <w:t>&lt;DocRef&gt;</w:t>
      </w:r>
      <w:r w:rsidRPr="00E66B6C">
        <w:t>(13936/2023 – C9</w:t>
      </w:r>
      <w:r w:rsidRPr="00E66B6C">
        <w:noBreakHyphen/>
        <w:t>0462/2023 – 2023/0334(NLE))</w:t>
      </w:r>
      <w:r w:rsidRPr="00E66B6C">
        <w:rPr>
          <w:rStyle w:val="HideTWBExt"/>
        </w:rPr>
        <w:t>&lt;/DocRef&gt;</w:t>
      </w:r>
    </w:p>
    <w:p w:rsidR="00363B94" w:rsidRPr="00E66B6C" w:rsidRDefault="00363B94">
      <w:pPr>
        <w:pStyle w:val="CoverNormal24a"/>
      </w:pPr>
      <w:r w:rsidRPr="00E66B6C">
        <w:rPr>
          <w:rStyle w:val="HideTWBExt"/>
        </w:rPr>
        <w:t>&lt;Commission&gt;</w:t>
      </w:r>
      <w:r w:rsidRPr="00E66B6C">
        <w:rPr>
          <w:rStyle w:val="HideTWBInt"/>
        </w:rPr>
        <w:t>{LIBE}</w:t>
      </w:r>
      <w:r w:rsidRPr="00E66B6C">
        <w:t>Kumitat għal-Libertajiet Ċivili, il-Ġustizzja u l-Intern</w:t>
      </w:r>
      <w:r w:rsidRPr="00E66B6C">
        <w:rPr>
          <w:rStyle w:val="HideTWBExt"/>
        </w:rPr>
        <w:t>&lt;/Commission&gt;</w:t>
      </w:r>
    </w:p>
    <w:p w:rsidR="00363B94" w:rsidRPr="00E66B6C" w:rsidRDefault="00DE56D2">
      <w:pPr>
        <w:pStyle w:val="CoverNormal24a"/>
      </w:pPr>
      <w:r w:rsidRPr="00E66B6C">
        <w:t xml:space="preserve">Rapporteur: </w:t>
      </w:r>
      <w:r w:rsidRPr="00E66B6C">
        <w:rPr>
          <w:rStyle w:val="HideTWBExt"/>
        </w:rPr>
        <w:t>&lt;Depute&gt;</w:t>
      </w:r>
      <w:bookmarkStart w:id="1" w:name="DocEPLastVariable"/>
      <w:bookmarkEnd w:id="1"/>
      <w:r w:rsidRPr="00E66B6C">
        <w:t>Paulo Rangel</w:t>
      </w:r>
      <w:r w:rsidRPr="00E66B6C">
        <w:rPr>
          <w:rStyle w:val="HideTWBExt"/>
        </w:rPr>
        <w:t>&lt;/Depute&gt;</w:t>
      </w:r>
    </w:p>
    <w:p w:rsidR="00B42885" w:rsidRPr="00E66B6C" w:rsidRDefault="00B42885" w:rsidP="00B42885">
      <w:pPr>
        <w:pStyle w:val="CoverNormal"/>
      </w:pPr>
    </w:p>
    <w:p w:rsidR="009E6E25" w:rsidRPr="00E66B6C" w:rsidRDefault="00363B94" w:rsidP="00016E55">
      <w:r w:rsidRPr="00E66B6C">
        <w:br w:type="page"/>
      </w:r>
      <w:fldSimple w:instr=" TITLE  \* MERGEFORMAT ">
        <w:r w:rsidR="00853FB6">
          <w:t>PR_NLE-AP_Agreement</w:t>
        </w:r>
      </w:fldSimple>
    </w:p>
    <w:p w:rsidR="009E6E25" w:rsidRPr="00E66B6C" w:rsidRDefault="009E6E25" w:rsidP="00016E55"/>
    <w:p w:rsidR="009E6E25" w:rsidRPr="00E66B6C" w:rsidRDefault="009E6E25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9E6E25" w:rsidRPr="00E66B6C">
        <w:tc>
          <w:tcPr>
            <w:tcW w:w="5811" w:type="dxa"/>
          </w:tcPr>
          <w:p w:rsidR="009E6E25" w:rsidRPr="00E66B6C" w:rsidRDefault="009E6E25" w:rsidP="00016E55">
            <w:pPr>
              <w:pStyle w:val="Lgendetitre"/>
            </w:pPr>
            <w:r w:rsidRPr="00E66B6C">
              <w:t>Tifsira tas-simboli użati</w:t>
            </w:r>
          </w:p>
        </w:tc>
      </w:tr>
      <w:tr w:rsidR="009E6E25" w:rsidRPr="00E66B6C" w:rsidTr="00486FAE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9E6E25" w:rsidRPr="00E66B6C" w:rsidRDefault="009E6E25" w:rsidP="00486FAE">
            <w:pPr>
              <w:pStyle w:val="Lgendesigne"/>
              <w:rPr>
                <w:szCs w:val="24"/>
              </w:rPr>
            </w:pPr>
            <w:r w:rsidRPr="00E66B6C">
              <w:tab/>
              <w:t>*</w:t>
            </w:r>
            <w:r w:rsidRPr="00E66B6C">
              <w:tab/>
              <w:t>Proċedura ta’ konsultazzjoni</w:t>
            </w:r>
          </w:p>
          <w:p w:rsidR="009E6E25" w:rsidRPr="00E66B6C" w:rsidRDefault="009E6E25" w:rsidP="00486FAE">
            <w:pPr>
              <w:pStyle w:val="Lgendesigne"/>
              <w:rPr>
                <w:szCs w:val="24"/>
              </w:rPr>
            </w:pPr>
            <w:r w:rsidRPr="00E66B6C">
              <w:tab/>
              <w:t>***</w:t>
            </w:r>
            <w:r w:rsidRPr="00E66B6C">
              <w:tab/>
              <w:t>Proċedura ta’ approvazzjoni</w:t>
            </w:r>
          </w:p>
          <w:p w:rsidR="009E6E25" w:rsidRPr="00E66B6C" w:rsidRDefault="009E6E25" w:rsidP="00486FAE">
            <w:pPr>
              <w:pStyle w:val="Lgendesigne"/>
              <w:rPr>
                <w:szCs w:val="24"/>
              </w:rPr>
            </w:pPr>
            <w:r w:rsidRPr="00E66B6C">
              <w:tab/>
              <w:t>***I</w:t>
            </w:r>
            <w:r w:rsidRPr="00E66B6C">
              <w:tab/>
              <w:t>Proċedura leġiżlattiva ordinarja (l-ewwel qari)</w:t>
            </w:r>
          </w:p>
          <w:p w:rsidR="009E6E25" w:rsidRPr="00E66B6C" w:rsidRDefault="009E6E25" w:rsidP="00486FAE">
            <w:pPr>
              <w:pStyle w:val="Lgendesigne"/>
              <w:rPr>
                <w:szCs w:val="24"/>
              </w:rPr>
            </w:pPr>
            <w:r w:rsidRPr="00E66B6C">
              <w:tab/>
              <w:t>***II</w:t>
            </w:r>
            <w:r w:rsidRPr="00E66B6C">
              <w:tab/>
              <w:t>Proċedura leġiżlattiva ordinarja (it-tieni qari)</w:t>
            </w:r>
          </w:p>
          <w:p w:rsidR="009E6E25" w:rsidRPr="00E66B6C" w:rsidRDefault="009E6E25" w:rsidP="00486FAE">
            <w:pPr>
              <w:pStyle w:val="Lgendesigne"/>
              <w:rPr>
                <w:szCs w:val="24"/>
              </w:rPr>
            </w:pPr>
            <w:r w:rsidRPr="00E66B6C">
              <w:tab/>
              <w:t>***III</w:t>
            </w:r>
            <w:r w:rsidRPr="00E66B6C">
              <w:tab/>
              <w:t>Proċedura leġiżlattiva ordinarja (it-tielet qari)</w:t>
            </w:r>
          </w:p>
          <w:p w:rsidR="009E6E25" w:rsidRPr="00E66B6C" w:rsidRDefault="009E6E25" w:rsidP="00486FAE">
            <w:pPr>
              <w:pStyle w:val="Lgendestandard"/>
            </w:pPr>
          </w:p>
          <w:p w:rsidR="009E6E25" w:rsidRPr="00E66B6C" w:rsidRDefault="009E6E25" w:rsidP="00486FAE">
            <w:pPr>
              <w:pStyle w:val="Lgendestandard"/>
            </w:pPr>
            <w:r w:rsidRPr="00E66B6C">
              <w:t>(It-tip ta’ proċedura jiddependi mill-bażi ġuridika proposta mill-abbozz ta’ att.)</w:t>
            </w:r>
          </w:p>
          <w:p w:rsidR="009E6E25" w:rsidRPr="00E66B6C" w:rsidRDefault="009E6E25" w:rsidP="00486FAE">
            <w:pPr>
              <w:pStyle w:val="Lgendestandard"/>
            </w:pPr>
          </w:p>
        </w:tc>
      </w:tr>
    </w:tbl>
    <w:p w:rsidR="009E6E25" w:rsidRPr="00E66B6C" w:rsidRDefault="009E6E25" w:rsidP="00016E55"/>
    <w:p w:rsidR="00363B94" w:rsidRPr="00E66B6C" w:rsidRDefault="00363B94" w:rsidP="00613F2E">
      <w:pPr>
        <w:widowControl/>
        <w:tabs>
          <w:tab w:val="center" w:pos="4677"/>
        </w:tabs>
      </w:pPr>
    </w:p>
    <w:p w:rsidR="00363B94" w:rsidRPr="00E66B6C" w:rsidRDefault="00363B94">
      <w:pPr>
        <w:pStyle w:val="TOCHeading"/>
      </w:pPr>
      <w:r w:rsidRPr="00E66B6C">
        <w:br w:type="page"/>
      </w:r>
      <w:r w:rsidRPr="00E66B6C">
        <w:lastRenderedPageBreak/>
        <w:t>WERREJ</w:t>
      </w:r>
    </w:p>
    <w:p w:rsidR="00363B94" w:rsidRPr="00E66B6C" w:rsidRDefault="00DE56D2">
      <w:pPr>
        <w:pStyle w:val="TOCPage"/>
      </w:pPr>
      <w:r w:rsidRPr="00E66B6C">
        <w:t>Paġna</w:t>
      </w:r>
    </w:p>
    <w:p w:rsidR="00853FB6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E66B6C">
        <w:fldChar w:fldCharType="begin"/>
      </w:r>
      <w:r w:rsidRPr="00E66B6C">
        <w:instrText xml:space="preserve"> TOC \t "PageHeading</w:instrText>
      </w:r>
      <w:r w:rsidR="00561295" w:rsidRPr="00E66B6C">
        <w:instrText>;</w:instrText>
      </w:r>
      <w:r w:rsidRPr="00E66B6C">
        <w:instrText xml:space="preserve">1" </w:instrText>
      </w:r>
      <w:r w:rsidRPr="00E66B6C">
        <w:fldChar w:fldCharType="separate"/>
      </w:r>
      <w:r w:rsidR="00853FB6">
        <w:rPr>
          <w:noProof/>
        </w:rPr>
        <w:t>ABBOZZ TA’ RIŻOLUZZJONI LEĠIŻLATTIVA TAL-PARLAMENT EWROPEW</w:t>
      </w:r>
      <w:r w:rsidR="00853FB6">
        <w:rPr>
          <w:noProof/>
        </w:rPr>
        <w:tab/>
      </w:r>
      <w:r w:rsidR="00853FB6">
        <w:rPr>
          <w:noProof/>
        </w:rPr>
        <w:fldChar w:fldCharType="begin"/>
      </w:r>
      <w:r w:rsidR="00853FB6">
        <w:rPr>
          <w:noProof/>
        </w:rPr>
        <w:instrText xml:space="preserve"> PAGEREF _Toc158981893 \h </w:instrText>
      </w:r>
      <w:r w:rsidR="00853FB6">
        <w:rPr>
          <w:noProof/>
        </w:rPr>
      </w:r>
      <w:r w:rsidR="00853FB6">
        <w:rPr>
          <w:noProof/>
        </w:rPr>
        <w:fldChar w:fldCharType="separate"/>
      </w:r>
      <w:r w:rsidR="00853FB6">
        <w:rPr>
          <w:noProof/>
        </w:rPr>
        <w:t>5</w:t>
      </w:r>
      <w:r w:rsidR="00853FB6">
        <w:rPr>
          <w:noProof/>
        </w:rPr>
        <w:fldChar w:fldCharType="end"/>
      </w:r>
    </w:p>
    <w:p w:rsidR="00853FB6" w:rsidRDefault="00853FB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_Toc158981894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E66B6C" w:rsidRDefault="00EF48F2" w:rsidP="00F04010">
      <w:r w:rsidRPr="00E66B6C">
        <w:fldChar w:fldCharType="end"/>
      </w:r>
    </w:p>
    <w:p w:rsidR="00363B94" w:rsidRPr="00E66B6C" w:rsidRDefault="00363B94" w:rsidP="0006167F">
      <w:pPr>
        <w:pStyle w:val="PageHeading"/>
      </w:pPr>
      <w:r w:rsidRPr="00E66B6C">
        <w:br w:type="page"/>
      </w:r>
      <w:r w:rsidRPr="00E66B6C">
        <w:lastRenderedPageBreak/>
        <w:br w:type="page"/>
      </w:r>
      <w:bookmarkStart w:id="2" w:name="_Toc158981893"/>
      <w:r w:rsidRPr="00E66B6C">
        <w:lastRenderedPageBreak/>
        <w:t>ABBOZZ TA’ RIŻOLUZZJONI LEĠIŻLATTIVA TAL-PARLAMENT EWROPEW</w:t>
      </w:r>
      <w:bookmarkEnd w:id="2"/>
    </w:p>
    <w:p w:rsidR="009E6E25" w:rsidRPr="00E66B6C" w:rsidRDefault="009E6E25" w:rsidP="009E6E25">
      <w:pPr>
        <w:pStyle w:val="NormalBold"/>
      </w:pPr>
      <w:r w:rsidRPr="00E66B6C">
        <w:t>dwar l-abbozz ta’ deċiżjoni tal-Kunsill dwar il-konklużjoni, f’isem l-Unjoni Ewropea, tal-Ftehim bejn l-Unjoni Ewropea u l-Prinċipat tal-Liechtenstein dwar regoli supplementari fir-rigward tal-istrument għall-appoġġ finanzjarju għall-ġestjoni tal-fruntieri u l-politika dwar il-viżi, bħala parti mill-Fond għall-Ġestjoni Integrata tal-Fruntieri għall-perjodu 2021 sa 2027</w:t>
      </w:r>
    </w:p>
    <w:p w:rsidR="00363B94" w:rsidRPr="00E66B6C" w:rsidRDefault="009E6E25" w:rsidP="009E6E25">
      <w:pPr>
        <w:pStyle w:val="NormalBold12a"/>
      </w:pPr>
      <w:r w:rsidRPr="00E66B6C">
        <w:t>(13936/2023 – C9</w:t>
      </w:r>
      <w:r w:rsidRPr="00E66B6C">
        <w:noBreakHyphen/>
        <w:t>0462/2023 – 2023/0334(NLE))</w:t>
      </w:r>
    </w:p>
    <w:p w:rsidR="00363B94" w:rsidRPr="00E66B6C" w:rsidRDefault="00DE56D2" w:rsidP="00893FBD">
      <w:pPr>
        <w:pStyle w:val="NormalBold"/>
      </w:pPr>
      <w:r w:rsidRPr="00E66B6C">
        <w:t>(Approvazzjoni)</w:t>
      </w:r>
    </w:p>
    <w:p w:rsidR="00363B94" w:rsidRPr="00E66B6C" w:rsidRDefault="00DE56D2">
      <w:pPr>
        <w:pStyle w:val="EPComma"/>
      </w:pPr>
      <w:r w:rsidRPr="00E66B6C">
        <w:rPr>
          <w:i/>
        </w:rPr>
        <w:t>Il-Parlament Ewropew</w:t>
      </w:r>
      <w:r w:rsidRPr="00E66B6C">
        <w:t>,</w:t>
      </w:r>
    </w:p>
    <w:p w:rsidR="009E6E25" w:rsidRPr="00E66B6C" w:rsidRDefault="009E6E25" w:rsidP="009E6E25">
      <w:pPr>
        <w:pStyle w:val="NormalHanging12a"/>
      </w:pPr>
      <w:r w:rsidRPr="00E66B6C">
        <w:t>–</w:t>
      </w:r>
      <w:r w:rsidRPr="00E66B6C">
        <w:tab/>
        <w:t>wara li kkunsidra l-abbozz ta’ deċiżjoni tal-Kunsill (13936/2023),</w:t>
      </w:r>
    </w:p>
    <w:p w:rsidR="009E6E25" w:rsidRPr="00E66B6C" w:rsidRDefault="009E6E25" w:rsidP="009E6E25">
      <w:pPr>
        <w:pStyle w:val="NormalHanging12a"/>
      </w:pPr>
      <w:r w:rsidRPr="00E66B6C">
        <w:t>–</w:t>
      </w:r>
      <w:r w:rsidRPr="00E66B6C">
        <w:tab/>
        <w:t>wara li kkunsidra l-abbozz ta’ Ftehim bejn l-Unjoni Ewropea u l-Prinċipat ta’ Liechtenstein dwar regoli supplementari b’rabta mal-Istrument għall-Appoġġ Finanzjarju għall-Ġestjoni tal-Fruntieri u l-Politika dwar il-Viżi, bħala parti mill-Fond għall-Ġestjoni Integrata tal-Fruntieri għall-perjodu 2021 sa 2027 (13935/2023)</w:t>
      </w:r>
      <w:r w:rsidRPr="00E66B6C">
        <w:rPr>
          <w:rStyle w:val="FootnoteReference"/>
        </w:rPr>
        <w:footnoteReference w:id="1"/>
      </w:r>
      <w:r w:rsidRPr="00E66B6C">
        <w:t>,</w:t>
      </w:r>
    </w:p>
    <w:p w:rsidR="009E6E25" w:rsidRPr="00E66B6C" w:rsidRDefault="009E6E25" w:rsidP="009E6E25">
      <w:pPr>
        <w:pStyle w:val="NormalHanging12a"/>
      </w:pPr>
      <w:r w:rsidRPr="00E66B6C">
        <w:t>–</w:t>
      </w:r>
      <w:r w:rsidRPr="00E66B6C">
        <w:tab/>
        <w:t>wara li kkunsidra t-talba għal approvazzjoni preżentata mill-Kunsill skont l-Artikolu 77(2), l-Artikolu 218(6), it-tieni subparagrafu, il-punt (a), u l-Artikolu 218(7) tat-Trattat dwar il-Funzjonament tal-Unjoni Ewropea (C9</w:t>
      </w:r>
      <w:r w:rsidRPr="00E66B6C">
        <w:noBreakHyphen/>
        <w:t>0462/2023),</w:t>
      </w:r>
    </w:p>
    <w:p w:rsidR="009E6E25" w:rsidRPr="00E66B6C" w:rsidRDefault="009E6E25" w:rsidP="009E6E25">
      <w:pPr>
        <w:pStyle w:val="NormalHanging12a"/>
      </w:pPr>
      <w:r w:rsidRPr="00E66B6C">
        <w:t>–</w:t>
      </w:r>
      <w:r w:rsidRPr="00E66B6C">
        <w:tab/>
        <w:t>wara li kkunsidra l-Artikolu 105(1) u (4) u l-Artikolu 114(7) tar-Regoli ta’ Proċedura tiegħu,</w:t>
      </w:r>
    </w:p>
    <w:p w:rsidR="009E6E25" w:rsidRPr="00E66B6C" w:rsidRDefault="009E6E25" w:rsidP="009E6E25">
      <w:pPr>
        <w:pStyle w:val="NormalHanging12a"/>
      </w:pPr>
      <w:r w:rsidRPr="00E66B6C">
        <w:t>–</w:t>
      </w:r>
      <w:r w:rsidRPr="00E66B6C">
        <w:tab/>
        <w:t>wara li kkunsidra r-rakkomandazzjoni tal-Kumitat għal-Libertajiet Ċivili, il-Ġustizzja u l-Intern (A9</w:t>
      </w:r>
      <w:r w:rsidRPr="00E66B6C">
        <w:noBreakHyphen/>
        <w:t>0000/2024),</w:t>
      </w:r>
    </w:p>
    <w:p w:rsidR="009E6E25" w:rsidRPr="00E66B6C" w:rsidRDefault="009E6E25" w:rsidP="009E6E25">
      <w:pPr>
        <w:pStyle w:val="NormalHanging12a"/>
      </w:pPr>
      <w:r w:rsidRPr="00E66B6C">
        <w:t>1.</w:t>
      </w:r>
      <w:r w:rsidRPr="00E66B6C">
        <w:tab/>
        <w:t>Jagħti l-approvazzjoni tiegħu għall-konklużjoni tal-ftehim;</w:t>
      </w:r>
    </w:p>
    <w:p w:rsidR="009E6E25" w:rsidRPr="00E66B6C" w:rsidRDefault="009E6E25" w:rsidP="009E6E25">
      <w:pPr>
        <w:pStyle w:val="NormalHanging12a"/>
      </w:pPr>
      <w:r w:rsidRPr="00E66B6C">
        <w:t>2.</w:t>
      </w:r>
      <w:r w:rsidRPr="00E66B6C">
        <w:tab/>
        <w:t>Jagħti istruzzjonijiet lill-President tiegħu biex tgħaddi l-pożizzjoni tal-Parlament lill-Kunsill u lill-Kummissjoni, kif ukoll lill-gvernijiet u lill-parlamenti tal-Istati Membri u tal-Prinċipat tal-Liechtenstein.</w:t>
      </w:r>
    </w:p>
    <w:p w:rsidR="009E6E25" w:rsidRPr="00E66B6C" w:rsidRDefault="009E6E25" w:rsidP="009E6E25">
      <w:pPr>
        <w:sectPr w:rsidR="009E6E25" w:rsidRPr="00E66B6C" w:rsidSect="00E66B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9E6E25" w:rsidRPr="00E66B6C" w:rsidRDefault="009E6E25" w:rsidP="009E6E25">
      <w:pPr>
        <w:pStyle w:val="PageHeading"/>
      </w:pPr>
      <w:bookmarkStart w:id="3" w:name="_Toc158886164"/>
      <w:bookmarkStart w:id="4" w:name="_Toc158981894"/>
      <w:r w:rsidRPr="00E66B6C">
        <w:lastRenderedPageBreak/>
        <w:t>NOTA SPJEGATTIVA</w:t>
      </w:r>
      <w:bookmarkEnd w:id="3"/>
      <w:bookmarkEnd w:id="4"/>
    </w:p>
    <w:p w:rsidR="009E6E25" w:rsidRPr="00E66B6C" w:rsidRDefault="009E6E25" w:rsidP="009E6E25">
      <w:pPr>
        <w:rPr>
          <w:sz w:val="22"/>
          <w:szCs w:val="22"/>
        </w:rPr>
      </w:pPr>
      <w:r w:rsidRPr="00E66B6C">
        <w:rPr>
          <w:b/>
        </w:rPr>
        <w:t>a. Sfond</w:t>
      </w:r>
      <w:r w:rsidRPr="00E66B6C">
        <w:rPr>
          <w:sz w:val="22"/>
        </w:rPr>
        <w:t xml:space="preserve"> </w:t>
      </w:r>
    </w:p>
    <w:p w:rsidR="009E6E25" w:rsidRPr="00E66B6C" w:rsidRDefault="009E6E25" w:rsidP="009E6E25"/>
    <w:p w:rsidR="009E6E25" w:rsidRPr="00E66B6C" w:rsidRDefault="009E6E25" w:rsidP="009E6E25">
      <w:pPr>
        <w:jc w:val="both"/>
        <w:rPr>
          <w:noProof/>
        </w:rPr>
      </w:pPr>
      <w:r w:rsidRPr="00E66B6C">
        <w:t>Ir-Regolament (UE) 2021/1148 tal-Parlament Ewropew u tal-Kunsill li jistabbilixxi l-Istrument għall-Appoġġ Finanzjarju għall-Ġestjoni tal-Fruntieri u l-Politika dwar il-Viżi għall-perjodu 2021-2027 (ir-Regolament BMVI) ġie adottat fis-7 ta’ Lulju 2021.</w:t>
      </w:r>
    </w:p>
    <w:p w:rsidR="009E6E25" w:rsidRPr="00E66B6C" w:rsidRDefault="009E6E25" w:rsidP="009E6E25">
      <w:pPr>
        <w:jc w:val="both"/>
        <w:rPr>
          <w:noProof/>
        </w:rPr>
      </w:pPr>
    </w:p>
    <w:p w:rsidR="009E6E25" w:rsidRPr="00E66B6C" w:rsidRDefault="009E6E25" w:rsidP="009E6E25">
      <w:pPr>
        <w:jc w:val="both"/>
        <w:rPr>
          <w:noProof/>
        </w:rPr>
      </w:pPr>
      <w:r w:rsidRPr="00E66B6C">
        <w:t>L-għan tar-Regolament BMVI huwa li jipprovdi assistenza finanzjarja lil dawk l-Istati (Membri) li japplikaw id-dispożizzjonijiet tal-</w:t>
      </w:r>
      <w:r w:rsidRPr="00E66B6C">
        <w:rPr>
          <w:i/>
          <w:iCs/>
        </w:rPr>
        <w:t>acquis</w:t>
      </w:r>
      <w:r w:rsidRPr="00E66B6C">
        <w:t xml:space="preserve"> ta’ Schengen fir-rigward tal-fruntieri esterni. Dan jikkostitwixxi żvilupp tal-</w:t>
      </w:r>
      <w:r w:rsidRPr="00E66B6C">
        <w:rPr>
          <w:i/>
          <w:iCs/>
        </w:rPr>
        <w:t>acquis</w:t>
      </w:r>
      <w:r w:rsidRPr="00E66B6C">
        <w:t xml:space="preserve"> ta’ Schengen li fih jipparteċipaw il-pajjiżi assoċjati mal-implimentazzjoni, l-applikazzjoni u l-iżvilupp ulterjuri tal-</w:t>
      </w:r>
      <w:r w:rsidRPr="00E66B6C">
        <w:rPr>
          <w:i/>
          <w:iCs/>
        </w:rPr>
        <w:t>acquis</w:t>
      </w:r>
      <w:r w:rsidRPr="00E66B6C">
        <w:t xml:space="preserve"> ta’ Schengen (il-“pajjiżi assoċjati ta’ Schengen” jew il-“pajjiżi assoċjati”).</w:t>
      </w:r>
    </w:p>
    <w:p w:rsidR="009E6E25" w:rsidRPr="00E66B6C" w:rsidRDefault="009E6E25" w:rsidP="009E6E25">
      <w:pPr>
        <w:jc w:val="both"/>
        <w:rPr>
          <w:noProof/>
        </w:rPr>
      </w:pPr>
    </w:p>
    <w:p w:rsidR="009E6E25" w:rsidRPr="00E66B6C" w:rsidRDefault="009E6E25" w:rsidP="009E6E25">
      <w:pPr>
        <w:jc w:val="both"/>
        <w:rPr>
          <w:noProof/>
        </w:rPr>
      </w:pPr>
      <w:r w:rsidRPr="00E66B6C">
        <w:t xml:space="preserve">Fit-18 ta’ Awwissu 2021, il-Prinċipat tal-Liechtenstein innotifika d-deċiżjoni tiegħu li jaċċetta l-kontenut tar-Regolament BMVI u li jimplimentah fl-ordni legali intern tiegħu. </w:t>
      </w:r>
    </w:p>
    <w:p w:rsidR="009E6E25" w:rsidRPr="00E66B6C" w:rsidRDefault="009E6E25" w:rsidP="009E6E25">
      <w:pPr>
        <w:jc w:val="both"/>
        <w:rPr>
          <w:noProof/>
        </w:rPr>
      </w:pPr>
    </w:p>
    <w:p w:rsidR="009E6E25" w:rsidRPr="00E66B6C" w:rsidRDefault="009E6E25" w:rsidP="009E6E25">
      <w:pPr>
        <w:jc w:val="both"/>
        <w:rPr>
          <w:noProof/>
        </w:rPr>
      </w:pPr>
      <w:r w:rsidRPr="00E66B6C">
        <w:t>Il-paragrafu 6 tal-Artikolu 7 tar-Regolament BMVI jipprevedi li għandhom isiru “arranġamenti” li jispeċifikaw in-natura u l-modi ta’ parteċipazzjoni fil-BMVI tal-pajjiżi assoċjati mal-implimentazzjoni, l-applikazzjoni u l-iżvilupp tal-</w:t>
      </w:r>
      <w:r w:rsidRPr="00E66B6C">
        <w:rPr>
          <w:i/>
          <w:iCs/>
        </w:rPr>
        <w:t>acquis</w:t>
      </w:r>
      <w:r w:rsidRPr="00E66B6C">
        <w:t xml:space="preserve"> ta’ Schengen, f’konformità mad-dispożizzjonijiet rilevanti tal-ftehimiet ta’ assoċjazzjoni rispettivi. Dawn l-arranġamenti jieħdu l-forma ta’ ftehimiet konklużi mill-Unjoni mal-pajjiżi assoċjati ta’ Schengen f’konformità mal-Artikolu 216 tat-TFUE. 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>Fil-21 ta’ Frar 2022, il-Kunsill awtorizza lill-Kummissjoni biex tiftaħ negozjati</w:t>
      </w:r>
      <w:r w:rsidRPr="00E66B6C">
        <w:rPr>
          <w:rStyle w:val="FootnoteReference"/>
          <w:rFonts w:eastAsiaTheme="minorHAnsi"/>
          <w:b w:val="0"/>
        </w:rPr>
        <w:footnoteReference w:id="2"/>
      </w:r>
      <w:r w:rsidRPr="00E66B6C">
        <w:t xml:space="preserve"> mal-Iżlanda, mar-Renju tan-Norveġja, mal-Konfederazzjoni Żvizzera u mal-Prinċipat tal-Liechtenstein għall-arranġamenti dwar </w:t>
      </w:r>
      <w:bookmarkStart w:id="5" w:name="_Hlk132892775"/>
      <w:r w:rsidRPr="00E66B6C">
        <w:t>il-kontribuzzjonijiet finanzjarji ta’ dawk il-pajjiżi u r-regoli supplimentari meħtieġa għall-parteċipazzjoni tagħhom</w:t>
      </w:r>
      <w:bookmarkEnd w:id="5"/>
      <w:r w:rsidRPr="00E66B6C">
        <w:t xml:space="preserve"> fl-Istrument għall-Appoġġ Finanzjarju għall-Ġestjoni tal-Fruntieri u l-Politika dwar il-Viżi għall-perjodu 2021 sa 2027, inklużi dispożizzjonijiet li jiżguraw il-protezzjoni tal-interessi finanzjarji tal-Unjoni u s-setgħat ta’ awditjar tal-Qorti tal-Awdituri, li għandhom jiġu konklużi skont ir-Regolament (UE) 2021/1148 tal-Parlament Ewropew u tal-Kunsill</w:t>
      </w:r>
      <w:r w:rsidRPr="00E66B6C">
        <w:rPr>
          <w:rStyle w:val="FootnoteReference"/>
          <w:rFonts w:eastAsiaTheme="minorHAnsi"/>
          <w:b w:val="0"/>
        </w:rPr>
        <w:footnoteReference w:id="3"/>
      </w:r>
      <w:r w:rsidRPr="00E66B6C">
        <w:t>. In-negozjati mal-Prinċipat tal-Liechtenstein ġew konklużi b’suċċess bl-inizjalar tal-Ftehim fis-16 ta’ Ġunju 2023.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>Fid-29 ta’ Settembru 2023, il-Kummissjoni ppreżentat lill-Kunsill proposta għal Deċiżjoni tal-Kunsill dwar il-konklużjoni, f’isem l-Unjoni Ewropea, tal-Ftehim bejn l-Unjoni Ewropea u l-Prinċipat tal-Liechtenstein dwar ir-regoli supplimentari fir-rigward tal-istrument għall-appoġġ finanzjarju għall-ġestjoni tal-fruntieri u l-politika dwar il-viżi, bħala parti mill-Fond għall-</w:t>
      </w:r>
      <w:r w:rsidRPr="00E66B6C">
        <w:lastRenderedPageBreak/>
        <w:t>Ġestjoni Integrata tal-Fruntieri.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 xml:space="preserve"> Fit-13 ta’ Novembru 2023, il-Kunsill adotta Deċiżjoni dwar l-iffirmar, f’isem l-Unjoni, u l-applikazzjoni proviżorja tal-Ftehim bejn l-Unjoni Ewropea u l-Prinċipat tal-Liechtenstein dwar regoli supplementari fir-rigward tal-Istrument għall-Appoġġ Finanzjarju għall-Ġestjoni tal-Fruntieri u għall-Politika dwar il-Viżi, bħala parti mill-Fond għall-Ġestjoni Integrata tal-Fruntieri għall-perjodu 2021 sa 2027 Il-Ftehim ġie ffirmat fit-28 ta’ Novembru 2023 fi Brussell.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>Fl-4 ta’ Diċembru 2023, il-Kunsill talab lill-Parlament Ewropew jagħti l-approvazzjoni tiegħu għall-abbozz ta’ Deċiżjoni tal-Kunsill dwar il-konklużjoni tal-ftehim imsemmi hawn fuq.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  <w:rPr>
          <w:sz w:val="22"/>
          <w:szCs w:val="22"/>
        </w:rPr>
      </w:pPr>
    </w:p>
    <w:p w:rsidR="009E6E25" w:rsidRPr="00E66B6C" w:rsidRDefault="009E6E25" w:rsidP="009E6E25">
      <w:pPr>
        <w:jc w:val="both"/>
      </w:pPr>
      <w:r w:rsidRPr="00E66B6C">
        <w:rPr>
          <w:b/>
        </w:rPr>
        <w:t>b. Il-pożizzjoni tar-Rapporteur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>L-Istrument għall-Appoġġ Finanzjarju għall-Ġestjoni tal-Fruntieri u l-Politika dwar il-Viżi, bħala parti mill-Fond għall-Ġestjoni Integrata tal-Fruntieri, jikkostitwixxi strument speċifiku fil-kuntest tal-</w:t>
      </w:r>
      <w:r w:rsidRPr="00E66B6C">
        <w:rPr>
          <w:i/>
          <w:iCs/>
        </w:rPr>
        <w:t>acquis</w:t>
      </w:r>
      <w:r w:rsidRPr="00E66B6C">
        <w:t xml:space="preserve"> ta’ Schengen imfassal biex jiżgura ġestjoni integrata Ewropea tal-fruntieri b’saħħitha u effettiva fil-fruntieri esterni, filwaqt li jissalvagwardja l-moviment liberu tal-persuni, f’konformità sħiħa mal-impenji tal-Istati Membri u tal-pajjiżi assoċjati dwar id-drittijiet fundamentali, u biex jappoġġja l-implimentazzjoni uniformi tal-politika komuni dwar il-viżi, u b’hekk jikkontribwixxi għall-garanzija ta’ livell għoli ta’ sigurtà fl-Istati Membri u fil-pajjiżi assoċjati u jsaħħaħ il-funzjonament ġenerali taż-żona Schengen.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>Ir-Rapporteur jaqbel li l-BMVI joffri l-opportunità li jiġu implimentati azzjonijiet b’ġestjoni kondiviża, b’modi ta’ ġestjoni diretta u indiretta, u dan il-Ftehim għalhekk għandu jiżgura li l-implimentazzjoni bi kwalunkwe wieħed minn dawn il-metodi titwettaq fil-Prinċipat tal-Liechtenstein f’konformità mal-prinċipji u r-regoli tal-Unjoni dwar il-ġestjoni u l-kontroll finanzjarji.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>Ir-Rapporteur iqis ukoll li, minħabba n-natura speċifika tal-</w:t>
      </w:r>
      <w:r w:rsidRPr="00E66B6C">
        <w:rPr>
          <w:i/>
          <w:iCs/>
        </w:rPr>
        <w:t>acquis</w:t>
      </w:r>
      <w:r w:rsidRPr="00E66B6C">
        <w:t xml:space="preserve"> ta’ Schengen u l-importanza tal-applikazzjoni uniformi tiegħu għall-integrità taż-żona Schengen, ir-regoli kollha applikabbli għall-ġestjoni tal-programmi għandhom japplikaw għall-Prinċipat tal-Liechtenstein bl-istess mod kif japplikaw għall-Istati Membri.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>Ir-Rapporteur iqis li l-konklużjoni ta’ ftehimiet formali u legalment vinkolanti fil-qafas tal-kooperazzjoni mal-pajjiżi assoċjati, għall-kuntrarju ta’ tipi oħra ta’arranġamenti, hija ta’ importanza kruċjali sabiex jiġu żgurati t-trasparenza, l-iskrutinju pubbliku u s-sorveljanza demokratika. Dan huwa partikolarment importanti fir-rigward tal-użu tal-baġit tal-UE.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 xml:space="preserve">Għandu jkun hemm aktar konformità ma’ dispożizzjonijiet speċifiċi oħra. </w:t>
      </w:r>
      <w:r w:rsidRPr="00E66B6C">
        <w:rPr>
          <w:shd w:val="clear" w:color="auto" w:fill="FFFFFF"/>
        </w:rPr>
        <w:t>Bis-saħħa tal-ftehimiet ta’ assoċjazzjoni ta’ Schengen</w:t>
      </w:r>
      <w:r w:rsidRPr="00E66B6C">
        <w:t>, il-Prinċipat tal-Liechtenstein jeħtieġlu jaċċetta bis-sħiħ il-miżuri tal-Unjoni, inkluż ir-Regolament BMVI, li jiżviluppaw jew jibnu fuq l-</w:t>
      </w:r>
      <w:r w:rsidRPr="00E66B6C">
        <w:rPr>
          <w:i/>
          <w:iCs/>
        </w:rPr>
        <w:t>acquis</w:t>
      </w:r>
      <w:r w:rsidRPr="00E66B6C">
        <w:t xml:space="preserve"> ta’ Schengen, u jieħdu l-miżuri meħtieġa biex jiżguraw il-konformità mad-dispożizzjonijiet rilevanti għall-ġestjoni u l-kontroll finanzjarji li huma stabbiliti fit-TFUE u fid-dritt tal-Unjoni li tislet il-bażi legali tagħha mit-TFUE.</w:t>
      </w:r>
    </w:p>
    <w:p w:rsidR="009E6E25" w:rsidRPr="00E66B6C" w:rsidRDefault="009E6E25" w:rsidP="009E6E25">
      <w:r w:rsidRPr="00E66B6C">
        <w:br/>
        <w:t>Il-ftehimiet jintroduċu wkoll mekkaniżmi speċifiċi għal aġġustamenti rapidi għall-ftehim mal-Prinċipat tal-Liechtenstein, fil-każ ta’ bidliet fil-leġiżlazzjoni ewlenija tal-Unjoni rilevanti għall-implimentazzjoni, bħar-Regolament Finanzjarju u r-Regolament dwar Dispożizzjonijiet Komuni. Il-ftehim jiżgura wkoll li r-rieżami ta’ nofs it-terminu tal-BMVI jqis id-dewmien fil-</w:t>
      </w:r>
      <w:r w:rsidRPr="00E66B6C">
        <w:lastRenderedPageBreak/>
        <w:t>parteċipazzjoni tal-pajjiżi assoċjati ta’ Schengen.</w:t>
      </w:r>
    </w:p>
    <w:p w:rsidR="009E6E25" w:rsidRPr="00E66B6C" w:rsidRDefault="009E6E25" w:rsidP="009E6E25">
      <w:pPr>
        <w:jc w:val="both"/>
      </w:pPr>
    </w:p>
    <w:p w:rsidR="009E6E25" w:rsidRPr="00E66B6C" w:rsidRDefault="009E6E25" w:rsidP="009E6E25">
      <w:pPr>
        <w:jc w:val="both"/>
      </w:pPr>
      <w:r w:rsidRPr="00E66B6C">
        <w:t xml:space="preserve">Barra min hekk, għall-kontrolli baġitarji u finanzjarji, l-Istati Membri huma soġġetti għal obbligi orizzontali (eż. il-kompetenza tal-Qorti tal-Awdituri, tal-Uffiċċju Ewropew ta’ Kontra l-Frodi (OLAF), tal-UPPE u tal-Kummissjoni), li jiġu jew direttament mit-Trattat jew minn leġiżlazzjoni sekondarja tal-Unjoni, inkluż ir-Regolament dwar Dispożizzjonijiet Komuni kif imsemmi hawn fuq. Dawn l-obbligi japplikaw </w:t>
      </w:r>
      <w:r w:rsidRPr="00E66B6C">
        <w:rPr>
          <w:i/>
          <w:iCs/>
        </w:rPr>
        <w:t>ipso facto</w:t>
      </w:r>
      <w:r w:rsidRPr="00E66B6C">
        <w:t xml:space="preserve"> fl-Istati Membri u għaldaqstant mhumiex stabbiliti fir-Regolament BMVI. Konsegwentement, dawn l-obbligi jeħtieġ li jiġu estiżi għall-Prinċipat tal-Liechtenstein permezz tal-Ftehim ikkonċernat.</w:t>
      </w:r>
    </w:p>
    <w:p w:rsidR="009E6E25" w:rsidRPr="00E66B6C" w:rsidRDefault="009E6E25" w:rsidP="009E6E25">
      <w:pPr>
        <w:jc w:val="both"/>
      </w:pPr>
      <w:r w:rsidRPr="00E66B6C">
        <w:br/>
        <w:t>Fl-aħħar nett, il-ftehim fih ukoll dispożizzjoni dwar is-Sistema Ewropea ta’ Informazzjoni u ta’ Awtorizzazzjoni għall-Ivvjaġġar (ETIAS). </w:t>
      </w:r>
    </w:p>
    <w:p w:rsidR="009E6E25" w:rsidRPr="00E66B6C" w:rsidRDefault="009E6E25" w:rsidP="009E6E25">
      <w:pPr>
        <w:jc w:val="both"/>
        <w:rPr>
          <w:rFonts w:ascii="Arial" w:hAnsi="Arial" w:cs="Arial"/>
          <w:color w:val="222222"/>
          <w:spacing w:val="4"/>
          <w:sz w:val="21"/>
          <w:szCs w:val="21"/>
          <w:shd w:val="clear" w:color="auto" w:fill="FFFFFF"/>
        </w:rPr>
      </w:pPr>
    </w:p>
    <w:p w:rsidR="009E6E25" w:rsidRPr="00E66B6C" w:rsidRDefault="009E6E25" w:rsidP="009E6E25">
      <w:pPr>
        <w:jc w:val="both"/>
      </w:pPr>
      <w:r w:rsidRPr="00E66B6C">
        <w:t>Bħala konklużjoni, ir-Rapporteur tagħkom iqis li huwa xieraq li jiġi stabbilit Ftehim li jistabbilixxi r-regoli supplimentari meħtieġa għall-parteċipazzjoni tal-Prinċipat tal-Liechtenstein fl-Istrument għall-Appoġġ Finanzjarju għall-Ġestjoni tal-Fruntieri u għall-Politika dwar il-Viżi (il-“BMVI”) bħala parti mill-Fond għall-Ġestjoni Integrata tal-Fruntieri għall-perjodu ta’ programmazzjoni 2021 sa 2027 f’konformità mal-Artikolu 7(6) tar-Regolament (UE) 2021/1148 (ir-“Regolament BMVI”).</w:t>
      </w:r>
    </w:p>
    <w:p w:rsidR="009E6E25" w:rsidRPr="00E66B6C" w:rsidRDefault="009E6E25" w:rsidP="009E6E25">
      <w:pPr>
        <w:jc w:val="both"/>
      </w:pPr>
    </w:p>
    <w:p w:rsidR="00EF48F2" w:rsidRPr="00E66B6C" w:rsidRDefault="009E6E25" w:rsidP="009E6E25">
      <w:pPr>
        <w:pStyle w:val="NormalHanging12a"/>
        <w:ind w:left="0" w:firstLine="0"/>
      </w:pPr>
      <w:r w:rsidRPr="00E66B6C">
        <w:t>Fid-dawl ta’ hawn fuq, ir-Rapporteur jirrakkomanda li l-Parlament Ewropew jagħti l-approvazzjoni tiegħu għall-abbozz ta’ deċiżjoni tal-Kunsill</w:t>
      </w:r>
      <w:bookmarkStart w:id="6" w:name="AM0"/>
      <w:bookmarkEnd w:id="6"/>
      <w:r w:rsidRPr="00E66B6C">
        <w:t xml:space="preserve"> u jagħti istruzzjonijiet lill-President tiegħu biex tgħaddi l-pożizzjoni tal-Parlament lill-Kunsill u lill-Kummissjoni, kif ukoll lill-gvernijiet u lill-parlamenti tal-Istati Membri.</w:t>
      </w:r>
    </w:p>
    <w:p w:rsidR="00363B94" w:rsidRPr="00E66B6C" w:rsidRDefault="00363B94" w:rsidP="00822206"/>
    <w:sectPr w:rsidR="00363B94" w:rsidRPr="00E66B6C" w:rsidSect="00E66B6C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6D2" w:rsidRPr="00E66B6C" w:rsidRDefault="00DE56D2">
      <w:r w:rsidRPr="00E66B6C">
        <w:separator/>
      </w:r>
    </w:p>
  </w:endnote>
  <w:endnote w:type="continuationSeparator" w:id="0">
    <w:p w:rsidR="00DE56D2" w:rsidRPr="00E66B6C" w:rsidRDefault="00DE56D2">
      <w:r w:rsidRPr="00E66B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B6C" w:rsidRPr="00E66B6C" w:rsidRDefault="00E66B6C" w:rsidP="00E66B6C">
    <w:pPr>
      <w:pStyle w:val="EPFooter"/>
    </w:pPr>
    <w:r w:rsidRPr="00E66B6C">
      <w:t>PE</w:t>
    </w:r>
    <w:r w:rsidRPr="00E66B6C">
      <w:rPr>
        <w:rStyle w:val="HideTWBExt"/>
      </w:rPr>
      <w:t>&lt;NoPE&gt;</w:t>
    </w:r>
    <w:r w:rsidRPr="00E66B6C">
      <w:t>758.915</w:t>
    </w:r>
    <w:r w:rsidRPr="00E66B6C">
      <w:rPr>
        <w:rStyle w:val="HideTWBExt"/>
      </w:rPr>
      <w:t>&lt;/NoPE&gt;&lt;Version&gt;</w:t>
    </w:r>
    <w:r w:rsidRPr="00E66B6C">
      <w:t>v01-00</w:t>
    </w:r>
    <w:r w:rsidRPr="00E66B6C">
      <w:rPr>
        <w:rStyle w:val="HideTWBExt"/>
      </w:rPr>
      <w:t>&lt;/Version&gt;</w:t>
    </w:r>
    <w:r w:rsidRPr="00E66B6C">
      <w:tab/>
    </w:r>
    <w:r w:rsidRPr="00E66B6C">
      <w:fldChar w:fldCharType="begin"/>
    </w:r>
    <w:r w:rsidRPr="00E66B6C">
      <w:instrText xml:space="preserve"> PAGE  \* MERGEFORMAT </w:instrText>
    </w:r>
    <w:r w:rsidRPr="00E66B6C">
      <w:fldChar w:fldCharType="separate"/>
    </w:r>
    <w:r w:rsidR="00853FB6">
      <w:rPr>
        <w:noProof/>
      </w:rPr>
      <w:t>2</w:t>
    </w:r>
    <w:r w:rsidRPr="00E66B6C">
      <w:fldChar w:fldCharType="end"/>
    </w:r>
    <w:r w:rsidRPr="00E66B6C">
      <w:t>/</w:t>
    </w:r>
    <w:fldSimple w:instr=" NUMPAGES  \* MERGEFORMAT ">
      <w:r w:rsidR="00853FB6">
        <w:rPr>
          <w:noProof/>
        </w:rPr>
        <w:t>8</w:t>
      </w:r>
    </w:fldSimple>
    <w:r w:rsidRPr="00E66B6C">
      <w:tab/>
    </w:r>
    <w:r w:rsidRPr="00E66B6C">
      <w:rPr>
        <w:rStyle w:val="HideTWBExt"/>
      </w:rPr>
      <w:t>&lt;PathFdR&gt;</w:t>
    </w:r>
    <w:r w:rsidRPr="00E66B6C">
      <w:t>PR\1296236MT.docx</w:t>
    </w:r>
    <w:r w:rsidRPr="00E66B6C">
      <w:rPr>
        <w:rStyle w:val="HideTWBExt"/>
      </w:rPr>
      <w:t>&lt;/PathFdR&gt;</w:t>
    </w:r>
  </w:p>
  <w:p w:rsidR="009E6E25" w:rsidRPr="00E66B6C" w:rsidRDefault="00E66B6C" w:rsidP="00E66B6C">
    <w:pPr>
      <w:pStyle w:val="EPFooter2"/>
    </w:pPr>
    <w:r w:rsidRPr="00E66B6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B6C" w:rsidRPr="00E66B6C" w:rsidRDefault="00E66B6C" w:rsidP="00E66B6C">
    <w:pPr>
      <w:pStyle w:val="EPFooter"/>
    </w:pPr>
    <w:r w:rsidRPr="00E66B6C">
      <w:rPr>
        <w:rStyle w:val="HideTWBExt"/>
      </w:rPr>
      <w:t>&lt;PathFdR&gt;</w:t>
    </w:r>
    <w:r w:rsidRPr="00E66B6C">
      <w:t>PR\1296236MT.docx</w:t>
    </w:r>
    <w:r w:rsidRPr="00E66B6C">
      <w:rPr>
        <w:rStyle w:val="HideTWBExt"/>
      </w:rPr>
      <w:t>&lt;/PathFdR&gt;</w:t>
    </w:r>
    <w:r w:rsidRPr="00E66B6C">
      <w:tab/>
    </w:r>
    <w:r w:rsidRPr="00E66B6C">
      <w:fldChar w:fldCharType="begin"/>
    </w:r>
    <w:r w:rsidRPr="00E66B6C">
      <w:instrText xml:space="preserve"> PAGE  \* MERGEFORMAT </w:instrText>
    </w:r>
    <w:r w:rsidRPr="00E66B6C">
      <w:fldChar w:fldCharType="separate"/>
    </w:r>
    <w:r w:rsidR="00853FB6">
      <w:rPr>
        <w:noProof/>
      </w:rPr>
      <w:t>8</w:t>
    </w:r>
    <w:r w:rsidRPr="00E66B6C">
      <w:fldChar w:fldCharType="end"/>
    </w:r>
    <w:r w:rsidRPr="00E66B6C">
      <w:t>/</w:t>
    </w:r>
    <w:fldSimple w:instr=" NUMPAGES  \* MERGEFORMAT ">
      <w:r w:rsidR="00853FB6">
        <w:rPr>
          <w:noProof/>
        </w:rPr>
        <w:t>8</w:t>
      </w:r>
    </w:fldSimple>
    <w:r w:rsidRPr="00E66B6C">
      <w:tab/>
      <w:t>PE</w:t>
    </w:r>
    <w:r w:rsidRPr="00E66B6C">
      <w:rPr>
        <w:rStyle w:val="HideTWBExt"/>
      </w:rPr>
      <w:t>&lt;NoPE&gt;</w:t>
    </w:r>
    <w:r w:rsidRPr="00E66B6C">
      <w:t>758.915</w:t>
    </w:r>
    <w:r w:rsidRPr="00E66B6C">
      <w:rPr>
        <w:rStyle w:val="HideTWBExt"/>
      </w:rPr>
      <w:t>&lt;/NoPE&gt;&lt;Version&gt;</w:t>
    </w:r>
    <w:r w:rsidRPr="00E66B6C">
      <w:t>v01-00</w:t>
    </w:r>
    <w:r w:rsidRPr="00E66B6C">
      <w:rPr>
        <w:rStyle w:val="HideTWBExt"/>
      </w:rPr>
      <w:t>&lt;/Version&gt;</w:t>
    </w:r>
  </w:p>
  <w:p w:rsidR="009E6E25" w:rsidRPr="00E66B6C" w:rsidRDefault="00E66B6C" w:rsidP="00E66B6C">
    <w:pPr>
      <w:pStyle w:val="EPFooter2"/>
    </w:pPr>
    <w:r w:rsidRPr="00E66B6C">
      <w:tab/>
    </w:r>
    <w:r w:rsidRPr="00E66B6C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B6C" w:rsidRPr="00E66B6C" w:rsidRDefault="00E66B6C" w:rsidP="00E66B6C">
    <w:pPr>
      <w:pStyle w:val="EPFooter"/>
    </w:pPr>
    <w:r w:rsidRPr="00E66B6C">
      <w:rPr>
        <w:rStyle w:val="HideTWBExt"/>
      </w:rPr>
      <w:t>&lt;PathFdR&gt;</w:t>
    </w:r>
    <w:r w:rsidRPr="00E66B6C">
      <w:t>PR\1296236MT.docx</w:t>
    </w:r>
    <w:r w:rsidRPr="00E66B6C">
      <w:rPr>
        <w:rStyle w:val="HideTWBExt"/>
      </w:rPr>
      <w:t>&lt;/PathFdR&gt;</w:t>
    </w:r>
    <w:r w:rsidRPr="00E66B6C">
      <w:tab/>
    </w:r>
    <w:r w:rsidRPr="00E66B6C">
      <w:tab/>
      <w:t>PE</w:t>
    </w:r>
    <w:r w:rsidRPr="00E66B6C">
      <w:rPr>
        <w:rStyle w:val="HideTWBExt"/>
      </w:rPr>
      <w:t>&lt;NoPE&gt;</w:t>
    </w:r>
    <w:r w:rsidRPr="00E66B6C">
      <w:t>758.915</w:t>
    </w:r>
    <w:r w:rsidRPr="00E66B6C">
      <w:rPr>
        <w:rStyle w:val="HideTWBExt"/>
      </w:rPr>
      <w:t>&lt;/NoPE&gt;&lt;Version&gt;</w:t>
    </w:r>
    <w:r w:rsidRPr="00E66B6C">
      <w:t>v01-00</w:t>
    </w:r>
    <w:r w:rsidRPr="00E66B6C">
      <w:rPr>
        <w:rStyle w:val="HideTWBExt"/>
      </w:rPr>
      <w:t>&lt;/Version&gt;</w:t>
    </w:r>
  </w:p>
  <w:p w:rsidR="009E6E25" w:rsidRPr="00E66B6C" w:rsidRDefault="00E66B6C" w:rsidP="00E66B6C">
    <w:pPr>
      <w:pStyle w:val="EPFooter2"/>
    </w:pPr>
    <w:r w:rsidRPr="00E66B6C">
      <w:t>MT</w:t>
    </w:r>
    <w:r w:rsidRPr="00E66B6C">
      <w:tab/>
    </w:r>
    <w:r w:rsidRPr="00E66B6C">
      <w:rPr>
        <w:b w:val="0"/>
        <w:i/>
        <w:color w:val="C0C0C0"/>
        <w:sz w:val="22"/>
      </w:rPr>
      <w:t>Magħquda fid-diversità</w:t>
    </w:r>
    <w:r w:rsidRPr="00E66B6C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EF0" w:rsidRPr="00E66B6C" w:rsidRDefault="00B81EF0" w:rsidP="00B81EF0">
    <w:pPr>
      <w:pStyle w:val="EPFooter"/>
    </w:pPr>
    <w:r w:rsidRPr="00E66B6C">
      <w:rPr>
        <w:rStyle w:val="HideTWBExt"/>
      </w:rPr>
      <w:t>&lt;PathFdR&gt;</w:t>
    </w:r>
    <w:r w:rsidRPr="00E66B6C">
      <w:t>PR\1296236MT.docx</w:t>
    </w:r>
    <w:r w:rsidRPr="00E66B6C">
      <w:rPr>
        <w:rStyle w:val="HideTWBExt"/>
      </w:rPr>
      <w:t>&lt;/PathFdR&gt;</w:t>
    </w:r>
    <w:r w:rsidRPr="00E66B6C">
      <w:tab/>
    </w:r>
    <w:r w:rsidRPr="00E66B6C">
      <w:tab/>
      <w:t>PE</w:t>
    </w:r>
    <w:r w:rsidRPr="00E66B6C">
      <w:rPr>
        <w:rStyle w:val="HideTWBExt"/>
      </w:rPr>
      <w:t>&lt;NoPE&gt;</w:t>
    </w:r>
    <w:r w:rsidRPr="00E66B6C">
      <w:t>758.915</w:t>
    </w:r>
    <w:r w:rsidRPr="00E66B6C">
      <w:rPr>
        <w:rStyle w:val="HideTWBExt"/>
      </w:rPr>
      <w:t>&lt;/NoPE&gt;&lt;Version&gt;</w:t>
    </w:r>
    <w:r w:rsidRPr="00E66B6C">
      <w:t>v01-00</w:t>
    </w:r>
    <w:r w:rsidRPr="00E66B6C">
      <w:rPr>
        <w:rStyle w:val="HideTWBExt"/>
      </w:rPr>
      <w:t>&lt;/Version&gt;</w:t>
    </w:r>
  </w:p>
  <w:p w:rsidR="0085501C" w:rsidRPr="00E66B6C" w:rsidRDefault="00B81EF0" w:rsidP="00B81EF0">
    <w:pPr>
      <w:pStyle w:val="EPFooter2"/>
    </w:pPr>
    <w:r w:rsidRPr="00E66B6C">
      <w:t>MT</w:t>
    </w:r>
    <w:r w:rsidRPr="00E66B6C">
      <w:tab/>
    </w:r>
    <w:r w:rsidRPr="00E66B6C">
      <w:rPr>
        <w:b w:val="0"/>
        <w:i/>
        <w:color w:val="C0C0C0"/>
        <w:sz w:val="22"/>
      </w:rPr>
      <w:t>Magħquda fid-diversità</w:t>
    </w:r>
    <w:r w:rsidRPr="00E66B6C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6D2" w:rsidRPr="00E66B6C" w:rsidRDefault="00DE56D2">
      <w:r w:rsidRPr="00E66B6C">
        <w:separator/>
      </w:r>
    </w:p>
  </w:footnote>
  <w:footnote w:type="continuationSeparator" w:id="0">
    <w:p w:rsidR="00DE56D2" w:rsidRPr="00E66B6C" w:rsidRDefault="00DE56D2">
      <w:r w:rsidRPr="00E66B6C">
        <w:continuationSeparator/>
      </w:r>
    </w:p>
  </w:footnote>
  <w:footnote w:id="1">
    <w:p w:rsidR="009E6E25" w:rsidRPr="00E66B6C" w:rsidRDefault="009E6E25" w:rsidP="009E6E25">
      <w:pPr>
        <w:pStyle w:val="FootnoteText"/>
      </w:pPr>
      <w:r w:rsidRPr="00E66B6C">
        <w:rPr>
          <w:rStyle w:val="FootnoteReference"/>
        </w:rPr>
        <w:footnoteRef/>
      </w:r>
      <w:r w:rsidRPr="00E66B6C">
        <w:t xml:space="preserve"> ĠU L, 2024/200, 04.1.2024, ELI: </w:t>
      </w:r>
      <w:hyperlink r:id="rId1" w:history="1">
        <w:r w:rsidRPr="00E66B6C">
          <w:rPr>
            <w:rStyle w:val="Hyperlink"/>
          </w:rPr>
          <w:t>https://eur-lex.europa.eu/eli/agree_internation/2024/200/oj?locale=mt#</w:t>
        </w:r>
      </w:hyperlink>
    </w:p>
  </w:footnote>
  <w:footnote w:id="2">
    <w:p w:rsidR="009E6E25" w:rsidRPr="00E66B6C" w:rsidRDefault="009E6E25" w:rsidP="009E6E25">
      <w:pPr>
        <w:pStyle w:val="FootnoteText"/>
        <w:jc w:val="both"/>
      </w:pPr>
      <w:r w:rsidRPr="00E66B6C">
        <w:rPr>
          <w:rStyle w:val="FootnoteReference"/>
          <w:b w:val="0"/>
        </w:rPr>
        <w:footnoteRef/>
      </w:r>
      <w:r w:rsidRPr="00E66B6C">
        <w:rPr>
          <w:b/>
        </w:rPr>
        <w:t xml:space="preserve"> </w:t>
      </w:r>
      <w:r w:rsidRPr="00E66B6C">
        <w:tab/>
        <w:t>Id-Deċiżjoni tal-Kunsill (UE) 2022/442 tal-21 ta’ Frar 2022 li tawtorizza l-ftuħ ta’ negozjati mal-Iżlanda, ir-Renju tan-Norveġja, il-Konfederazzjoni Żvizzera u l-Prinċipat tal-Liechtenstein bil-ħsieb li jiġu konklużi ftehimiet bejn l-Unjoni Ewropea u dawk il-pajjiżi dwar regoli supplementari fir-rigward tal-Istrument għall-Appoġġ Finanzjarju għall-Ġestjoni tal-Fruntieri u l-Politika dwar il-Viżi, bħala parti mill-Fond għall-Ġestjoni Integrata tal-Fruntieri (ĠU L 90, 18.3.2022, p. 116).</w:t>
      </w:r>
    </w:p>
  </w:footnote>
  <w:footnote w:id="3">
    <w:p w:rsidR="009E6E25" w:rsidRPr="00E66B6C" w:rsidRDefault="009E6E25" w:rsidP="009E6E25">
      <w:pPr>
        <w:pStyle w:val="FootnoteText"/>
        <w:jc w:val="both"/>
      </w:pPr>
      <w:r w:rsidRPr="00E66B6C">
        <w:rPr>
          <w:rStyle w:val="FootnoteReference"/>
          <w:b w:val="0"/>
        </w:rPr>
        <w:footnoteRef/>
      </w:r>
      <w:r w:rsidRPr="00E66B6C">
        <w:rPr>
          <w:b/>
        </w:rPr>
        <w:t xml:space="preserve"> </w:t>
      </w:r>
      <w:r w:rsidRPr="00E66B6C">
        <w:tab/>
        <w:t>Ir-Regolament (UE) 2021/1148 tal-Parlament Ewropew u tal-Kunsill tas-7 ta’ Lulju 2021 li jistabbilixxi, bħala parti mill-Fond għall-Ġestjoni Integrata tal-Fruntieri, l-Istrument għall-Appoġġ Finanzjarju għall-Ġestjoni tal-Fruntieri u l-Politika dwar il-Viżi (ĠU L 251, 15.7.2021, p. 48).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FB6" w:rsidRDefault="00853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FB6" w:rsidRDefault="00853F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FB6" w:rsidRDefault="00853F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strDocTypeID" w:val="PR_NLE-AP_Agreement"/>
    <w:docVar w:name="strSubDir" w:val="1296"/>
    <w:docVar w:name="TXTAUTHOR" w:val="Paulo Rangel"/>
    <w:docVar w:name="TXTLANGUE" w:val="MT"/>
    <w:docVar w:name="TXTLANGUEMIN" w:val="mt"/>
    <w:docVar w:name="TXTNRNLE" w:val="2023/0334"/>
    <w:docVar w:name="TXTNRPE" w:val="758.915"/>
    <w:docVar w:name="TXTPEorAP" w:val="PE"/>
    <w:docVar w:name="TXTROUTE" w:val="PR\1296236MT.docx"/>
    <w:docVar w:name="TXTVERSION" w:val="01-00"/>
  </w:docVars>
  <w:rsids>
    <w:rsidRoot w:val="00DE56D2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3367A"/>
    <w:rsid w:val="00544D48"/>
    <w:rsid w:val="00561295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791637"/>
    <w:rsid w:val="0080122F"/>
    <w:rsid w:val="00822206"/>
    <w:rsid w:val="008368CB"/>
    <w:rsid w:val="00853FB6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9E6E25"/>
    <w:rsid w:val="00A415B7"/>
    <w:rsid w:val="00AD5D0C"/>
    <w:rsid w:val="00B31D18"/>
    <w:rsid w:val="00B42885"/>
    <w:rsid w:val="00B50C20"/>
    <w:rsid w:val="00B6769C"/>
    <w:rsid w:val="00B81EF0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E56D2"/>
    <w:rsid w:val="00DF594D"/>
    <w:rsid w:val="00E14FEE"/>
    <w:rsid w:val="00E66B6C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3336E-D995-4645-8B1B-5519EC40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9E6E2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E6E2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E6E25"/>
    <w:rPr>
      <w:sz w:val="18"/>
    </w:rPr>
  </w:style>
  <w:style w:type="paragraph" w:styleId="FootnoteText">
    <w:name w:val="footnote text"/>
    <w:basedOn w:val="Normal"/>
    <w:link w:val="FootnoteTextChar"/>
    <w:uiPriority w:val="99"/>
    <w:unhideWhenUsed/>
    <w:rsid w:val="009E6E25"/>
    <w:pPr>
      <w:widowControl/>
      <w:ind w:left="720" w:hanging="720"/>
    </w:pPr>
    <w:rPr>
      <w:rFonts w:eastAsiaTheme="minorHAns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6E25"/>
    <w:rPr>
      <w:rFonts w:eastAsiaTheme="minorHAnsi"/>
      <w:sz w:val="24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9E6E25"/>
    <w:rPr>
      <w:b/>
      <w:bdr w:val="none" w:sz="0" w:space="0" w:color="auto"/>
      <w:shd w:val="clear" w:color="auto" w:fill="auto"/>
      <w:vertAlign w:val="superscript"/>
    </w:rPr>
  </w:style>
  <w:style w:type="character" w:styleId="Hyperlink">
    <w:name w:val="Hyperlink"/>
    <w:basedOn w:val="DefaultParagraphFont"/>
    <w:uiPriority w:val="99"/>
    <w:unhideWhenUsed/>
    <w:rsid w:val="009E6E25"/>
    <w:rPr>
      <w:color w:val="0563C1"/>
      <w:u w:val="single"/>
    </w:rPr>
  </w:style>
  <w:style w:type="paragraph" w:styleId="Footer">
    <w:name w:val="footer"/>
    <w:basedOn w:val="Normal"/>
    <w:link w:val="FooterChar"/>
    <w:semiHidden/>
    <w:rsid w:val="00853F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53F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24/200/oj?locale=mt%2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SCIRT~1\AppData\Local\Temp\PR_NLE-AP_Agre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406BE-3949-4231-B360-5A36EE0CF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PR_NLE-AP_Agreement.dotx</Template>
  <TotalTime>0</TotalTime>
  <Pages>8</Pages>
  <Words>1164</Words>
  <Characters>9557</Characters>
  <Application>Microsoft Office Word</Application>
  <DocSecurity>0</DocSecurity>
  <Lines>191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SCIRTO GAUCI Lindsay</dc:creator>
  <cp:keywords/>
  <cp:lastModifiedBy>SCIRTO GAUCI Lindsay</cp:lastModifiedBy>
  <cp:revision>2</cp:revision>
  <cp:lastPrinted>2002-12-11T09:25:00Z</cp:lastPrinted>
  <dcterms:created xsi:type="dcterms:W3CDTF">2024-02-16T12:17:00Z</dcterms:created>
  <dcterms:modified xsi:type="dcterms:W3CDTF">2024-02-16T12:17:00Z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9.17.1 Build [20240110]</vt:lpwstr>
  </property>
  <property fmtid="{D5CDD505-2E9C-101B-9397-08002B2CF9AE}" pid="4" name="LastEdited with">
    <vt:lpwstr>9.17.1 Build [20240110]</vt:lpwstr>
  </property>
  <property fmtid="{D5CDD505-2E9C-101B-9397-08002B2CF9AE}" pid="5" name="&lt;FdR&gt;">
    <vt:lpwstr>1296236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\\eiciLUXpr1\pdocep$\DocEP\DOCS\General\PR\PR_Leg\NLE\PR_NLE-AP_Agreement.dotx(17/04/2020 18:28:04)</vt:lpwstr>
  </property>
  <property fmtid="{D5CDD505-2E9C-101B-9397-08002B2CF9AE}" pid="8" name="&lt;ModelTra&gt;">
    <vt:lpwstr>\\eiciLUXpr1\pdocep$\DocEP\TRANSFIL\MT\PR_NLE-AP_Agreement.MT(25/05/2023 15:04:13)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PR\1296236MT.docx</vt:lpwstr>
  </property>
  <property fmtid="{D5CDD505-2E9C-101B-9397-08002B2CF9AE}" pid="11" name="PE number">
    <vt:lpwstr>758.915</vt:lpwstr>
  </property>
  <property fmtid="{D5CDD505-2E9C-101B-9397-08002B2CF9AE}" pid="12" name="SDLStudio">
    <vt:lpwstr/>
  </property>
  <property fmtid="{D5CDD505-2E9C-101B-9397-08002B2CF9AE}" pid="13" name="Bookout">
    <vt:lpwstr>OK - 2024/02/16 13:17</vt:lpwstr>
  </property>
</Properties>
</file>