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10E5" w:rsidTr="00C85D0F">
        <w:trPr>
          <w:trHeight w:hRule="exact" w:val="1418"/>
        </w:trPr>
        <w:tc>
          <w:tcPr>
            <w:tcW w:w="6804" w:type="dxa"/>
            <w:shd w:val="clear" w:color="auto" w:fill="auto"/>
            <w:vAlign w:val="center"/>
          </w:tcPr>
          <w:p w:rsidR="005B15A7" w:rsidRPr="00101420" w:rsidRDefault="00EA7ECF" w:rsidP="00C85D0F">
            <w:pPr>
              <w:pStyle w:val="EPName"/>
            </w:pPr>
            <w:r>
              <w:t>Europäisches Parlament</w:t>
            </w:r>
          </w:p>
          <w:p w:rsidR="005B15A7" w:rsidRPr="00C606D3" w:rsidRDefault="00EA7ECF" w:rsidP="00C606D3">
            <w:pPr>
              <w:pStyle w:val="EPTerm"/>
            </w:pPr>
            <w:r>
              <w:t>2019-2024</w:t>
            </w:r>
          </w:p>
        </w:tc>
        <w:tc>
          <w:tcPr>
            <w:tcW w:w="2268" w:type="dxa"/>
            <w:shd w:val="clear" w:color="auto" w:fill="auto"/>
          </w:tcPr>
          <w:p w:rsidR="005B15A7" w:rsidRPr="00101420" w:rsidRDefault="00EA7ECF" w:rsidP="00C85D0F">
            <w:pPr>
              <w:pStyle w:val="EPLogo"/>
            </w:pPr>
            <w:r w:rsidRPr="001014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101420" w:rsidRDefault="00187D09" w:rsidP="00187D09">
      <w:pPr>
        <w:pStyle w:val="LineTop"/>
      </w:pPr>
    </w:p>
    <w:p w:rsidR="00187D09" w:rsidRPr="00101420" w:rsidRDefault="00EA7ECF" w:rsidP="00187D09">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187D09" w:rsidRPr="00101420" w:rsidRDefault="00187D09" w:rsidP="00187D09">
      <w:pPr>
        <w:pStyle w:val="LineBottom"/>
      </w:pPr>
    </w:p>
    <w:p w:rsidR="00B85286" w:rsidRPr="00101420" w:rsidRDefault="00EA7ECF">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B85286" w:rsidRPr="00101420" w:rsidRDefault="00EA7ECF">
      <w:pPr>
        <w:pStyle w:val="CoverDate"/>
      </w:pPr>
      <w:r>
        <w:rPr>
          <w:rStyle w:val="HideTWBExt"/>
        </w:rPr>
        <w:t>&lt;Date&gt;</w:t>
      </w:r>
      <w:r>
        <w:rPr>
          <w:rStyle w:val="HideTWBInt"/>
          <w:color w:val="auto"/>
        </w:rPr>
        <w:t>{04/03/2024}</w:t>
      </w:r>
      <w:r>
        <w:t>4.3.2024</w:t>
      </w:r>
      <w:r>
        <w:rPr>
          <w:rStyle w:val="HideTWBExt"/>
        </w:rPr>
        <w:t>&lt;/Date&gt;</w:t>
      </w:r>
    </w:p>
    <w:p w:rsidR="00B85286" w:rsidRPr="00101420" w:rsidRDefault="00EA7ECF">
      <w:pPr>
        <w:pStyle w:val="CoverDocType"/>
      </w:pPr>
      <w:r>
        <w:rPr>
          <w:rStyle w:val="HideTWBExt"/>
          <w:b w:val="0"/>
        </w:rPr>
        <w:t>&lt;RefProcLect&gt;</w:t>
      </w:r>
      <w:r>
        <w:t>*</w:t>
      </w:r>
      <w:r>
        <w:rPr>
          <w:rStyle w:val="HideTWBExt"/>
          <w:b w:val="0"/>
        </w:rPr>
        <w:t>&lt;/RefProcLect&gt;</w:t>
      </w:r>
    </w:p>
    <w:p w:rsidR="00B85286" w:rsidRPr="00101420" w:rsidRDefault="00EA7ECF">
      <w:pPr>
        <w:pStyle w:val="CoverDocType24a"/>
      </w:pPr>
      <w:r>
        <w:rPr>
          <w:rStyle w:val="HideTWBExt"/>
          <w:b w:val="0"/>
        </w:rPr>
        <w:t>&lt;TitreType&gt;</w:t>
      </w:r>
      <w:r>
        <w:t>ENTWURF EINES BERICHTS</w:t>
      </w:r>
      <w:r>
        <w:rPr>
          <w:rStyle w:val="HideTWBExt"/>
          <w:b w:val="0"/>
        </w:rPr>
        <w:t>&lt;/TitreType&gt;</w:t>
      </w:r>
    </w:p>
    <w:p w:rsidR="00B85286" w:rsidRPr="00101420" w:rsidRDefault="00EA7ECF">
      <w:pPr>
        <w:pStyle w:val="CoverNormal"/>
      </w:pPr>
      <w:r>
        <w:rPr>
          <w:rStyle w:val="HideTWBExt"/>
        </w:rPr>
        <w:t>&lt;Titre&gt;</w:t>
      </w:r>
      <w:r>
        <w:t>über den Vorschlag für eine Richtlinie des Rates zur Änderung der Richtlinie (EU) 2015/637 über Koordinierungs- und Kooperationsmaßnahmen zur Erleichterung des konsularischen Schutzes von nicht vertreten</w:t>
      </w:r>
      <w:r>
        <w:t>en Unionsbürgern in Drittländern und der Richtlinie (EU) 2019/997 zur Festlegung eines EU-Rückkehrausweises</w:t>
      </w:r>
      <w:r>
        <w:rPr>
          <w:rStyle w:val="HideTWBExt"/>
        </w:rPr>
        <w:t>&lt;/Titre&gt;</w:t>
      </w:r>
    </w:p>
    <w:p w:rsidR="00B85286" w:rsidRPr="00101420" w:rsidRDefault="00EA7ECF">
      <w:pPr>
        <w:pStyle w:val="CoverNormal24a"/>
      </w:pPr>
      <w:r>
        <w:rPr>
          <w:rStyle w:val="HideTWBExt"/>
        </w:rPr>
        <w:t>&lt;DocRef&gt;</w:t>
      </w:r>
      <w:r>
        <w:t>(COM(2023)0930 – C9</w:t>
      </w:r>
      <w:r>
        <w:noBreakHyphen/>
        <w:t>0015/2024 – 2023/0441(CNS))</w:t>
      </w:r>
      <w:r>
        <w:rPr>
          <w:rStyle w:val="HideTWBExt"/>
        </w:rPr>
        <w:t>&lt;/DocRef&gt;</w:t>
      </w:r>
    </w:p>
    <w:p w:rsidR="00B85286" w:rsidRPr="00101420" w:rsidRDefault="00EA7ECF">
      <w:pPr>
        <w:pStyle w:val="CoverNormal24a"/>
      </w:pPr>
      <w:r>
        <w:rPr>
          <w:rStyle w:val="HideTWBExt"/>
        </w:rPr>
        <w:t>&lt;Commission&gt;</w:t>
      </w:r>
      <w:r>
        <w:rPr>
          <w:rStyle w:val="HideTWBInt"/>
          <w:color w:val="auto"/>
        </w:rPr>
        <w:t>{LIBE}</w:t>
      </w:r>
      <w:r>
        <w:t>Ausschuss für bürgerliche Freiheiten, Justiz und Inneres</w:t>
      </w:r>
      <w:r>
        <w:rPr>
          <w:rStyle w:val="HideTWBExt"/>
        </w:rPr>
        <w:t>&lt;</w:t>
      </w:r>
      <w:r>
        <w:rPr>
          <w:rStyle w:val="HideTWBExt"/>
        </w:rPr>
        <w:t>/Commission&gt;</w:t>
      </w:r>
    </w:p>
    <w:p w:rsidR="00B85286" w:rsidRPr="00101420" w:rsidRDefault="00EA7ECF">
      <w:pPr>
        <w:pStyle w:val="CoverNormal24a"/>
      </w:pPr>
      <w:r>
        <w:t xml:space="preserve">Berichterstatter: </w:t>
      </w:r>
      <w:r>
        <w:rPr>
          <w:rStyle w:val="HideTWBExt"/>
        </w:rPr>
        <w:t>&lt;Depute&gt;</w:t>
      </w:r>
      <w:r>
        <w:t>Loránt Vincze</w:t>
      </w:r>
      <w:r>
        <w:rPr>
          <w:rStyle w:val="HideTWBExt"/>
        </w:rPr>
        <w:t>&lt;/Depute&gt;</w:t>
      </w:r>
    </w:p>
    <w:p w:rsidR="005A17F6" w:rsidRPr="00101420" w:rsidRDefault="005A17F6" w:rsidP="005A17F6">
      <w:pPr>
        <w:pStyle w:val="CoverNormal"/>
      </w:pPr>
    </w:p>
    <w:p w:rsidR="00C606D3" w:rsidRDefault="00EA7ECF" w:rsidP="00894923">
      <w:r>
        <w:br w:type="page"/>
      </w:r>
      <w:r>
        <w:lastRenderedPageBreak/>
        <w:fldChar w:fldCharType="begin"/>
      </w:r>
      <w:r>
        <w:instrText xml:space="preserve"> TITLE  \* MERGEFORMAT </w:instrText>
      </w:r>
      <w:r>
        <w:fldChar w:fldCharType="separate"/>
      </w:r>
      <w:r w:rsidRPr="00EA7ECF">
        <w:rPr>
          <w:lang w:val="fr-FR"/>
        </w:rPr>
        <w:t>PR_CNS_LegAct_am</w:t>
      </w:r>
      <w:r>
        <w:rPr>
          <w:lang w:val="fr-FR"/>
        </w:rPr>
        <w:fldChar w:fldCharType="end"/>
      </w:r>
    </w:p>
    <w:p w:rsidR="00C606D3" w:rsidRDefault="00C606D3" w:rsidP="00894923">
      <w:pPr>
        <w:rPr>
          <w:lang w:val="fr-FR"/>
        </w:rPr>
      </w:pPr>
    </w:p>
    <w:p w:rsidR="00C606D3" w:rsidRDefault="00C606D3"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B10E5">
        <w:tc>
          <w:tcPr>
            <w:tcW w:w="5811" w:type="dxa"/>
          </w:tcPr>
          <w:p w:rsidR="00C606D3" w:rsidRDefault="00EA7ECF" w:rsidP="00894923">
            <w:pPr>
              <w:pStyle w:val="Lgendetitre"/>
            </w:pPr>
            <w:r>
              <w:t>Erklärung der benutzten Zeichen</w:t>
            </w:r>
          </w:p>
        </w:tc>
      </w:tr>
      <w:tr w:rsidR="00DB10E5" w:rsidTr="00C50C36">
        <w:trPr>
          <w:cantSplit/>
          <w:trHeight w:val="1944"/>
        </w:trPr>
        <w:tc>
          <w:tcPr>
            <w:tcW w:w="5811" w:type="dxa"/>
            <w:tcBorders>
              <w:bottom w:val="single" w:sz="4" w:space="0" w:color="auto"/>
            </w:tcBorders>
          </w:tcPr>
          <w:p w:rsidR="00C606D3" w:rsidRPr="00F54D75" w:rsidRDefault="00EA7ECF" w:rsidP="00A225F3">
            <w:pPr>
              <w:pStyle w:val="Lgendesigne"/>
              <w:rPr>
                <w:szCs w:val="24"/>
              </w:rPr>
            </w:pPr>
            <w:r>
              <w:tab/>
              <w:t>*</w:t>
            </w:r>
            <w:r>
              <w:tab/>
              <w:t>Anhörungsverfahren</w:t>
            </w:r>
          </w:p>
          <w:p w:rsidR="00C606D3" w:rsidRPr="00F54D75" w:rsidRDefault="00EA7ECF" w:rsidP="00A225F3">
            <w:pPr>
              <w:pStyle w:val="Lgendesigne"/>
              <w:rPr>
                <w:szCs w:val="24"/>
              </w:rPr>
            </w:pPr>
            <w:r>
              <w:tab/>
              <w:t>***</w:t>
            </w:r>
            <w:r>
              <w:tab/>
              <w:t>Zustimmungsverfahren</w:t>
            </w:r>
          </w:p>
          <w:p w:rsidR="00C606D3" w:rsidRPr="00F54D75" w:rsidRDefault="00EA7ECF" w:rsidP="00A225F3">
            <w:pPr>
              <w:pStyle w:val="Lgendesigne"/>
              <w:rPr>
                <w:szCs w:val="24"/>
              </w:rPr>
            </w:pPr>
            <w:r>
              <w:tab/>
              <w:t>***I</w:t>
            </w:r>
            <w:r>
              <w:tab/>
              <w:t>Ordentliches Gesetzgebungsverfahren (erste Lesung)</w:t>
            </w:r>
          </w:p>
          <w:p w:rsidR="00C606D3" w:rsidRPr="00F54D75" w:rsidRDefault="00EA7ECF" w:rsidP="00A225F3">
            <w:pPr>
              <w:pStyle w:val="Lgendesigne"/>
              <w:rPr>
                <w:szCs w:val="24"/>
              </w:rPr>
            </w:pPr>
            <w:r>
              <w:tab/>
              <w:t>***II</w:t>
            </w:r>
            <w:r>
              <w:tab/>
            </w:r>
            <w:r>
              <w:t>Ordentliches Gesetzgebungsverfahren (zweite Lesung)</w:t>
            </w:r>
          </w:p>
          <w:p w:rsidR="00C606D3" w:rsidRPr="00F54D75" w:rsidRDefault="00EA7ECF" w:rsidP="00A225F3">
            <w:pPr>
              <w:pStyle w:val="Lgendesigne"/>
              <w:rPr>
                <w:szCs w:val="24"/>
              </w:rPr>
            </w:pPr>
            <w:r>
              <w:tab/>
              <w:t>***III</w:t>
            </w:r>
            <w:r>
              <w:tab/>
              <w:t>Ordentliches Gesetzgebungsverfahren (dritte Lesung)</w:t>
            </w:r>
          </w:p>
          <w:p w:rsidR="00C606D3" w:rsidRPr="00F54D75" w:rsidRDefault="00C606D3" w:rsidP="00A225F3">
            <w:pPr>
              <w:pStyle w:val="Lgendestandard"/>
            </w:pPr>
          </w:p>
          <w:p w:rsidR="00C606D3" w:rsidRDefault="00EA7ECF" w:rsidP="00A225F3">
            <w:pPr>
              <w:pStyle w:val="Lgendestandard"/>
            </w:pPr>
            <w:r>
              <w:t>(Die Angabe des Verfahrens beruht auf der im Entwurf eines Rechtsakts vorgeschlagenen Rechtsgrundlage.)</w:t>
            </w:r>
          </w:p>
          <w:p w:rsidR="00C606D3" w:rsidRDefault="00C606D3" w:rsidP="00E36DAF">
            <w:pPr>
              <w:pStyle w:val="Lgendestandard"/>
              <w:rPr>
                <w:lang w:val="fr-FR"/>
              </w:rPr>
            </w:pPr>
          </w:p>
        </w:tc>
      </w:tr>
    </w:tbl>
    <w:p w:rsidR="00C606D3" w:rsidRDefault="00C606D3" w:rsidP="00894923">
      <w:pPr>
        <w:rPr>
          <w:lang w:val="fr-FR"/>
        </w:rPr>
      </w:pPr>
    </w:p>
    <w:p w:rsidR="00C606D3" w:rsidRDefault="00C606D3" w:rsidP="00894923">
      <w:pPr>
        <w:rPr>
          <w:lang w:val="fr-FR"/>
        </w:rPr>
      </w:pPr>
    </w:p>
    <w:p w:rsidR="00C606D3" w:rsidRDefault="00C606D3" w:rsidP="00894923">
      <w:pPr>
        <w:rPr>
          <w:lang w:val="fr-FR"/>
        </w:rPr>
      </w:pPr>
    </w:p>
    <w:p w:rsidR="00C606D3" w:rsidRDefault="00C606D3"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B10E5">
        <w:tc>
          <w:tcPr>
            <w:tcW w:w="5811" w:type="dxa"/>
          </w:tcPr>
          <w:p w:rsidR="00C606D3" w:rsidRPr="00817843" w:rsidRDefault="00EA7ECF" w:rsidP="00894923">
            <w:pPr>
              <w:pStyle w:val="Lgendetitre"/>
            </w:pPr>
            <w:r>
              <w:t>Änderungsanträge zu einem Entwurf</w:t>
            </w:r>
            <w:r>
              <w:t xml:space="preserve"> eines Rechtsakts</w:t>
            </w:r>
          </w:p>
        </w:tc>
      </w:tr>
      <w:tr w:rsidR="00DB10E5" w:rsidTr="00225D8A">
        <w:trPr>
          <w:trHeight w:val="5490"/>
        </w:trPr>
        <w:tc>
          <w:tcPr>
            <w:tcW w:w="5811" w:type="dxa"/>
          </w:tcPr>
          <w:p w:rsidR="00C606D3" w:rsidRPr="00F54D75" w:rsidRDefault="00EA7ECF" w:rsidP="00A225F3">
            <w:pPr>
              <w:pStyle w:val="Lgendestandard"/>
              <w:rPr>
                <w:szCs w:val="24"/>
              </w:rPr>
            </w:pPr>
            <w:r>
              <w:rPr>
                <w:b/>
              </w:rPr>
              <w:t>Änderungsanträge des Parlaments in Spaltenform</w:t>
            </w:r>
          </w:p>
          <w:p w:rsidR="00C606D3" w:rsidRPr="00F54D75" w:rsidRDefault="00C606D3" w:rsidP="00A225F3">
            <w:pPr>
              <w:pStyle w:val="Lgendestandard"/>
              <w:rPr>
                <w:szCs w:val="24"/>
              </w:rPr>
            </w:pPr>
          </w:p>
          <w:p w:rsidR="00C606D3" w:rsidRPr="00F54D75" w:rsidRDefault="00EA7ECF"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w:t>
            </w:r>
            <w:r>
              <w:t xml:space="preserve">Neuer Text wird durch </w:t>
            </w:r>
            <w:r>
              <w:rPr>
                <w:b/>
                <w:i/>
              </w:rPr>
              <w:t>Fett- und Kursivdruck</w:t>
            </w:r>
            <w:r>
              <w:t xml:space="preserve"> in der rechten Spalte gekennzeichnet.</w:t>
            </w:r>
          </w:p>
          <w:p w:rsidR="00C606D3" w:rsidRPr="00F54D75" w:rsidRDefault="00C606D3" w:rsidP="00A225F3">
            <w:pPr>
              <w:pStyle w:val="Lgendestandard"/>
              <w:rPr>
                <w:szCs w:val="24"/>
              </w:rPr>
            </w:pPr>
          </w:p>
          <w:p w:rsidR="00C606D3" w:rsidRPr="00F54D75" w:rsidRDefault="00EA7ECF" w:rsidP="00A225F3">
            <w:pPr>
              <w:pStyle w:val="Lgendestandard"/>
              <w:rPr>
                <w:szCs w:val="24"/>
              </w:rPr>
            </w:pPr>
            <w:r>
              <w:t>Aus der ersten und der zweiten Zeile des Kopftextes zu jedem der Änderungsanträge ist der betroffene Abschnitt des zu prüfenden Entwurfs eines Rechtsakts ersichtlich. Wenn s</w:t>
            </w:r>
            <w:r>
              <w:t xml:space="preserve">ich ein Änderungsantrag auf einen bestehenden Rechtsakt bezieht, der durch den Entwurf eines Rechtsakts geändert werden soll, umfasst der Kopftext auch eine dritte und eine vierte Zeile, in der der bestehende Rechtsakt bzw. die von der Änderung betroffene </w:t>
            </w:r>
            <w:r>
              <w:t>Bestimmung des bestehenden Rechtsakts angegeben werden.</w:t>
            </w:r>
          </w:p>
          <w:p w:rsidR="00C606D3" w:rsidRPr="00F54D75" w:rsidRDefault="00C606D3" w:rsidP="00A225F3">
            <w:pPr>
              <w:pStyle w:val="Lgendestandard"/>
              <w:rPr>
                <w:szCs w:val="24"/>
              </w:rPr>
            </w:pPr>
          </w:p>
          <w:p w:rsidR="00C606D3" w:rsidRPr="00F54D75" w:rsidRDefault="00EA7ECF" w:rsidP="00A225F3">
            <w:pPr>
              <w:pStyle w:val="Lgendestandard"/>
              <w:rPr>
                <w:b/>
                <w:szCs w:val="24"/>
              </w:rPr>
            </w:pPr>
            <w:r>
              <w:rPr>
                <w:b/>
              </w:rPr>
              <w:t>Änderungsanträge des Parlaments in Form eines konsolidierten Textes</w:t>
            </w:r>
          </w:p>
          <w:p w:rsidR="00C606D3" w:rsidRPr="00F54D75" w:rsidRDefault="00C606D3" w:rsidP="00A225F3">
            <w:pPr>
              <w:pStyle w:val="Lgendestandard"/>
              <w:rPr>
                <w:szCs w:val="24"/>
              </w:rPr>
            </w:pPr>
          </w:p>
          <w:p w:rsidR="00C606D3" w:rsidRPr="00F54D75" w:rsidRDefault="00EA7ECF" w:rsidP="00A225F3">
            <w:pPr>
              <w:pStyle w:val="Lgendestandard"/>
              <w:rPr>
                <w:szCs w:val="24"/>
              </w:rPr>
            </w:pPr>
            <w:r>
              <w:t xml:space="preserve">Neue Textteile sind durch </w:t>
            </w:r>
            <w:r>
              <w:rPr>
                <w:b/>
                <w:i/>
              </w:rPr>
              <w:t>Fett- und Kursivdruck</w:t>
            </w:r>
            <w:r>
              <w:t xml:space="preserve"> gekennzeichnet. Auf Textteile, die entfallen, wird mit dem Symbol ▌hingewiesen ode</w:t>
            </w:r>
            <w:r>
              <w:t xml:space="preserve">r diese Textteile erscheinen durchgestrichen. Textänderungen werden gekennzeichnet, indem der neue Text in </w:t>
            </w:r>
            <w:r>
              <w:rPr>
                <w:b/>
                <w:i/>
              </w:rPr>
              <w:t>Fett- und Kursivdruck</w:t>
            </w:r>
            <w:r>
              <w:t xml:space="preserve"> steht und der bisherige Text gelöscht oder durchgestrichen wird.</w:t>
            </w:r>
          </w:p>
          <w:p w:rsidR="00C606D3" w:rsidRDefault="00EA7ECF" w:rsidP="00A225F3">
            <w:pPr>
              <w:pStyle w:val="Lgendestandard"/>
            </w:pPr>
            <w:r>
              <w:t>Rein technische Änderungen, die von den Dienststellen im Hinbl</w:t>
            </w:r>
            <w:r>
              <w:t>ick auf die Erstellung des endgültigen Textes vorgenommen werden, werden allerdings nicht gekennzeichnet.</w:t>
            </w:r>
          </w:p>
          <w:p w:rsidR="00C606D3" w:rsidRDefault="00C606D3" w:rsidP="0069092A">
            <w:pPr>
              <w:pStyle w:val="Lgendestandard"/>
              <w:rPr>
                <w:lang w:val="fr-FR"/>
              </w:rPr>
            </w:pPr>
          </w:p>
        </w:tc>
      </w:tr>
    </w:tbl>
    <w:p w:rsidR="00C606D3" w:rsidRDefault="00C606D3" w:rsidP="00894923">
      <w:pPr>
        <w:rPr>
          <w:lang w:val="fr-FR"/>
        </w:rPr>
      </w:pPr>
    </w:p>
    <w:p w:rsidR="00B85286" w:rsidRPr="00C606D3" w:rsidRDefault="00B85286" w:rsidP="00420FCD">
      <w:pPr>
        <w:widowControl/>
        <w:tabs>
          <w:tab w:val="center" w:pos="4677"/>
        </w:tabs>
      </w:pPr>
    </w:p>
    <w:p w:rsidR="00B85286" w:rsidRPr="00101420" w:rsidRDefault="00EA7ECF">
      <w:pPr>
        <w:pStyle w:val="TOCHeading"/>
      </w:pPr>
      <w:r>
        <w:br w:type="page"/>
      </w:r>
      <w:r>
        <w:lastRenderedPageBreak/>
        <w:t>INHALT</w:t>
      </w:r>
    </w:p>
    <w:p w:rsidR="00B85286" w:rsidRPr="00101420" w:rsidRDefault="00EA7ECF">
      <w:pPr>
        <w:pStyle w:val="TOCPage"/>
      </w:pPr>
      <w:r>
        <w:t>Seite</w:t>
      </w:r>
    </w:p>
    <w:p w:rsidR="00EA7ECF" w:rsidRDefault="00EA7ECF">
      <w:pPr>
        <w:pStyle w:val="TOC1"/>
        <w:tabs>
          <w:tab w:val="right" w:leader="dot" w:pos="9060"/>
        </w:tabs>
        <w:rPr>
          <w:rFonts w:asciiTheme="minorHAnsi" w:eastAsiaTheme="minorEastAsia" w:hAnsiTheme="minorHAnsi" w:cstheme="minorBidi"/>
          <w:noProof/>
          <w:sz w:val="22"/>
          <w:szCs w:val="22"/>
          <w:lang w:val="en-GB"/>
        </w:rPr>
      </w:pPr>
      <w:r w:rsidRPr="00101420">
        <w:rPr>
          <w:b/>
        </w:rPr>
        <w:fldChar w:fldCharType="begin"/>
      </w:r>
      <w:r w:rsidRPr="00101420">
        <w:rPr>
          <w:b/>
        </w:rPr>
        <w:instrText xml:space="preserve"> TOC \t "PageHeading</w:instrText>
      </w:r>
      <w:r w:rsidR="00C606D3">
        <w:rPr>
          <w:b/>
        </w:rPr>
        <w:instrText>;</w:instrText>
      </w:r>
      <w:r w:rsidRPr="00101420">
        <w:rPr>
          <w:b/>
        </w:rPr>
        <w:instrText xml:space="preserve">1" </w:instrText>
      </w:r>
      <w:r w:rsidRPr="00101420">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_Toc161665414 \h </w:instrText>
      </w:r>
      <w:r>
        <w:rPr>
          <w:noProof/>
        </w:rPr>
      </w:r>
      <w:r>
        <w:rPr>
          <w:noProof/>
        </w:rPr>
        <w:fldChar w:fldCharType="separate"/>
      </w:r>
      <w:r>
        <w:rPr>
          <w:noProof/>
        </w:rPr>
        <w:t>5</w:t>
      </w:r>
      <w:r>
        <w:rPr>
          <w:noProof/>
        </w:rPr>
        <w:fldChar w:fldCharType="end"/>
      </w:r>
    </w:p>
    <w:p w:rsidR="00BD0A00" w:rsidRPr="00101420" w:rsidRDefault="00EA7ECF" w:rsidP="005A376D">
      <w:r w:rsidRPr="00101420">
        <w:rPr>
          <w:b/>
        </w:rPr>
        <w:fldChar w:fldCharType="end"/>
      </w:r>
    </w:p>
    <w:p w:rsidR="00B85286" w:rsidRPr="00101420" w:rsidRDefault="00EA7ECF">
      <w:pPr>
        <w:pStyle w:val="PageHeading"/>
      </w:pPr>
      <w:r>
        <w:br w:type="page"/>
      </w:r>
      <w:r>
        <w:lastRenderedPageBreak/>
        <w:br w:type="page"/>
      </w:r>
      <w:bookmarkStart w:id="0" w:name="_Toc161665414"/>
      <w:r>
        <w:lastRenderedPageBreak/>
        <w:t>ENTWURF EINER LEGISLATIVEN ENTSCHLIESSUNG DES EUROPÄISCHEN PARLAMENTS</w:t>
      </w:r>
      <w:bookmarkEnd w:id="0"/>
    </w:p>
    <w:p w:rsidR="00B85286" w:rsidRPr="00101420" w:rsidRDefault="00EA7ECF">
      <w:pPr>
        <w:pStyle w:val="NormalBold"/>
      </w:pPr>
      <w:r>
        <w:t xml:space="preserve">zu dem Vorschlag für eine Richtlinie des Rates zur Änderung der Richtlinie (EU) 2015/637 über Koordinierungs- und </w:t>
      </w:r>
      <w:r>
        <w:t>Kooperationsmaßnahmen zur Erleichterung des konsularischen Schutzes von nicht vertretenen Unionsbürgern in Drittländern und der Richtlinie (EU) 2019/997 zur Festlegung eines EU-Rückkehrausweises</w:t>
      </w:r>
    </w:p>
    <w:p w:rsidR="00B85286" w:rsidRPr="00101420" w:rsidRDefault="00EA7ECF">
      <w:pPr>
        <w:pStyle w:val="NormalBold12a"/>
      </w:pPr>
      <w:r>
        <w:t>(COM(2023)0930 – C9</w:t>
      </w:r>
      <w:r>
        <w:noBreakHyphen/>
        <w:t>0015/2024 – 2023/0441(CNS))</w:t>
      </w:r>
    </w:p>
    <w:p w:rsidR="00B85286" w:rsidRPr="00101420" w:rsidRDefault="00EA7ECF" w:rsidP="005A376D">
      <w:pPr>
        <w:pStyle w:val="NormalBold"/>
      </w:pPr>
      <w:r>
        <w:t>(Besonderes G</w:t>
      </w:r>
      <w:r>
        <w:t>esetzgebungsverfahren – Anhörung)</w:t>
      </w:r>
    </w:p>
    <w:p w:rsidR="00B85286" w:rsidRPr="00101420" w:rsidRDefault="00EA7ECF">
      <w:pPr>
        <w:pStyle w:val="EPComma"/>
      </w:pPr>
      <w:r>
        <w:rPr>
          <w:i/>
        </w:rPr>
        <w:t>Das Europäische Parlament</w:t>
      </w:r>
      <w:r>
        <w:t>,</w:t>
      </w:r>
    </w:p>
    <w:p w:rsidR="00C606D3" w:rsidRPr="005307D3" w:rsidRDefault="00EA7ECF" w:rsidP="00C606D3">
      <w:pPr>
        <w:pStyle w:val="NormalHanging12a"/>
      </w:pPr>
      <w:r>
        <w:t>–</w:t>
      </w:r>
      <w:r>
        <w:tab/>
        <w:t>unter Hinweis auf den Vorschlag der Kommission an den Rat (COM(2023)0930),</w:t>
      </w:r>
    </w:p>
    <w:p w:rsidR="00C606D3" w:rsidRPr="005307D3" w:rsidRDefault="00EA7ECF" w:rsidP="00C606D3">
      <w:pPr>
        <w:pStyle w:val="NormalHanging12a"/>
      </w:pPr>
      <w:r>
        <w:t>–</w:t>
      </w:r>
      <w:r>
        <w:tab/>
        <w:t>gestützt auf Artikel 23 Absatz 2 des Vertrags über die Arbeitsweise der Europäischen Union, gemäß dem es vom Rat ang</w:t>
      </w:r>
      <w:r>
        <w:t>ehört wurde (C9</w:t>
      </w:r>
      <w:r>
        <w:noBreakHyphen/>
        <w:t>0015/2024),</w:t>
      </w:r>
    </w:p>
    <w:p w:rsidR="00C606D3" w:rsidRPr="005307D3" w:rsidRDefault="00EA7ECF" w:rsidP="00C606D3">
      <w:pPr>
        <w:pStyle w:val="NormalHanging12a"/>
      </w:pPr>
      <w:r>
        <w:t>–</w:t>
      </w:r>
      <w:r>
        <w:tab/>
        <w:t>gestützt auf Artikel 82 seiner Geschäftsordnung,</w:t>
      </w:r>
    </w:p>
    <w:p w:rsidR="00C606D3" w:rsidRPr="005307D3" w:rsidRDefault="00EA7ECF" w:rsidP="00C606D3">
      <w:pPr>
        <w:pStyle w:val="NormalHanging12a"/>
      </w:pPr>
      <w:r>
        <w:t>–</w:t>
      </w:r>
      <w:r>
        <w:tab/>
        <w:t>unter Hinweis auf die Stellungnahmen des Ausschusses für auswärtige Angelegenheiten und des Rechtsausschusses,</w:t>
      </w:r>
    </w:p>
    <w:p w:rsidR="00C606D3" w:rsidRPr="005307D3" w:rsidRDefault="00EA7ECF" w:rsidP="00C606D3">
      <w:pPr>
        <w:pStyle w:val="NormalHanging12a"/>
      </w:pPr>
      <w:r>
        <w:t>–</w:t>
      </w:r>
      <w:r>
        <w:tab/>
        <w:t xml:space="preserve">unter Hinweis auf den Bericht des Ausschusses für bürgerliche </w:t>
      </w:r>
      <w:r>
        <w:t>Freiheiten, Justiz und Inneres (A9</w:t>
      </w:r>
      <w:r>
        <w:noBreakHyphen/>
        <w:t>0000/2024),</w:t>
      </w:r>
    </w:p>
    <w:p w:rsidR="00C606D3" w:rsidRPr="005307D3" w:rsidRDefault="00EA7ECF" w:rsidP="00C606D3">
      <w:pPr>
        <w:pStyle w:val="NormalHanging12a"/>
      </w:pPr>
      <w:r>
        <w:t>1.</w:t>
      </w:r>
      <w:r>
        <w:tab/>
        <w:t>billigt den Vorschlag der Kommission in der geänderten Fassung;</w:t>
      </w:r>
    </w:p>
    <w:p w:rsidR="00C606D3" w:rsidRPr="005307D3" w:rsidRDefault="00EA7ECF" w:rsidP="00C606D3">
      <w:pPr>
        <w:pStyle w:val="NormalHanging12a"/>
      </w:pPr>
      <w:r>
        <w:t>2.</w:t>
      </w:r>
      <w:r>
        <w:tab/>
        <w:t>fordert die Kommission auf, ihren Vorschlag gemäß Artikel 293 Absatz 2 des Vertrags über die Arbeitsweise der Europäischen Union entspreche</w:t>
      </w:r>
      <w:r>
        <w:t>nd zu ändern;</w:t>
      </w:r>
    </w:p>
    <w:p w:rsidR="00C606D3" w:rsidRPr="005307D3" w:rsidRDefault="00EA7ECF" w:rsidP="00C606D3">
      <w:pPr>
        <w:pStyle w:val="NormalHanging12a"/>
      </w:pPr>
      <w:r>
        <w:t>3.</w:t>
      </w:r>
      <w:r>
        <w:tab/>
        <w:t>fordert den Rat auf, es zu unterrichten, falls er beabsichtigt, von dem vom Parlament gebilligten Text abzuweichen;</w:t>
      </w:r>
    </w:p>
    <w:p w:rsidR="00C606D3" w:rsidRPr="005307D3" w:rsidRDefault="00EA7ECF" w:rsidP="00C606D3">
      <w:pPr>
        <w:pStyle w:val="NormalHanging12a"/>
      </w:pPr>
      <w:r>
        <w:t>4.</w:t>
      </w:r>
      <w:r>
        <w:tab/>
        <w:t>fordert den Rat auf, es erneut anzuhören, falls er beabsichtigt, den Vorschlag der Kommission entscheidend zu ändern;</w:t>
      </w:r>
    </w:p>
    <w:p w:rsidR="00C606D3" w:rsidRPr="005307D3" w:rsidRDefault="00EA7ECF" w:rsidP="00C606D3">
      <w:pPr>
        <w:pStyle w:val="NormalHanging12a"/>
      </w:pPr>
      <w:r>
        <w:t>5.</w:t>
      </w:r>
      <w:r>
        <w:tab/>
        <w:t>beauftragt seine Präsidentin, den Standpunkt des Parlaments dem Rat, der Kommission und den nationalen Parlamenten zu übermitteln.</w:t>
      </w:r>
    </w:p>
    <w:p w:rsidR="00972165" w:rsidRPr="00101420" w:rsidRDefault="00972165" w:rsidP="00972165"/>
    <w:p w:rsidR="00C606D3" w:rsidRPr="005307D3" w:rsidRDefault="00EA7ECF" w:rsidP="00C606D3">
      <w:pPr>
        <w:pStyle w:val="AmNumberTabs"/>
        <w:keepNext/>
      </w:pPr>
      <w:r>
        <w:rPr>
          <w:rStyle w:val="HideTWBExt"/>
          <w:b w:val="0"/>
        </w:rPr>
        <w:lastRenderedPageBreak/>
        <w:t>&lt;RepeatBlock-Amend&gt;</w:t>
      </w:r>
      <w:bookmarkStart w:id="1" w:name="restart"/>
      <w:r>
        <w:rPr>
          <w:rStyle w:val="HideTWBExt"/>
          <w:b w:val="0"/>
        </w:rPr>
        <w:t>&lt;Amend&gt;</w:t>
      </w:r>
      <w:r>
        <w:t>Änderungsantrag</w:t>
      </w:r>
      <w:r>
        <w:tab/>
      </w:r>
      <w:r>
        <w:tab/>
      </w:r>
      <w:r>
        <w:rPr>
          <w:rStyle w:val="HideTWBExt"/>
          <w:b w:val="0"/>
        </w:rPr>
        <w:t>&lt;NumAm&gt;</w:t>
      </w:r>
      <w:r>
        <w:t>1</w:t>
      </w:r>
      <w:r>
        <w:rPr>
          <w:rStyle w:val="HideTWBExt"/>
          <w:b w:val="0"/>
        </w:rPr>
        <w:t>&lt;/NumAm&gt;</w:t>
      </w:r>
    </w:p>
    <w:p w:rsidR="00C606D3" w:rsidRPr="005307D3" w:rsidRDefault="00EA7ECF" w:rsidP="00C606D3">
      <w:pPr>
        <w:pStyle w:val="NormalBold12b"/>
        <w:keepNext/>
      </w:pPr>
      <w:r>
        <w:rPr>
          <w:rStyle w:val="HideTWBExt"/>
          <w:b w:val="0"/>
        </w:rPr>
        <w:t>&lt;DocAmend&gt;</w:t>
      </w:r>
      <w:r>
        <w:t>Vorschlag für eine Richtlinie</w:t>
      </w:r>
      <w:r>
        <w:rPr>
          <w:rStyle w:val="HideTWBExt"/>
          <w:b w:val="0"/>
        </w:rPr>
        <w:t>&lt;/DocAmend&gt;</w:t>
      </w:r>
    </w:p>
    <w:p w:rsidR="00C606D3" w:rsidRPr="005307D3" w:rsidRDefault="00EA7ECF" w:rsidP="00C606D3">
      <w:pPr>
        <w:pStyle w:val="NormalBold"/>
        <w:keepNext/>
      </w:pPr>
      <w:r>
        <w:rPr>
          <w:rStyle w:val="HideTWBExt"/>
          <w:b w:val="0"/>
        </w:rPr>
        <w:t>&lt;Article&gt;</w:t>
      </w:r>
      <w:r>
        <w:t>Erw</w:t>
      </w:r>
      <w:r>
        <w:t>ägung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26404D">
            <w:pPr>
              <w:pStyle w:val="Normal6a"/>
            </w:pPr>
            <w:r>
              <w:t>(4)</w:t>
            </w:r>
            <w:r>
              <w:tab/>
              <w:t xml:space="preserve">Zur Erhöhung der Rechtssicherheit für Konsularbehörden und Bürger sollten detailliertere Kriterien festgelegt werden, anhand deren leichter beurteilt werden kann, ob ein Unionsbürger als </w:t>
            </w:r>
            <w:r>
              <w:t>nicht vertreten anzusehen ist und somit von dem Mitgliedstaat, an dessen Konsularbehörden er sich gewandt hat, konsularischen Schutz erhalten kann. Diese Kriterien sollten ausreichend flexibel sein und vor dem Hintergrund der örtlichen Gegebenheiten, wie z</w:t>
            </w:r>
            <w:r>
              <w:t xml:space="preserve">. B. der Reiseeinschränkungen oder der Sicherheitslage in dem betreffenden Drittland, angewandt werden. In diesem Zusammenhang sollten Erreichbarkeit und </w:t>
            </w:r>
            <w:r>
              <w:rPr>
                <w:b/>
                <w:i/>
              </w:rPr>
              <w:t>Nähe</w:t>
            </w:r>
            <w:r>
              <w:t xml:space="preserve"> wichtige Aspekte bleiben.</w:t>
            </w:r>
          </w:p>
        </w:tc>
        <w:tc>
          <w:tcPr>
            <w:tcW w:w="4876" w:type="dxa"/>
          </w:tcPr>
          <w:p w:rsidR="00C606D3" w:rsidRPr="005307D3" w:rsidRDefault="00EA7ECF" w:rsidP="0026404D">
            <w:pPr>
              <w:pStyle w:val="Normal6a"/>
              <w:rPr>
                <w:szCs w:val="24"/>
              </w:rPr>
            </w:pPr>
            <w:r>
              <w:t>(4)</w:t>
            </w:r>
            <w:r>
              <w:tab/>
              <w:t>Zur Erhöhung der Rechtssicherheit für Konsularbehörden und Bürger s</w:t>
            </w:r>
            <w:r>
              <w:t>ollten detailliertere Kriterien festgelegt werden, anhand deren leichter beurteilt werden kann, ob ein Unionsbürger als nicht vertreten anzusehen ist und somit von dem Mitgliedstaat, an dessen Konsularbehörden er sich gewandt hat, konsularischen Schutz erh</w:t>
            </w:r>
            <w:r>
              <w:t>alten kann. Diese Kriterien sollten ausreichend flexibel sein und vor dem Hintergrund der örtlichen Gegebenheiten, wie z. B. der Reiseeinschränkungen oder der Sicherheitslage in dem betreffenden Drittland, angewandt werden. In diesem Zusammenhang sollten E</w:t>
            </w:r>
            <w:r>
              <w:t>rreichbarkeit</w:t>
            </w:r>
            <w:r>
              <w:rPr>
                <w:b/>
                <w:i/>
              </w:rPr>
              <w:t>, Nähe</w:t>
            </w:r>
            <w:r>
              <w:t xml:space="preserve"> und </w:t>
            </w:r>
            <w:r>
              <w:rPr>
                <w:b/>
                <w:i/>
              </w:rPr>
              <w:t>Sicherheit</w:t>
            </w:r>
            <w:r>
              <w:t xml:space="preserve"> wichtige Aspekte bleiben.</w:t>
            </w:r>
          </w:p>
        </w:tc>
      </w:tr>
    </w:tbl>
    <w:p w:rsidR="00C606D3" w:rsidRPr="005307D3" w:rsidRDefault="00EA7ECF" w:rsidP="00C606D3">
      <w:pPr>
        <w:pStyle w:val="AmOrLang"/>
      </w:pPr>
      <w:r w:rsidRPr="005307D3">
        <w:t xml:space="preserve">Or. </w:t>
      </w:r>
      <w:r w:rsidRPr="005307D3">
        <w:rPr>
          <w:rStyle w:val="HideTWBExt"/>
          <w:noProof w:val="0"/>
        </w:rPr>
        <w:t>&lt;Original&gt;</w:t>
      </w:r>
      <w:r w:rsidRPr="005307D3">
        <w:rPr>
          <w:rStyle w:val="HideTWBInt"/>
        </w:rPr>
        <w:t>{EN}</w:t>
      </w:r>
      <w:r w:rsidRPr="005307D3">
        <w:t>en</w:t>
      </w:r>
      <w:r w:rsidRPr="005307D3">
        <w:rPr>
          <w:rStyle w:val="HideTWBExt"/>
          <w:noProof w:val="0"/>
        </w:rPr>
        <w:t>&lt;/Original&gt;</w:t>
      </w:r>
    </w:p>
    <w:p w:rsidR="00C606D3" w:rsidRPr="005307D3" w:rsidRDefault="00EA7ECF" w:rsidP="00C606D3">
      <w:r>
        <w:rPr>
          <w:rStyle w:val="HideTWBExt"/>
        </w:rPr>
        <w:t>&lt;/Amend&gt;</w:t>
      </w:r>
      <w:bookmarkStart w:id="2" w:name="_GoBack"/>
      <w:bookmarkEnd w:id="1"/>
      <w:bookmarkEnd w:id="2"/>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2</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Erwägung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26404D">
            <w:pPr>
              <w:pStyle w:val="Normal6a"/>
            </w:pPr>
            <w:r>
              <w:t>(5)</w:t>
            </w:r>
            <w:r>
              <w:tab/>
              <w:t xml:space="preserve">Als erstes Kriterium sollten die Konsularbehörden berücksichtigen, wie schwierig es für einen Bürger ist, </w:t>
            </w:r>
            <w:r>
              <w:rPr>
                <w:b/>
                <w:i/>
              </w:rPr>
              <w:t>innerhalb eines angemessenen Zeitraums</w:t>
            </w:r>
            <w:r>
              <w:t xml:space="preserve"> die Botschaft oder das Konsulat des Mitgliedstaats, dessen Staatsangehörigkeit er besitzt,</w:t>
            </w:r>
            <w:r>
              <w:t xml:space="preserve"> sicher zu erreichen oder von dieser bzw. diesem erreicht zu werden</w:t>
            </w:r>
            <w:r>
              <w:rPr>
                <w:b/>
                <w:i/>
              </w:rPr>
              <w:t>, wobei Art und Dringlichkeit der erbetenen Hilfe und insbesondere die dem Bürger zur Verfügung stehenden finanziellen Mittel in Betracht zu ziehen sind</w:t>
            </w:r>
            <w:r>
              <w:t>. Beispielsweise sollte ein Bürger, d</w:t>
            </w:r>
            <w:r>
              <w:t xml:space="preserve">er </w:t>
            </w:r>
            <w:r>
              <w:lastRenderedPageBreak/>
              <w:t>aufgrund des Verlusts von Reisedokumenten einen EU-Rückkehrausweis benötigt,</w:t>
            </w:r>
            <w:r>
              <w:rPr>
                <w:b/>
                <w:i/>
              </w:rPr>
              <w:t xml:space="preserve"> grundsätzlich</w:t>
            </w:r>
            <w:r>
              <w:t xml:space="preserve"> als nicht vertreten gelten, wenn das Erreichen der Botschaft oder des Konsulats des Mitgliedstaats, dessen Staatsangehörigkeit er besitzt, eine Übernachtung oder </w:t>
            </w:r>
            <w:r>
              <w:t>Flugreise erfordern würde, da von ihm nicht erwartet werden kann, unter solchen Umständen zu reisen.</w:t>
            </w:r>
          </w:p>
        </w:tc>
        <w:tc>
          <w:tcPr>
            <w:tcW w:w="4876" w:type="dxa"/>
          </w:tcPr>
          <w:p w:rsidR="00C606D3" w:rsidRPr="005307D3" w:rsidRDefault="00EA7ECF" w:rsidP="0026404D">
            <w:pPr>
              <w:pStyle w:val="Normal6a"/>
              <w:rPr>
                <w:szCs w:val="24"/>
              </w:rPr>
            </w:pPr>
            <w:r>
              <w:lastRenderedPageBreak/>
              <w:t>(5)</w:t>
            </w:r>
            <w:r>
              <w:tab/>
              <w:t xml:space="preserve">Als erstes Kriterium sollten die Konsularbehörden berücksichtigen, wie schwierig es für einen Bürger ist, </w:t>
            </w:r>
            <w:r>
              <w:rPr>
                <w:b/>
                <w:i/>
              </w:rPr>
              <w:t>binnen 48 Stunden</w:t>
            </w:r>
            <w:r>
              <w:t xml:space="preserve"> die Botschaft oder das Kons</w:t>
            </w:r>
            <w:r>
              <w:t>ulat des Mitgliedstaats, dessen Staatsangehörigkeit er besitzt, sicher zu erreichen oder von dieser bzw. diesem erreicht zu werden. Beispielsweise sollte ein Bürger, der aufgrund des Verlusts von Reisedokumenten einen EU-Rückkehrausweis benötigt, als nicht</w:t>
            </w:r>
            <w:r>
              <w:t xml:space="preserve"> vertreten gelten, wenn das Erreichen der Botschaft oder des Konsulats des </w:t>
            </w:r>
            <w:r>
              <w:lastRenderedPageBreak/>
              <w:t>Mitgliedstaats, dessen Staatsangehörigkeit er besitzt, eine Übernachtung oder Flugreise erfordern würde, da von ihm nicht erwartet werden kann, unter solchen Umständen zu reisen.</w:t>
            </w:r>
          </w:p>
        </w:tc>
      </w:tr>
    </w:tbl>
    <w:p w:rsidR="00C606D3" w:rsidRPr="005307D3" w:rsidRDefault="00EA7ECF" w:rsidP="00C606D3">
      <w:pPr>
        <w:pStyle w:val="AmOrLang"/>
      </w:pPr>
      <w:r w:rsidRPr="005307D3">
        <w:lastRenderedPageBreak/>
        <w:t>O</w:t>
      </w:r>
      <w:r w:rsidRPr="005307D3">
        <w:t xml:space="preserve">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3</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Erwägung 30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rPr>
                <w:i w:val="0"/>
              </w:rPr>
            </w:pPr>
            <w:r>
              <w:rPr>
                <w:i w:val="0"/>
              </w:rPr>
              <w:t>Geänderter Text</w:t>
            </w:r>
          </w:p>
        </w:tc>
      </w:tr>
      <w:tr w:rsidR="00DB10E5" w:rsidTr="0026404D">
        <w:trPr>
          <w:jc w:val="center"/>
        </w:trPr>
        <w:tc>
          <w:tcPr>
            <w:tcW w:w="4876" w:type="dxa"/>
          </w:tcPr>
          <w:p w:rsidR="00C606D3" w:rsidRPr="005307D3" w:rsidRDefault="00EA7ECF" w:rsidP="0026404D">
            <w:pPr>
              <w:pStyle w:val="Normal6a"/>
            </w:pPr>
            <w:r>
              <w:t xml:space="preserve"> </w:t>
            </w:r>
          </w:p>
        </w:tc>
        <w:tc>
          <w:tcPr>
            <w:tcW w:w="4876" w:type="dxa"/>
          </w:tcPr>
          <w:p w:rsidR="00C606D3" w:rsidRPr="005307D3" w:rsidRDefault="00EA7ECF" w:rsidP="00814D5D">
            <w:pPr>
              <w:pStyle w:val="Normal6a"/>
              <w:rPr>
                <w:b/>
                <w:i/>
                <w:szCs w:val="24"/>
              </w:rPr>
            </w:pPr>
            <w:r>
              <w:rPr>
                <w:b/>
                <w:i/>
              </w:rPr>
              <w:t>(30a)</w:t>
            </w:r>
            <w:r>
              <w:rPr>
                <w:b/>
                <w:i/>
              </w:rPr>
              <w:tab/>
              <w:t>Die Mitgliedstaaten sollten dafür</w:t>
            </w:r>
            <w:r>
              <w:rPr>
                <w:b/>
                <w:i/>
              </w:rPr>
              <w:t xml:space="preserve"> sorgen, dass die Bürger leichten Zugang zu aktuellen Informationen über den konsularischen Schutz haben. In diesem Zusammenhang sollten die Unionsbürger unverzüglich über ihre Rechte und die Verfahren für die Wahrnehmung dieser Rechte in Drittländern info</w:t>
            </w:r>
            <w:r>
              <w:rPr>
                <w:b/>
                <w:i/>
              </w:rPr>
              <w:t>rmiert werden, insbesondere in Krisensituationen.</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4</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Erwägung 31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 xml:space="preserve">Geänderter </w:t>
            </w:r>
            <w:r>
              <w:t>Text</w:t>
            </w:r>
          </w:p>
        </w:tc>
      </w:tr>
      <w:tr w:rsidR="00DB10E5" w:rsidTr="0026404D">
        <w:trPr>
          <w:jc w:val="center"/>
        </w:trPr>
        <w:tc>
          <w:tcPr>
            <w:tcW w:w="4876" w:type="dxa"/>
          </w:tcPr>
          <w:p w:rsidR="00C606D3" w:rsidRPr="005307D3" w:rsidRDefault="00EA7ECF" w:rsidP="0026404D">
            <w:pPr>
              <w:pStyle w:val="Normal6a"/>
            </w:pPr>
            <w:r>
              <w:t>(31)</w:t>
            </w:r>
            <w:r>
              <w:tab/>
              <w:t xml:space="preserve">Die Mitgliedstaaten sollten zusätzliche Maßnahmen ergreifen, um das Bewusstsein der Unionsbürger für ihr Recht auf konsularischen Schutz weiter zu schärfen, auch unter Berücksichtigung der besonderen Bedürfnisse von Menschen mit </w:t>
            </w:r>
            <w:r>
              <w:lastRenderedPageBreak/>
              <w:t>Behinderungen. A</w:t>
            </w:r>
            <w:r>
              <w:t>ngesichts der geringen Kosten, die dies für die Mitgliedstaaten mit sich bringt, bestünde eine Möglichkeit darin, den Wortlaut von Artikel 23 AEUV in von den Mitgliedstaaten ausgestellten Pässen wiederzugeben, um das Bewusstsein der Bürger für das Recht au</w:t>
            </w:r>
            <w:r>
              <w:t xml:space="preserve">f Schutz durch diplomatische und konsularische Behörden zu schärfen, wie dies bereits in der Empfehlung K(2007) 5841 der Kommission zum Ausdruck kommt. Die Mitgliedstaaten </w:t>
            </w:r>
            <w:r>
              <w:rPr>
                <w:b/>
                <w:i/>
              </w:rPr>
              <w:t>könnten</w:t>
            </w:r>
            <w:r>
              <w:t xml:space="preserve"> auch Informationen über das Recht nicht vertretener Bürger auf konsularische</w:t>
            </w:r>
            <w:r>
              <w:t>n Schutz in Reisehinweisen und Kampagnen im Zusammenhang mit konsularischer Hilfe aufnehmen. Sie könnten auch mit Personenverkehrsdienstleistern und Verkehrsknotenpunkten, die Reisen in Drittländer anbieten, zusammenarbeiten, indem sie sie beispielsweise a</w:t>
            </w:r>
            <w:r>
              <w:t>uffordern, relevante Informationen über das Recht auf konsularischen Schutz in das Kundeninformationsmaterial aufzunehmen.</w:t>
            </w:r>
          </w:p>
        </w:tc>
        <w:tc>
          <w:tcPr>
            <w:tcW w:w="4876" w:type="dxa"/>
          </w:tcPr>
          <w:p w:rsidR="00C606D3" w:rsidRPr="005307D3" w:rsidRDefault="00EA7ECF" w:rsidP="0026404D">
            <w:pPr>
              <w:pStyle w:val="Normal6a"/>
              <w:rPr>
                <w:szCs w:val="24"/>
              </w:rPr>
            </w:pPr>
            <w:r>
              <w:lastRenderedPageBreak/>
              <w:t>(31)</w:t>
            </w:r>
            <w:r>
              <w:tab/>
              <w:t>Die Mitgliedstaaten sollten zusätzliche Maßnahmen ergreifen, um das Bewusstsein der Unionsbürger für ihr Recht auf konsularische</w:t>
            </w:r>
            <w:r>
              <w:t xml:space="preserve">n Schutz weiter zu schärfen, auch unter Berücksichtigung der besonderen Bedürfnisse von Menschen mit </w:t>
            </w:r>
            <w:r>
              <w:lastRenderedPageBreak/>
              <w:t>Behinderungen. Angesichts der geringen Kosten, die dies für die Mitgliedstaaten mit sich bringt, bestünde eine Möglichkeit darin, den Wortlaut von Artikel </w:t>
            </w:r>
            <w:r>
              <w:t>23 AEUV in von den Mitgliedstaaten ausgestellten Pässen wiederzugeben, um das Bewusstsein der Bürger für das Recht auf Schutz durch diplomatische und konsularische Behörden zu schärfen, wie dies bereits in der Empfehlung K(2007) 5841 der Kommission zum Aus</w:t>
            </w:r>
            <w:r>
              <w:t xml:space="preserve">druck kommt. Die Mitgliedstaaten </w:t>
            </w:r>
            <w:r>
              <w:rPr>
                <w:b/>
                <w:i/>
              </w:rPr>
              <w:t>sollten</w:t>
            </w:r>
            <w:r>
              <w:t xml:space="preserve"> auch Informationen über das Recht nicht vertretener Bürger auf konsularischen Schutz in Reisehinweisen und Kampagnen im Zusammenhang mit konsularischer Hilfe aufnehmen. Sie könnten auch mit Personenverkehrsdienstlei</w:t>
            </w:r>
            <w:r>
              <w:t>stern und Verkehrsknotenpunkten, die Reisen in Drittländer anbieten, zusammenarbeiten, indem sie sie beispielsweise auffordern, relevante Informationen über das Recht auf konsularischen Schutz in das Kundeninformationsmaterial aufzunehmen.</w:t>
            </w:r>
          </w:p>
        </w:tc>
      </w:tr>
    </w:tbl>
    <w:p w:rsidR="00C606D3" w:rsidRPr="005307D3" w:rsidRDefault="00EA7ECF" w:rsidP="00C606D3">
      <w:pPr>
        <w:pStyle w:val="AmOrLang"/>
      </w:pPr>
      <w:r w:rsidRPr="005307D3">
        <w:lastRenderedPageBreak/>
        <w:t xml:space="preserve">Or. </w:t>
      </w:r>
      <w:r w:rsidRPr="005307D3">
        <w:rPr>
          <w:rStyle w:val="HideTWBExt"/>
          <w:rFonts w:eastAsiaTheme="majorEastAsia"/>
        </w:rPr>
        <w:t>&lt;Original&gt;</w:t>
      </w:r>
      <w:r w:rsidRPr="005307D3">
        <w:rPr>
          <w:rStyle w:val="HideTWBInt"/>
        </w:rPr>
        <w: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5</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Erwägung 41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26404D">
            <w:pPr>
              <w:pStyle w:val="Normal6a"/>
            </w:pPr>
            <w:r>
              <w:t>(41)</w:t>
            </w:r>
            <w:r>
              <w:tab/>
              <w:t xml:space="preserve">Bei der Verarbeitung dieser besonderen Kategorien </w:t>
            </w:r>
            <w:r>
              <w:t>personenbezogener Daten sollten die zuständigen Behörden der Mitgliedstaaten und die Organe und Einrichtungen der Union für angemessene und gezielte Maßnahmen zur Wahrung der Interessen der betroffenen Personen sorgen. Dies sollte, soweit möglich, die Vers</w:t>
            </w:r>
            <w:r>
              <w:t xml:space="preserve">chlüsselung dieser personenbezogenen Daten und die spezifische Erteilung von Zugriffsrechten für Bedienstete umfassen, die Zugang zu den genannten Arten </w:t>
            </w:r>
            <w:r>
              <w:lastRenderedPageBreak/>
              <w:t>besonderer Kategorien personenbezogener Daten haben.</w:t>
            </w:r>
          </w:p>
        </w:tc>
        <w:tc>
          <w:tcPr>
            <w:tcW w:w="4876" w:type="dxa"/>
          </w:tcPr>
          <w:p w:rsidR="00C606D3" w:rsidRPr="005307D3" w:rsidRDefault="00EA7ECF" w:rsidP="0026404D">
            <w:pPr>
              <w:pStyle w:val="Normal6a"/>
              <w:rPr>
                <w:szCs w:val="24"/>
              </w:rPr>
            </w:pPr>
            <w:r>
              <w:lastRenderedPageBreak/>
              <w:t>(41)</w:t>
            </w:r>
            <w:r>
              <w:tab/>
              <w:t>Bei der Verarbeitung dieser besonderen Katego</w:t>
            </w:r>
            <w:r>
              <w:t xml:space="preserve">rien personenbezogener Daten sollten die zuständigen Behörden der Mitgliedstaaten und die Organe und Einrichtungen der Union für angemessene und gezielte Maßnahmen zur Wahrung der Interessen </w:t>
            </w:r>
            <w:r>
              <w:rPr>
                <w:b/>
                <w:i/>
              </w:rPr>
              <w:t xml:space="preserve">und Rechte </w:t>
            </w:r>
            <w:r>
              <w:t>der betroffenen Personen sorgen. Dies sollte, soweit m</w:t>
            </w:r>
            <w:r>
              <w:t xml:space="preserve">öglich, die Verschlüsselung dieser personenbezogenen Daten und die spezifische Erteilung von Zugriffsrechten für Bedienstete umfassen, die Zugang zu </w:t>
            </w:r>
            <w:r>
              <w:lastRenderedPageBreak/>
              <w:t>den genannten Arten besonderer Kategorien personenbezogener Daten haben.</w:t>
            </w:r>
          </w:p>
        </w:tc>
      </w:tr>
    </w:tbl>
    <w:p w:rsidR="00C606D3" w:rsidRPr="005307D3" w:rsidRDefault="00EA7ECF" w:rsidP="00C606D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6</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Artikel 11 – Absatz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814D5D">
            <w:pPr>
              <w:pStyle w:val="Normal6a"/>
            </w:pPr>
            <w:r>
              <w:t>(2)</w:t>
            </w:r>
            <w:r>
              <w:tab/>
              <w:t>Die Delegationen der Union unterstützen die Mitgliedstaaten bei de</w:t>
            </w:r>
            <w:r>
              <w:t>r Gewährung von konsularischem Schutz für nicht vertretene Bürger nach Artikel 5 Absatz 10 des Beschlusses 2010/427/EU. Diese Unterstützung kann die Erfüllung konkreter Aufgaben der konsularischen Hilfe auf Ersuchen und im Namen von Mitgliedstaaten umfasse</w:t>
            </w:r>
            <w:r>
              <w:t>n. Der Hilfe leistende Mitgliedstaat und der Mitgliedstaat, dessen Staatsangehörigkeit der Bürger besitzt, stellen der Delegation der Union alle Informationen zur Verfügung, die in dem betreffenden Fall von Belang sind.</w:t>
            </w:r>
          </w:p>
        </w:tc>
        <w:tc>
          <w:tcPr>
            <w:tcW w:w="4876" w:type="dxa"/>
          </w:tcPr>
          <w:p w:rsidR="00C606D3" w:rsidRPr="005307D3" w:rsidRDefault="00EA7ECF" w:rsidP="00814D5D">
            <w:pPr>
              <w:pStyle w:val="Normal6a"/>
              <w:rPr>
                <w:szCs w:val="24"/>
              </w:rPr>
            </w:pPr>
            <w:r>
              <w:t>(2)</w:t>
            </w:r>
            <w:r>
              <w:tab/>
              <w:t>Die Delegationen der Union unter</w:t>
            </w:r>
            <w:r>
              <w:t>stützen die Mitgliedstaaten bei der Gewährung von konsularischem Schutz für nicht vertretene Bürger nach Artikel 5 Absatz 10 des Beschlusses 2010/427/EU. Diese Unterstützung kann die Erfüllung konkreter Aufgaben der konsularischen Hilfe auf Ersuchen und im</w:t>
            </w:r>
            <w:r>
              <w:t xml:space="preserve"> Namen von Mitgliedstaaten umfassen. Der Hilfe leistende Mitgliedstaat und der Mitgliedstaat, dessen Staatsangehörigkeit der Bürger besitzt, stellen der Delegation der Union </w:t>
            </w:r>
            <w:r>
              <w:rPr>
                <w:b/>
                <w:i/>
              </w:rPr>
              <w:t xml:space="preserve">unverzüglich </w:t>
            </w:r>
            <w:r>
              <w:t>alle Informationen zur Verfügung, die in dem betreffenden Fall von Be</w:t>
            </w:r>
            <w:r>
              <w:t>lang sind.</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7</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lang w:val="fr-FR"/>
        </w:rPr>
        <w:t>&lt;Article&gt;</w:t>
      </w:r>
      <w:r>
        <w:t>Artikel 13 – Absatz 3 a (neu)</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C606D3" w:rsidP="0026404D">
            <w:pPr>
              <w:pStyle w:val="Normal6a"/>
            </w:pPr>
          </w:p>
        </w:tc>
        <w:tc>
          <w:tcPr>
            <w:tcW w:w="4876" w:type="dxa"/>
          </w:tcPr>
          <w:p w:rsidR="00C606D3" w:rsidRPr="005307D3" w:rsidRDefault="00EA7ECF" w:rsidP="00814D5D">
            <w:pPr>
              <w:pStyle w:val="Normal6a"/>
              <w:rPr>
                <w:b/>
                <w:i/>
                <w:szCs w:val="24"/>
              </w:rPr>
            </w:pPr>
            <w:r>
              <w:rPr>
                <w:b/>
                <w:i/>
              </w:rPr>
              <w:t>(3a)</w:t>
            </w:r>
            <w:r>
              <w:rPr>
                <w:b/>
                <w:i/>
              </w:rPr>
              <w:tab/>
              <w:t xml:space="preserve">Die </w:t>
            </w:r>
            <w:r>
              <w:rPr>
                <w:b/>
                <w:i/>
              </w:rPr>
              <w:t xml:space="preserve">Mitgliedstaaten und die Delegationen der Union arbeiten beim Einsatz von Frühwarnsystemen zusammen, damit potenzielle Krisen oder Gefahren wie Naturkatastrophen, politische Unruhen oder gesundheitliche Notlagen in dem betreffenden Drittland </w:t>
            </w:r>
            <w:r>
              <w:rPr>
                <w:b/>
                <w:i/>
              </w:rPr>
              <w:lastRenderedPageBreak/>
              <w:t>rechtzeitig erk</w:t>
            </w:r>
            <w:r>
              <w:rPr>
                <w:b/>
                <w:i/>
              </w:rPr>
              <w:t>annt werden können. Im Rahmen dieser Systeme werden Datenanalysen, Risikobewertungen und der Austausch nachrichtendienstlicher Erkenntnisse genutzt, um frühzeitige Indikatoren für neu auftretende Bedrohungen zu liefern und so die Wirksamkeit der Krisenvors</w:t>
            </w:r>
            <w:r>
              <w:rPr>
                <w:b/>
                <w:i/>
              </w:rPr>
              <w:t>orge und -reaktion zu verbessern.</w:t>
            </w:r>
          </w:p>
        </w:tc>
      </w:tr>
    </w:tbl>
    <w:p w:rsidR="00C606D3" w:rsidRPr="005307D3" w:rsidRDefault="00EA7ECF" w:rsidP="00C606D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8</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Artikel 13 – Absatz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814D5D">
            <w:pPr>
              <w:pStyle w:val="Normal6a"/>
            </w:pPr>
            <w:r>
              <w:t>(4)</w:t>
            </w:r>
            <w:r>
              <w:tab/>
              <w:t xml:space="preserve">Die Mitgliedstaaten </w:t>
            </w:r>
            <w:r>
              <w:rPr>
                <w:b/>
                <w:i/>
              </w:rPr>
              <w:t>geben ihren Bürgern</w:t>
            </w:r>
            <w:r>
              <w:t xml:space="preserve"> im Einklang mit dem nationalen Recht </w:t>
            </w:r>
            <w:r>
              <w:rPr>
                <w:b/>
                <w:i/>
              </w:rPr>
              <w:t>die Möglichkeit</w:t>
            </w:r>
            <w:r>
              <w:t>, mit geeigneten Mitteln und Instrumenten ihre Reisen in Drittländer oder ihren Aufenthalt in Drittländern bei zuständigen nationalen Behörden zu registrieren oder</w:t>
            </w:r>
            <w:r>
              <w:t xml:space="preserve"> diese darüber </w:t>
            </w:r>
            <w:r>
              <w:rPr>
                <w:b/>
                <w:i/>
              </w:rPr>
              <w:t>zu informieren</w:t>
            </w:r>
            <w:r>
              <w:t>.</w:t>
            </w:r>
          </w:p>
        </w:tc>
        <w:tc>
          <w:tcPr>
            <w:tcW w:w="4876" w:type="dxa"/>
          </w:tcPr>
          <w:p w:rsidR="00C606D3" w:rsidRPr="005307D3" w:rsidRDefault="00EA7ECF" w:rsidP="00814D5D">
            <w:pPr>
              <w:pStyle w:val="Normal6a"/>
              <w:rPr>
                <w:szCs w:val="24"/>
              </w:rPr>
            </w:pPr>
            <w:r>
              <w:t>(4)</w:t>
            </w:r>
            <w:r>
              <w:tab/>
              <w:t xml:space="preserve">Die Mitgliedstaaten </w:t>
            </w:r>
            <w:r>
              <w:rPr>
                <w:b/>
                <w:i/>
              </w:rPr>
              <w:t>treffen</w:t>
            </w:r>
            <w:r>
              <w:t xml:space="preserve"> im Einklang mit dem nationalen Recht </w:t>
            </w:r>
            <w:r>
              <w:rPr>
                <w:b/>
                <w:i/>
              </w:rPr>
              <w:t>proaktiv Maßnahmen</w:t>
            </w:r>
            <w:r>
              <w:t xml:space="preserve">, </w:t>
            </w:r>
            <w:r>
              <w:rPr>
                <w:b/>
                <w:i/>
              </w:rPr>
              <w:t xml:space="preserve">um dafür zu sorgen, dass ihre Bürger </w:t>
            </w:r>
            <w:r>
              <w:t>mit geeigneten Mitteln und Instrumenten ihre Reisen in Drittländer oder ihren Aufenthalt in Drittlä</w:t>
            </w:r>
            <w:r>
              <w:t xml:space="preserve">ndern bei zuständigen nationalen Behörden zu registrieren oder diese darüber </w:t>
            </w:r>
            <w:r>
              <w:rPr>
                <w:b/>
                <w:i/>
              </w:rPr>
              <w:t>informieren, insbesondere wenn die betreffenden Länder nicht als vollumfänglich sicher gelten</w:t>
            </w:r>
            <w:r>
              <w:t>.</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9</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rPr>
        <w:t>&lt;Article&gt;</w:t>
      </w:r>
      <w:r>
        <w:t>Artikel 13 – Absatz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814D5D">
            <w:pPr>
              <w:pStyle w:val="Normal6a"/>
            </w:pPr>
            <w:r>
              <w:t>(5)</w:t>
            </w:r>
            <w:r>
              <w:tab/>
              <w:t xml:space="preserve">Die Mitgliedstaaten tauschen, insbesondere im Zusammenhang mit Krisensituationen, frühzeitig Informationen über </w:t>
            </w:r>
            <w:r>
              <w:t xml:space="preserve">Änderungen ihrer Reisehinweise für Bürger aus und bemühen sich um ein </w:t>
            </w:r>
            <w:r>
              <w:lastRenderedPageBreak/>
              <w:t>kohärentes Niveau der Reisehinweise.</w:t>
            </w:r>
          </w:p>
        </w:tc>
        <w:tc>
          <w:tcPr>
            <w:tcW w:w="4876" w:type="dxa"/>
          </w:tcPr>
          <w:p w:rsidR="00C606D3" w:rsidRPr="005307D3" w:rsidRDefault="00EA7ECF" w:rsidP="00814D5D">
            <w:pPr>
              <w:pStyle w:val="Normal6a"/>
              <w:rPr>
                <w:szCs w:val="24"/>
              </w:rPr>
            </w:pPr>
            <w:r>
              <w:lastRenderedPageBreak/>
              <w:t>(5)</w:t>
            </w:r>
            <w:r>
              <w:tab/>
              <w:t>Die Mitgliedstaaten tauschen, insbesondere im Zusammenhang mit Krisensituationen, frühzeitig Informationen über Änderungen ihrer Reisehinweise fü</w:t>
            </w:r>
            <w:r>
              <w:t xml:space="preserve">r Bürger aus und bemühen sich um ein </w:t>
            </w:r>
            <w:r>
              <w:lastRenderedPageBreak/>
              <w:t>kohärentes Niveau der Reisehinweise.</w:t>
            </w:r>
            <w:r>
              <w:rPr>
                <w:b/>
                <w:i/>
              </w:rPr>
              <w:t xml:space="preserve"> Die Mitgliedstaaten sollten einander stets informieren, wenn sie von erhöhten Sicherheitsrisiken Kenntnis erlangen.</w:t>
            </w:r>
          </w:p>
        </w:tc>
      </w:tr>
    </w:tbl>
    <w:p w:rsidR="00C606D3" w:rsidRPr="005307D3" w:rsidRDefault="00EA7ECF" w:rsidP="00C606D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10</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lang w:val="fr-FR"/>
        </w:rPr>
        <w:t>&lt;Article&gt;</w:t>
      </w:r>
      <w:r>
        <w:t>Artikel 13b – Absatz 1</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814D5D">
            <w:pPr>
              <w:pStyle w:val="Normal6a"/>
            </w:pPr>
            <w:r>
              <w:t>(1)</w:t>
            </w:r>
            <w:r>
              <w:tab/>
            </w:r>
            <w:r>
              <w:rPr>
                <w:b/>
                <w:i/>
              </w:rPr>
              <w:t>Mindestens einmal jährlich stellen</w:t>
            </w:r>
            <w:r>
              <w:t xml:space="preserve"> die Mitgliedstaaten der Kommission und dem Hohen Vertreter der Union für Außen- und Sicherheitspolitik die folgenden Informationen zur Verfügung: </w:t>
            </w:r>
          </w:p>
        </w:tc>
        <w:tc>
          <w:tcPr>
            <w:tcW w:w="4876" w:type="dxa"/>
          </w:tcPr>
          <w:p w:rsidR="00C606D3" w:rsidRPr="005307D3" w:rsidRDefault="00EA7ECF" w:rsidP="00814D5D">
            <w:pPr>
              <w:pStyle w:val="Normal6a"/>
              <w:rPr>
                <w:szCs w:val="24"/>
              </w:rPr>
            </w:pPr>
            <w:r>
              <w:t>(1)</w:t>
            </w:r>
            <w:r>
              <w:tab/>
              <w:t>Die Mitgliedstaaten</w:t>
            </w:r>
            <w:r>
              <w:rPr>
                <w:b/>
                <w:i/>
              </w:rPr>
              <w:t xml:space="preserve"> stellen</w:t>
            </w:r>
            <w:r>
              <w:t xml:space="preserve"> der Kommission und dem Hohen Vertreter der Union für Außen- und Sicherheitspolitik </w:t>
            </w:r>
            <w:r>
              <w:rPr>
                <w:b/>
                <w:i/>
              </w:rPr>
              <w:t xml:space="preserve">alle sechs Monate </w:t>
            </w:r>
            <w:r>
              <w:t>die folgenden Informationen zur Verfügung:</w:t>
            </w:r>
          </w:p>
        </w:tc>
      </w:tr>
      <w:tr w:rsidR="00DB10E5" w:rsidTr="0026404D">
        <w:trPr>
          <w:jc w:val="center"/>
        </w:trPr>
        <w:tc>
          <w:tcPr>
            <w:tcW w:w="4876" w:type="dxa"/>
          </w:tcPr>
          <w:p w:rsidR="00C606D3" w:rsidRPr="005307D3" w:rsidRDefault="00EA7ECF" w:rsidP="0026404D">
            <w:pPr>
              <w:pStyle w:val="Normal6a"/>
            </w:pPr>
            <w:r>
              <w:t>a)</w:t>
            </w:r>
            <w:r>
              <w:tab/>
              <w:t>aktuelle Kontaktlisten für ihre konsularischen Netze;</w:t>
            </w:r>
          </w:p>
        </w:tc>
        <w:tc>
          <w:tcPr>
            <w:tcW w:w="4876" w:type="dxa"/>
          </w:tcPr>
          <w:p w:rsidR="00C606D3" w:rsidRPr="005307D3" w:rsidRDefault="00EA7ECF" w:rsidP="0026404D">
            <w:pPr>
              <w:pStyle w:val="Normal6a"/>
            </w:pPr>
            <w:r>
              <w:t>a)</w:t>
            </w:r>
            <w:r>
              <w:tab/>
              <w:t>aktuelle Kontaktlisten für ihre konsularischen Net</w:t>
            </w:r>
            <w:r>
              <w:t>ze;</w:t>
            </w:r>
          </w:p>
        </w:tc>
      </w:tr>
      <w:tr w:rsidR="00DB10E5" w:rsidTr="0026404D">
        <w:trPr>
          <w:jc w:val="center"/>
        </w:trPr>
        <w:tc>
          <w:tcPr>
            <w:tcW w:w="4876" w:type="dxa"/>
          </w:tcPr>
          <w:p w:rsidR="00C606D3" w:rsidRPr="005307D3" w:rsidRDefault="00EA7ECF" w:rsidP="0026404D">
            <w:pPr>
              <w:pStyle w:val="Normal6a"/>
            </w:pPr>
            <w:r>
              <w:t>b)</w:t>
            </w:r>
            <w:r>
              <w:tab/>
              <w:t>Listen der Drittländer, in denen sie von einem anderen Mitgliedstaat vertreten werden oder in denen sie einen anderen Mitgliedstaat nach Artikel 7 Absatz 2 ständig vertreten;</w:t>
            </w:r>
          </w:p>
        </w:tc>
        <w:tc>
          <w:tcPr>
            <w:tcW w:w="4876" w:type="dxa"/>
          </w:tcPr>
          <w:p w:rsidR="00C606D3" w:rsidRPr="005307D3" w:rsidRDefault="00EA7ECF" w:rsidP="0026404D">
            <w:pPr>
              <w:pStyle w:val="Normal6a"/>
            </w:pPr>
            <w:r>
              <w:t>b)</w:t>
            </w:r>
            <w:r>
              <w:tab/>
              <w:t>Listen der Drittländer, in denen sie von einem anderen Mitgliedstaat v</w:t>
            </w:r>
            <w:r>
              <w:t>ertreten werden oder in denen sie einen anderen Mitgliedstaat nach Artikel 7 Absatz 2 ständig vertreten;</w:t>
            </w:r>
          </w:p>
        </w:tc>
      </w:tr>
      <w:tr w:rsidR="00DB10E5" w:rsidTr="0026404D">
        <w:trPr>
          <w:jc w:val="center"/>
        </w:trPr>
        <w:tc>
          <w:tcPr>
            <w:tcW w:w="4876" w:type="dxa"/>
          </w:tcPr>
          <w:p w:rsidR="00C606D3" w:rsidRPr="005307D3" w:rsidRDefault="00EA7ECF" w:rsidP="0026404D">
            <w:pPr>
              <w:pStyle w:val="Normal6a"/>
            </w:pPr>
            <w:r>
              <w:t>c)</w:t>
            </w:r>
            <w:r>
              <w:tab/>
              <w:t>nach Artikel 7 Absatz 2 getroffene praktische Vereinbarungen;</w:t>
            </w:r>
          </w:p>
        </w:tc>
        <w:tc>
          <w:tcPr>
            <w:tcW w:w="4876" w:type="dxa"/>
          </w:tcPr>
          <w:p w:rsidR="00C606D3" w:rsidRPr="005307D3" w:rsidRDefault="00EA7ECF" w:rsidP="0026404D">
            <w:pPr>
              <w:pStyle w:val="Normal6a"/>
            </w:pPr>
            <w:r>
              <w:t>c)</w:t>
            </w:r>
            <w:r>
              <w:tab/>
              <w:t>nach Artikel 7 Absatz 2 getroffene praktische Vereinbarungen;</w:t>
            </w:r>
          </w:p>
        </w:tc>
      </w:tr>
      <w:tr w:rsidR="00DB10E5" w:rsidTr="0026404D">
        <w:trPr>
          <w:jc w:val="center"/>
        </w:trPr>
        <w:tc>
          <w:tcPr>
            <w:tcW w:w="4876" w:type="dxa"/>
          </w:tcPr>
          <w:p w:rsidR="00C606D3" w:rsidRPr="005307D3" w:rsidRDefault="00EA7ECF" w:rsidP="0026404D">
            <w:pPr>
              <w:pStyle w:val="Normal6a"/>
            </w:pPr>
            <w:r>
              <w:t>d)</w:t>
            </w:r>
            <w:r>
              <w:tab/>
              <w:t>Zahl der nicht v</w:t>
            </w:r>
            <w:r>
              <w:t>ertretenen Bürger, denen im Vorjahr nach Artikel 2 konsularischer Schutz gewährt wurde, aufgeschlüsselt nach Staatsangehörigkeit und Drittland;</w:t>
            </w:r>
          </w:p>
        </w:tc>
        <w:tc>
          <w:tcPr>
            <w:tcW w:w="4876" w:type="dxa"/>
          </w:tcPr>
          <w:p w:rsidR="00C606D3" w:rsidRPr="005307D3" w:rsidRDefault="00EA7ECF" w:rsidP="0026404D">
            <w:pPr>
              <w:pStyle w:val="Normal6a"/>
            </w:pPr>
            <w:r>
              <w:t>d)</w:t>
            </w:r>
            <w:r>
              <w:tab/>
              <w:t>Zahl der nicht vertretenen Bürger, denen im Vorjahr nach Artikel 2 konsularischer Schutz gewährt wurde, aufge</w:t>
            </w:r>
            <w:r>
              <w:t>schlüsselt nach Staatsangehörigkeit und Drittland;</w:t>
            </w:r>
          </w:p>
        </w:tc>
      </w:tr>
      <w:tr w:rsidR="00DB10E5" w:rsidTr="0026404D">
        <w:trPr>
          <w:jc w:val="center"/>
        </w:trPr>
        <w:tc>
          <w:tcPr>
            <w:tcW w:w="4876" w:type="dxa"/>
          </w:tcPr>
          <w:p w:rsidR="00C606D3" w:rsidRPr="005307D3" w:rsidRDefault="00EA7ECF" w:rsidP="0026404D">
            <w:pPr>
              <w:pStyle w:val="Normal6a"/>
            </w:pPr>
            <w:r>
              <w:t>e)</w:t>
            </w:r>
            <w:r>
              <w:tab/>
              <w:t>Zahl der im Vorjahr nach den Artikeln 14 und 15 gestellten und eingegangenen Ersuchen um Kostenerstattung.</w:t>
            </w:r>
          </w:p>
        </w:tc>
        <w:tc>
          <w:tcPr>
            <w:tcW w:w="4876" w:type="dxa"/>
          </w:tcPr>
          <w:p w:rsidR="00C606D3" w:rsidRPr="005307D3" w:rsidRDefault="00EA7ECF" w:rsidP="0026404D">
            <w:pPr>
              <w:pStyle w:val="Normal6a"/>
            </w:pPr>
            <w:r>
              <w:t>e)</w:t>
            </w:r>
            <w:r>
              <w:tab/>
              <w:t>Zahl der im Vorjahr nach den Artikeln 14 und 15 gestellten und eingegangenen Ersuchen um Ko</w:t>
            </w:r>
            <w:r>
              <w:t>stenerstattung.</w:t>
            </w:r>
          </w:p>
        </w:tc>
      </w:tr>
      <w:tr w:rsidR="00DB10E5" w:rsidTr="0026404D">
        <w:trPr>
          <w:jc w:val="center"/>
        </w:trPr>
        <w:tc>
          <w:tcPr>
            <w:tcW w:w="4876" w:type="dxa"/>
          </w:tcPr>
          <w:p w:rsidR="00C606D3" w:rsidRPr="005307D3" w:rsidRDefault="00EA7ECF" w:rsidP="0026404D">
            <w:pPr>
              <w:pStyle w:val="Normal6a"/>
            </w:pPr>
            <w:r>
              <w:t xml:space="preserve">Wenn ein Mitgliedstaat nach Artikel 2 Absatz 2 beschlossen hat, diese Richtlinie auf den konsularischen Schutz anzuwenden, der von Honorarkonsuln gewährt wird, muss die unter Buchstabe a genannte Liste die Honorarkonsuln sowie </w:t>
            </w:r>
            <w:r>
              <w:t xml:space="preserve">Informationen darüber enthalten, inwieweit </w:t>
            </w:r>
            <w:r>
              <w:lastRenderedPageBreak/>
              <w:t>die Honorarkonsuln dafür zuständig sind, in einem konkreten Fall Schutz zu gewähren, insbesondere darüber, ob sie befugt sind, EU-Rückkehrausweise auszustellen.</w:t>
            </w:r>
          </w:p>
        </w:tc>
        <w:tc>
          <w:tcPr>
            <w:tcW w:w="4876" w:type="dxa"/>
          </w:tcPr>
          <w:p w:rsidR="00C606D3" w:rsidRPr="005307D3" w:rsidRDefault="00EA7ECF" w:rsidP="0026404D">
            <w:pPr>
              <w:pStyle w:val="Normal6a"/>
            </w:pPr>
            <w:r>
              <w:lastRenderedPageBreak/>
              <w:t>Wenn ein Mitgliedstaat nach Artikel 2 Absatz 2 besch</w:t>
            </w:r>
            <w:r>
              <w:t xml:space="preserve">lossen hat, diese Richtlinie auf den konsularischen Schutz anzuwenden, der von Honorarkonsuln gewährt wird, muss die unter Buchstabe a genannte Liste die Honorarkonsuln sowie Informationen darüber enthalten, inwieweit </w:t>
            </w:r>
            <w:r>
              <w:lastRenderedPageBreak/>
              <w:t>die Honorarkonsuln dafür zuständig sin</w:t>
            </w:r>
            <w:r>
              <w:t>d, in einem konkreten Fall Schutz zu gewähren, insbesondere darüber, ob sie befugt sind, EU-Rückkehrausweise auszustellen.</w:t>
            </w:r>
          </w:p>
        </w:tc>
      </w:tr>
    </w:tbl>
    <w:p w:rsidR="00C606D3" w:rsidRPr="005307D3" w:rsidRDefault="00EA7ECF" w:rsidP="00C606D3">
      <w:pPr>
        <w:pStyle w:val="AmOrLang"/>
      </w:pPr>
      <w:r w:rsidRPr="005307D3">
        <w:lastRenderedPageBreak/>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11</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w:t>
      </w:r>
      <w:r>
        <w:rPr>
          <w:rStyle w:val="HideTWBExt"/>
          <w:b w:val="0"/>
          <w:lang w:val="pt-PT"/>
        </w:rPr>
        <w:t>&gt;</w:t>
      </w:r>
    </w:p>
    <w:p w:rsidR="00C606D3" w:rsidRPr="005307D3" w:rsidRDefault="00EA7ECF" w:rsidP="00C606D3">
      <w:pPr>
        <w:pStyle w:val="NormalBold"/>
        <w:keepNext/>
      </w:pPr>
      <w:r>
        <w:rPr>
          <w:rStyle w:val="HideTWBExt"/>
          <w:b w:val="0"/>
          <w:lang w:val="fr-FR"/>
        </w:rPr>
        <w:t>&lt;Article&gt;</w:t>
      </w:r>
      <w:r>
        <w:t>Artikel 13c – Absatz 1 – Buchstabe d (neu)</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26404D">
            <w:pPr>
              <w:pStyle w:val="Normal6a"/>
            </w:pPr>
            <w:r>
              <w:t xml:space="preserve"> </w:t>
            </w:r>
          </w:p>
        </w:tc>
        <w:tc>
          <w:tcPr>
            <w:tcW w:w="4876" w:type="dxa"/>
          </w:tcPr>
          <w:p w:rsidR="00C606D3" w:rsidRPr="005307D3" w:rsidRDefault="00EA7ECF" w:rsidP="0026404D">
            <w:pPr>
              <w:pStyle w:val="Normal6a"/>
              <w:rPr>
                <w:szCs w:val="24"/>
              </w:rPr>
            </w:pPr>
            <w:r>
              <w:rPr>
                <w:b/>
                <w:i/>
              </w:rPr>
              <w:t>d)</w:t>
            </w:r>
            <w:r>
              <w:rPr>
                <w:b/>
                <w:i/>
              </w:rPr>
              <w:tab/>
            </w:r>
            <w:r>
              <w:rPr>
                <w:b/>
                <w:bCs/>
                <w:i/>
                <w:iCs/>
              </w:rPr>
              <w:t>Umsetzung</w:t>
            </w:r>
            <w:r>
              <w:t xml:space="preserve"> </w:t>
            </w:r>
            <w:r>
              <w:rPr>
                <w:b/>
                <w:i/>
              </w:rPr>
              <w:t>digitaler Technologien und automatisierter Informationssysteme, etwa Übermittlung von SMS über Telefonnetze, um Unionsbürgern bei der</w:t>
            </w:r>
            <w:r>
              <w:rPr>
                <w:b/>
                <w:i/>
              </w:rPr>
              <w:t xml:space="preserve"> Einreise in ein Drittland wesentliche Kontaktdaten für konsularischen Schutz sowie in Krisensituationen Warnmeldungen zur Verfügung zu stellen;</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12</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w:t>
      </w:r>
      <w:r>
        <w:t>e Richtlinie</w:t>
      </w:r>
      <w:r>
        <w:rPr>
          <w:rStyle w:val="HideTWBExt"/>
          <w:b w:val="0"/>
          <w:lang w:val="pt-PT"/>
        </w:rPr>
        <w:t>&lt;/DocAmend&gt;</w:t>
      </w:r>
    </w:p>
    <w:p w:rsidR="00C606D3" w:rsidRPr="005307D3" w:rsidRDefault="00EA7ECF" w:rsidP="00C606D3">
      <w:pPr>
        <w:pStyle w:val="NormalBold"/>
        <w:keepNext/>
      </w:pPr>
      <w:r>
        <w:rPr>
          <w:rStyle w:val="HideTWBExt"/>
          <w:b w:val="0"/>
          <w:lang w:val="fr-FR"/>
        </w:rPr>
        <w:t>&lt;Article&gt;</w:t>
      </w:r>
      <w:r>
        <w:t>Artikel 16a – Absatz 1 – Buchstabe g (neu)</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26404D">
            <w:pPr>
              <w:pStyle w:val="Normal6a"/>
            </w:pPr>
            <w:r>
              <w:t xml:space="preserve"> </w:t>
            </w:r>
          </w:p>
        </w:tc>
        <w:tc>
          <w:tcPr>
            <w:tcW w:w="4876" w:type="dxa"/>
          </w:tcPr>
          <w:p w:rsidR="00C606D3" w:rsidRPr="005307D3" w:rsidRDefault="00EA7ECF" w:rsidP="0026404D">
            <w:pPr>
              <w:pStyle w:val="Normal6a"/>
              <w:rPr>
                <w:b/>
                <w:i/>
                <w:szCs w:val="24"/>
              </w:rPr>
            </w:pPr>
            <w:r>
              <w:rPr>
                <w:b/>
                <w:i/>
              </w:rPr>
              <w:t>g)</w:t>
            </w:r>
            <w:r>
              <w:rPr>
                <w:b/>
                <w:i/>
              </w:rPr>
              <w:tab/>
              <w:t xml:space="preserve">die Einhaltung der Bestimmungen in Artikel 13 Absatz 4 in Bezug auf die Registrierung und Benachrichtigung von Bürgern, </w:t>
            </w:r>
            <w:r>
              <w:rPr>
                <w:b/>
                <w:i/>
              </w:rPr>
              <w:t>die in Drittländer reisen oder sich dort aufhalten, zu gewährleisten;</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lastRenderedPageBreak/>
        <w:t>&lt;Amend&gt;</w:t>
      </w:r>
      <w:r>
        <w:t>Änderungsantrag</w:t>
      </w:r>
      <w:r>
        <w:tab/>
      </w:r>
      <w:r>
        <w:tab/>
      </w:r>
      <w:r>
        <w:rPr>
          <w:rStyle w:val="HideTWBExt"/>
          <w:b w:val="0"/>
          <w:lang w:val="pt-PT"/>
        </w:rPr>
        <w:t>&lt;NumAm&gt;</w:t>
      </w:r>
      <w:r>
        <w:t>13</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lang w:val="fr-FR"/>
        </w:rPr>
        <w:t>&lt;Article&gt;</w:t>
      </w:r>
      <w:r>
        <w:t>Artikel 16a – Absatz 6</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4B0D77">
            <w:pPr>
              <w:pStyle w:val="Normal6a"/>
            </w:pPr>
            <w:r>
              <w:t>(6)</w:t>
            </w:r>
            <w:r>
              <w:tab/>
              <w:t>Bei der Verarbeitung der in Absatz 5 genannten personenbezogenen Daten sorgen die zuständigen Behörden der Mitgliedstaaten und die Organe und Einrichtungen der Union für angemessene und spezifische Maßnahmen zu</w:t>
            </w:r>
            <w:r>
              <w:t>r Wahrung der Interessen der betroffenen Personen. Sie führen auch interne Strategien ein und treffen die erforderlichen technischen und organisatorischen Maßnahmen, um den unbefugten Zugriff auf diese personenbezogenen Daten und deren unbefugte Übermittlu</w:t>
            </w:r>
            <w:r>
              <w:t>ng zu verhindern.</w:t>
            </w:r>
          </w:p>
        </w:tc>
        <w:tc>
          <w:tcPr>
            <w:tcW w:w="4876" w:type="dxa"/>
          </w:tcPr>
          <w:p w:rsidR="00C606D3" w:rsidRPr="005307D3" w:rsidRDefault="00EA7ECF" w:rsidP="004B0D77">
            <w:pPr>
              <w:pStyle w:val="Normal6a"/>
              <w:rPr>
                <w:szCs w:val="24"/>
              </w:rPr>
            </w:pPr>
            <w:r>
              <w:t>(6)</w:t>
            </w:r>
            <w:r>
              <w:tab/>
              <w:t>Bei der Verarbeitung der in Absatz 5 genannten personenbezogenen Daten sorgen die zuständigen Behörden der Mitgliedstaaten und die Organe und Einrichtungen der Union für angemessene und spezifische Maßnahmen zur Wahrung der Interessen</w:t>
            </w:r>
            <w:r>
              <w:t xml:space="preserve"> </w:t>
            </w:r>
            <w:r>
              <w:rPr>
                <w:b/>
                <w:i/>
              </w:rPr>
              <w:t xml:space="preserve">und Rechte </w:t>
            </w:r>
            <w:r>
              <w:t>der betroffenen Personen. Sie führen auch interne Strategien ein und treffen die erforderlichen technischen und organisatorischen Maßnahmen, um den unbefugten Zugriff auf diese personenbezogenen Daten und deren unbefugte Übermittlung zu verhind</w:t>
            </w:r>
            <w:r>
              <w:t>ern.</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t>&lt;/Amend&gt;</w:t>
      </w:r>
    </w:p>
    <w:p w:rsidR="00C606D3" w:rsidRPr="005307D3" w:rsidRDefault="00EA7ECF" w:rsidP="00C606D3">
      <w:pPr>
        <w:pStyle w:val="AmNumberTabs"/>
        <w:keepNext/>
      </w:pPr>
      <w:r>
        <w:rPr>
          <w:rStyle w:val="HideTWBExt"/>
          <w:b w:val="0"/>
          <w:lang w:val="pt-PT"/>
        </w:rPr>
        <w:t>&lt;Amend&gt;</w:t>
      </w:r>
      <w:r>
        <w:t>Änderungsantrag</w:t>
      </w:r>
      <w:r>
        <w:tab/>
      </w:r>
      <w:r>
        <w:tab/>
      </w:r>
      <w:r>
        <w:rPr>
          <w:rStyle w:val="HideTWBExt"/>
          <w:b w:val="0"/>
          <w:lang w:val="pt-PT"/>
        </w:rPr>
        <w:t>&lt;NumAm&gt;</w:t>
      </w:r>
      <w:r>
        <w:t>14</w:t>
      </w:r>
      <w:r>
        <w:rPr>
          <w:rStyle w:val="HideTWBExt"/>
          <w:b w:val="0"/>
          <w:lang w:val="pt-PT"/>
        </w:rPr>
        <w:t>&lt;/NumAm&gt;</w:t>
      </w:r>
    </w:p>
    <w:p w:rsidR="00C606D3" w:rsidRPr="005307D3" w:rsidRDefault="00EA7ECF" w:rsidP="00C606D3">
      <w:pPr>
        <w:pStyle w:val="NormalBold12b"/>
        <w:keepNext/>
      </w:pPr>
      <w:r>
        <w:rPr>
          <w:rStyle w:val="HideTWBExt"/>
          <w:b w:val="0"/>
          <w:lang w:val="pt-PT"/>
        </w:rPr>
        <w:t>&lt;DocAmend&gt;</w:t>
      </w:r>
      <w:r>
        <w:t>Vorschlag für eine Richtlinie</w:t>
      </w:r>
      <w:r>
        <w:rPr>
          <w:rStyle w:val="HideTWBExt"/>
          <w:b w:val="0"/>
          <w:lang w:val="pt-PT"/>
        </w:rPr>
        <w:t>&lt;/DocAmend&gt;</w:t>
      </w:r>
    </w:p>
    <w:p w:rsidR="00C606D3" w:rsidRPr="005307D3" w:rsidRDefault="00EA7ECF" w:rsidP="00C606D3">
      <w:pPr>
        <w:pStyle w:val="NormalBold"/>
        <w:keepNext/>
      </w:pPr>
      <w:r>
        <w:rPr>
          <w:rStyle w:val="HideTWBExt"/>
          <w:b w:val="0"/>
          <w:lang w:val="fr-FR"/>
        </w:rPr>
        <w:t>&lt;Article&gt;</w:t>
      </w:r>
      <w:r>
        <w:t>Artikel 16b – Nummer 10</w:t>
      </w:r>
      <w:r>
        <w:rPr>
          <w:rStyle w:val="HideTWBExt"/>
          <w:b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0E5" w:rsidTr="0026404D">
        <w:trPr>
          <w:jc w:val="center"/>
        </w:trPr>
        <w:tc>
          <w:tcPr>
            <w:tcW w:w="9752" w:type="dxa"/>
            <w:gridSpan w:val="2"/>
          </w:tcPr>
          <w:p w:rsidR="00C606D3" w:rsidRPr="005307D3" w:rsidRDefault="00C606D3" w:rsidP="0026404D">
            <w:pPr>
              <w:keepNext/>
              <w:rPr>
                <w:lang w:val="fr-FR"/>
              </w:rPr>
            </w:pPr>
          </w:p>
        </w:tc>
      </w:tr>
      <w:tr w:rsidR="00DB10E5" w:rsidTr="0026404D">
        <w:trPr>
          <w:jc w:val="center"/>
        </w:trPr>
        <w:tc>
          <w:tcPr>
            <w:tcW w:w="4876" w:type="dxa"/>
          </w:tcPr>
          <w:p w:rsidR="00C606D3" w:rsidRPr="005307D3" w:rsidRDefault="00EA7ECF" w:rsidP="0026404D">
            <w:pPr>
              <w:pStyle w:val="AmColumnHeading"/>
              <w:keepNext/>
            </w:pPr>
            <w:r>
              <w:t>Vorschlag der Kommission</w:t>
            </w:r>
          </w:p>
        </w:tc>
        <w:tc>
          <w:tcPr>
            <w:tcW w:w="4876" w:type="dxa"/>
          </w:tcPr>
          <w:p w:rsidR="00C606D3" w:rsidRPr="005307D3" w:rsidRDefault="00EA7ECF" w:rsidP="0026404D">
            <w:pPr>
              <w:pStyle w:val="AmColumnHeading"/>
              <w:keepNext/>
            </w:pPr>
            <w:r>
              <w:t>Geänderter Text</w:t>
            </w:r>
          </w:p>
        </w:tc>
      </w:tr>
      <w:tr w:rsidR="00DB10E5" w:rsidTr="0026404D">
        <w:trPr>
          <w:jc w:val="center"/>
        </w:trPr>
        <w:tc>
          <w:tcPr>
            <w:tcW w:w="4876" w:type="dxa"/>
          </w:tcPr>
          <w:p w:rsidR="00C606D3" w:rsidRPr="005307D3" w:rsidRDefault="00EA7ECF" w:rsidP="004B0D77">
            <w:pPr>
              <w:pStyle w:val="Normal6a"/>
            </w:pPr>
            <w:r>
              <w:t>10.</w:t>
            </w:r>
            <w:r>
              <w:tab/>
              <w:t xml:space="preserve">In Artikel 19 wird </w:t>
            </w:r>
            <w:r>
              <w:t>folgender Absatz 3 angefügt:</w:t>
            </w:r>
          </w:p>
        </w:tc>
        <w:tc>
          <w:tcPr>
            <w:tcW w:w="4876" w:type="dxa"/>
          </w:tcPr>
          <w:p w:rsidR="00C606D3" w:rsidRPr="005307D3" w:rsidRDefault="00EA7ECF" w:rsidP="004B0D77">
            <w:pPr>
              <w:pStyle w:val="Normal6a"/>
              <w:rPr>
                <w:szCs w:val="24"/>
              </w:rPr>
            </w:pPr>
            <w:r>
              <w:t>10</w:t>
            </w:r>
            <w:r>
              <w:tab/>
              <w:t>In Artikel 19 wird folgender Absatz 3 angefügt:</w:t>
            </w:r>
          </w:p>
        </w:tc>
      </w:tr>
      <w:tr w:rsidR="00DB10E5" w:rsidTr="0026404D">
        <w:trPr>
          <w:jc w:val="center"/>
        </w:trPr>
        <w:tc>
          <w:tcPr>
            <w:tcW w:w="4876" w:type="dxa"/>
          </w:tcPr>
          <w:p w:rsidR="00C606D3" w:rsidRPr="005307D3" w:rsidRDefault="00EA7ECF" w:rsidP="004B0D77">
            <w:pPr>
              <w:pStyle w:val="Normal6a"/>
            </w:pPr>
            <w:r>
              <w:t>„(3)</w:t>
            </w:r>
            <w:r>
              <w:tab/>
              <w:t xml:space="preserve">Frühestens </w:t>
            </w:r>
            <w:r>
              <w:rPr>
                <w:b/>
                <w:i/>
              </w:rPr>
              <w:t>[acht</w:t>
            </w:r>
            <w:r>
              <w:t xml:space="preserve"> Jahre nach Ablauf der Frist für die Umsetzung der Änderungsrichtlinie] nimmt die Kommission eine Evaluierung dieser Richtlinie vor und legt dem Europäisc</w:t>
            </w:r>
            <w:r>
              <w:t>hen Parlament und dem Rat einen Bericht mit den wichtigsten Ergebnissen vor.</w:t>
            </w:r>
          </w:p>
        </w:tc>
        <w:tc>
          <w:tcPr>
            <w:tcW w:w="4876" w:type="dxa"/>
          </w:tcPr>
          <w:p w:rsidR="00C606D3" w:rsidRPr="005307D3" w:rsidRDefault="00EA7ECF" w:rsidP="004B0D77">
            <w:pPr>
              <w:pStyle w:val="Normal6a"/>
            </w:pPr>
            <w:r>
              <w:t>„(3)</w:t>
            </w:r>
            <w:r>
              <w:tab/>
              <w:t xml:space="preserve">Frühestens </w:t>
            </w:r>
            <w:r>
              <w:rPr>
                <w:b/>
                <w:i/>
              </w:rPr>
              <w:t>[fünf</w:t>
            </w:r>
            <w:r>
              <w:t xml:space="preserve"> Jahre nach Ablauf der Frist für die Umsetzung der Änderungsrichtlinie] nimmt die Kommission eine Evaluierung dieser Richtlinie vor und legt dem Europäischen </w:t>
            </w:r>
            <w:r>
              <w:t>Parlament und dem Rat einen Bericht mit den wichtigsten Ergebnissen vor.</w:t>
            </w:r>
          </w:p>
        </w:tc>
      </w:tr>
      <w:tr w:rsidR="00DB10E5" w:rsidTr="0026404D">
        <w:trPr>
          <w:jc w:val="center"/>
        </w:trPr>
        <w:tc>
          <w:tcPr>
            <w:tcW w:w="4876" w:type="dxa"/>
          </w:tcPr>
          <w:p w:rsidR="00C606D3" w:rsidRPr="005307D3" w:rsidRDefault="00EA7ECF" w:rsidP="0026404D">
            <w:pPr>
              <w:pStyle w:val="Normal6a"/>
            </w:pPr>
            <w:r>
              <w:t>Die Mitgliedstaaten stellen der Kommission die für die Ausarbeitung dieses Berichts erforderlichen Informationen zur Verfügung.</w:t>
            </w:r>
          </w:p>
        </w:tc>
        <w:tc>
          <w:tcPr>
            <w:tcW w:w="4876" w:type="dxa"/>
          </w:tcPr>
          <w:p w:rsidR="00C606D3" w:rsidRPr="005307D3" w:rsidRDefault="00EA7ECF" w:rsidP="0026404D">
            <w:pPr>
              <w:pStyle w:val="Normal6a"/>
            </w:pPr>
            <w:r>
              <w:t>Die Mitgliedstaaten stellen der Kommission die für die</w:t>
            </w:r>
            <w:r>
              <w:t xml:space="preserve"> Ausarbeitung dieses Berichts erforderlichen Informationen zur Verfügung.</w:t>
            </w:r>
          </w:p>
        </w:tc>
      </w:tr>
    </w:tbl>
    <w:p w:rsidR="00C606D3" w:rsidRPr="005307D3" w:rsidRDefault="00EA7ECF" w:rsidP="00C606D3">
      <w:pPr>
        <w:pStyle w:val="AmOrLang"/>
      </w:pPr>
      <w:r w:rsidRPr="005307D3">
        <w:t xml:space="preserve">Or. </w:t>
      </w:r>
      <w:r w:rsidRPr="005307D3">
        <w:rPr>
          <w:rStyle w:val="HideTWBExt"/>
          <w:rFonts w:eastAsiaTheme="majorEastAsia"/>
        </w:rPr>
        <w:t>&lt;Original&gt;</w:t>
      </w:r>
      <w:r w:rsidRPr="005307D3">
        <w:rPr>
          <w:rStyle w:val="HideTWBInt"/>
        </w:rPr>
        <w:t>{EN}</w:t>
      </w:r>
      <w:r w:rsidRPr="005307D3">
        <w:t>en</w:t>
      </w:r>
      <w:r w:rsidRPr="005307D3">
        <w:rPr>
          <w:rStyle w:val="HideTWBExt"/>
          <w:rFonts w:eastAsiaTheme="majorEastAsia"/>
        </w:rPr>
        <w:t>&lt;/Original&gt;</w:t>
      </w:r>
    </w:p>
    <w:p w:rsidR="00C606D3" w:rsidRPr="005307D3" w:rsidRDefault="00EA7ECF" w:rsidP="00C606D3">
      <w:r>
        <w:rPr>
          <w:rStyle w:val="HideTWBExt"/>
        </w:rPr>
        <w:lastRenderedPageBreak/>
        <w:t>&lt;/Amend&gt;</w:t>
      </w:r>
    </w:p>
    <w:p w:rsidR="00964E01" w:rsidRPr="00101420" w:rsidRDefault="00EA7ECF" w:rsidP="00EA7ECF">
      <w:r>
        <w:rPr>
          <w:rStyle w:val="HideTWBExt"/>
        </w:rPr>
        <w:t>&lt;/RepeatBlock-Amend&gt;</w:t>
      </w:r>
    </w:p>
    <w:sectPr w:rsidR="00964E01" w:rsidRPr="00101420" w:rsidSect="004463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A7ECF">
      <w:r>
        <w:separator/>
      </w:r>
    </w:p>
  </w:endnote>
  <w:endnote w:type="continuationSeparator" w:id="0">
    <w:p w:rsidR="00000000" w:rsidRDefault="00EA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101420" w:rsidRDefault="00EA7ECF" w:rsidP="00DA1D49">
    <w:pPr>
      <w:pStyle w:val="EPFooter"/>
    </w:pPr>
    <w:r w:rsidRPr="00101420">
      <w:t>PE</w:t>
    </w:r>
    <w:r w:rsidRPr="00101420">
      <w:rPr>
        <w:rStyle w:val="HideTWBExt"/>
      </w:rPr>
      <w:t>&lt;NoPE&gt;</w:t>
    </w:r>
    <w:r w:rsidR="00C606D3" w:rsidRPr="00C606D3">
      <w:t>759.050</w:t>
    </w:r>
    <w:r w:rsidRPr="00101420">
      <w:rPr>
        <w:rStyle w:val="HideTWBExt"/>
      </w:rPr>
      <w:t>&lt;/NoPE&gt;&lt;Version&gt;</w:t>
    </w:r>
    <w:r w:rsidR="00101420" w:rsidRPr="00101420">
      <w:t>v</w:t>
    </w:r>
    <w:r w:rsidR="00C606D3" w:rsidRPr="00C606D3">
      <w:t>01-00</w:t>
    </w:r>
    <w:r w:rsidRPr="00101420">
      <w:rPr>
        <w:rStyle w:val="HideTWBExt"/>
      </w:rPr>
      <w:t>&lt;/Version&gt;</w:t>
    </w:r>
    <w:r w:rsidRPr="00101420">
      <w:tab/>
    </w:r>
    <w:r w:rsidR="00F95C67" w:rsidRPr="00101420">
      <w:fldChar w:fldCharType="begin"/>
    </w:r>
    <w:r w:rsidR="00F95C67" w:rsidRPr="00101420">
      <w:instrText xml:space="preserve"> PAGE </w:instrText>
    </w:r>
    <w:r w:rsidR="00F95C67" w:rsidRPr="00101420">
      <w:fldChar w:fldCharType="separate"/>
    </w:r>
    <w:r>
      <w:rPr>
        <w:noProof/>
      </w:rPr>
      <w:t>6</w:t>
    </w:r>
    <w:r w:rsidR="00F95C67" w:rsidRPr="00101420">
      <w:fldChar w:fldCharType="end"/>
    </w:r>
    <w:r w:rsidR="00F95C67" w:rsidRPr="00101420">
      <w:t>/</w:t>
    </w:r>
    <w:r w:rsidR="00F95C67" w:rsidRPr="00101420">
      <w:rPr>
        <w:rStyle w:val="PageNumber"/>
      </w:rPr>
      <w:fldChar w:fldCharType="begin"/>
    </w:r>
    <w:r w:rsidR="00F95C67" w:rsidRPr="00101420">
      <w:rPr>
        <w:rStyle w:val="PageNumber"/>
      </w:rPr>
      <w:instrText xml:space="preserve"> NUMPAGES </w:instrText>
    </w:r>
    <w:r w:rsidR="00F95C67" w:rsidRPr="00101420">
      <w:rPr>
        <w:rStyle w:val="PageNumber"/>
      </w:rPr>
      <w:fldChar w:fldCharType="separate"/>
    </w:r>
    <w:r>
      <w:rPr>
        <w:rStyle w:val="PageNumber"/>
        <w:noProof/>
      </w:rPr>
      <w:t>14</w:t>
    </w:r>
    <w:r w:rsidR="00F95C67" w:rsidRPr="00101420">
      <w:rPr>
        <w:rStyle w:val="PageNumber"/>
      </w:rPr>
      <w:fldChar w:fldCharType="end"/>
    </w:r>
    <w:r w:rsidRPr="00101420">
      <w:tab/>
    </w:r>
    <w:r w:rsidRPr="00101420">
      <w:rPr>
        <w:rStyle w:val="HideTWBExt"/>
      </w:rPr>
      <w:t>&lt;PathFdR&gt;</w:t>
    </w:r>
    <w:r w:rsidR="00C606D3" w:rsidRPr="00C606D3">
      <w:t>PR\1296881DE.docx</w:t>
    </w:r>
    <w:r w:rsidRPr="00101420">
      <w:rPr>
        <w:rStyle w:val="HideTWBExt"/>
      </w:rPr>
      <w:t>&lt;/PathFdR&gt;</w:t>
    </w:r>
  </w:p>
  <w:p w:rsidR="00C7423A" w:rsidRPr="00101420" w:rsidRDefault="00EA7ECF">
    <w:pPr>
      <w:pStyle w:val="EPFooter2"/>
    </w:pPr>
    <w:r w:rsidRPr="00101420">
      <w:fldChar w:fldCharType="begin"/>
    </w:r>
    <w:r w:rsidRPr="00101420">
      <w:instrText xml:space="preserve"> DOCPROPERTY "&lt;Extension&gt;" </w:instrText>
    </w:r>
    <w:r w:rsidRPr="00101420">
      <w:fldChar w:fldCharType="separate"/>
    </w:r>
    <w:r>
      <w:t>DE</w:t>
    </w:r>
    <w:r w:rsidRPr="0010142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101420" w:rsidRDefault="00EA7ECF" w:rsidP="00DA1D49">
    <w:pPr>
      <w:pStyle w:val="EPFooter"/>
    </w:pPr>
    <w:r w:rsidRPr="00101420">
      <w:rPr>
        <w:rStyle w:val="HideTWBExt"/>
      </w:rPr>
      <w:t>&lt;PathFdR&gt;</w:t>
    </w:r>
    <w:r w:rsidR="00C606D3" w:rsidRPr="00C606D3">
      <w:t>PR\1296881DE.docx</w:t>
    </w:r>
    <w:r w:rsidRPr="00101420">
      <w:rPr>
        <w:rStyle w:val="HideTWBExt"/>
      </w:rPr>
      <w:t>&lt;/PathFdR&gt;</w:t>
    </w:r>
    <w:r w:rsidRPr="00101420">
      <w:tab/>
    </w:r>
    <w:r w:rsidR="00F95C67" w:rsidRPr="00101420">
      <w:fldChar w:fldCharType="begin"/>
    </w:r>
    <w:r w:rsidR="00F95C67" w:rsidRPr="00101420">
      <w:instrText xml:space="preserve"> PAGE </w:instrText>
    </w:r>
    <w:r w:rsidR="00F95C67" w:rsidRPr="00101420">
      <w:fldChar w:fldCharType="separate"/>
    </w:r>
    <w:r>
      <w:rPr>
        <w:noProof/>
      </w:rPr>
      <w:t>7</w:t>
    </w:r>
    <w:r w:rsidR="00F95C67" w:rsidRPr="00101420">
      <w:fldChar w:fldCharType="end"/>
    </w:r>
    <w:r w:rsidR="00F95C67" w:rsidRPr="00101420">
      <w:t>/</w:t>
    </w:r>
    <w:r w:rsidR="00F95C67" w:rsidRPr="00101420">
      <w:rPr>
        <w:rStyle w:val="PageNumber"/>
      </w:rPr>
      <w:fldChar w:fldCharType="begin"/>
    </w:r>
    <w:r w:rsidR="00F95C67" w:rsidRPr="00101420">
      <w:rPr>
        <w:rStyle w:val="PageNumber"/>
      </w:rPr>
      <w:instrText xml:space="preserve"> NUMPAGES </w:instrText>
    </w:r>
    <w:r w:rsidR="00F95C67" w:rsidRPr="00101420">
      <w:rPr>
        <w:rStyle w:val="PageNumber"/>
      </w:rPr>
      <w:fldChar w:fldCharType="separate"/>
    </w:r>
    <w:r>
      <w:rPr>
        <w:rStyle w:val="PageNumber"/>
        <w:noProof/>
      </w:rPr>
      <w:t>14</w:t>
    </w:r>
    <w:r w:rsidR="00F95C67" w:rsidRPr="00101420">
      <w:rPr>
        <w:rStyle w:val="PageNumber"/>
      </w:rPr>
      <w:fldChar w:fldCharType="end"/>
    </w:r>
    <w:r w:rsidRPr="00101420">
      <w:tab/>
      <w:t>PE</w:t>
    </w:r>
    <w:r w:rsidRPr="00101420">
      <w:rPr>
        <w:rStyle w:val="HideTWBExt"/>
      </w:rPr>
      <w:t>&lt;NoPE&gt;</w:t>
    </w:r>
    <w:r w:rsidR="00C606D3" w:rsidRPr="00C606D3">
      <w:t>759.050</w:t>
    </w:r>
    <w:r w:rsidRPr="00101420">
      <w:rPr>
        <w:rStyle w:val="HideTWBExt"/>
      </w:rPr>
      <w:t>&lt;/NoPE&gt;&lt;Version&gt;</w:t>
    </w:r>
    <w:r w:rsidR="00101420" w:rsidRPr="00101420">
      <w:t>v</w:t>
    </w:r>
    <w:r w:rsidR="00C606D3" w:rsidRPr="00C606D3">
      <w:t>01-00</w:t>
    </w:r>
    <w:r w:rsidRPr="00101420">
      <w:rPr>
        <w:rStyle w:val="HideTWBExt"/>
      </w:rPr>
      <w:t>&lt;/Version&gt;</w:t>
    </w:r>
  </w:p>
  <w:p w:rsidR="00C7423A" w:rsidRPr="00101420" w:rsidRDefault="00EA7ECF">
    <w:pPr>
      <w:pStyle w:val="EPFooter2"/>
    </w:pPr>
    <w:r w:rsidRPr="00101420">
      <w:tab/>
    </w:r>
    <w:r w:rsidRPr="00101420">
      <w:tab/>
    </w:r>
    <w:fldSimple w:instr=" DOCPROPERTY &quot;&lt;Extension&gt;&quot; ">
      <w:r>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23A" w:rsidRPr="00101420" w:rsidRDefault="00EA7ECF" w:rsidP="00DA1D49">
    <w:pPr>
      <w:pStyle w:val="EPFooter"/>
    </w:pPr>
    <w:r w:rsidRPr="00101420">
      <w:rPr>
        <w:rStyle w:val="HideTWBExt"/>
      </w:rPr>
      <w:t>&lt;PathFdR&gt;</w:t>
    </w:r>
    <w:r w:rsidR="00C606D3" w:rsidRPr="00C606D3">
      <w:t>PR\1296881DE.docx</w:t>
    </w:r>
    <w:r w:rsidRPr="00101420">
      <w:rPr>
        <w:rStyle w:val="HideTWBExt"/>
      </w:rPr>
      <w:t>&lt;/PathFdR&gt;</w:t>
    </w:r>
    <w:r w:rsidRPr="00101420">
      <w:tab/>
    </w:r>
    <w:r w:rsidRPr="00101420">
      <w:tab/>
      <w:t>PE</w:t>
    </w:r>
    <w:r w:rsidRPr="00101420">
      <w:rPr>
        <w:rStyle w:val="HideTWBExt"/>
      </w:rPr>
      <w:t>&lt;NoPE&gt;</w:t>
    </w:r>
    <w:r w:rsidR="00C606D3" w:rsidRPr="00C606D3">
      <w:t>759.050</w:t>
    </w:r>
    <w:r w:rsidRPr="00101420">
      <w:rPr>
        <w:rStyle w:val="HideTWBExt"/>
      </w:rPr>
      <w:t>&lt;/NoPE&gt;&lt;Version&gt;</w:t>
    </w:r>
    <w:r w:rsidR="00101420" w:rsidRPr="00101420">
      <w:t>v</w:t>
    </w:r>
    <w:r w:rsidR="00C606D3" w:rsidRPr="00C606D3">
      <w:t>01-00</w:t>
    </w:r>
    <w:r w:rsidRPr="00101420">
      <w:rPr>
        <w:rStyle w:val="HideTWBExt"/>
      </w:rPr>
      <w:t>&lt;/Version&gt;</w:t>
    </w:r>
  </w:p>
  <w:p w:rsidR="00C7423A" w:rsidRPr="00101420" w:rsidRDefault="00EA7ECF" w:rsidP="0036124C">
    <w:pPr>
      <w:pStyle w:val="EPFooter2"/>
      <w:tabs>
        <w:tab w:val="clear" w:pos="4535"/>
        <w:tab w:val="center" w:pos="4536"/>
      </w:tabs>
    </w:pPr>
    <w:r w:rsidRPr="00101420">
      <w:fldChar w:fldCharType="begin"/>
    </w:r>
    <w:r w:rsidRPr="00101420">
      <w:instrText xml:space="preserve"> DOCPROPERTY "&lt;Extension&gt;" </w:instrText>
    </w:r>
    <w:r w:rsidRPr="00101420">
      <w:fldChar w:fldCharType="separate"/>
    </w:r>
    <w:r>
      <w:t>DE</w:t>
    </w:r>
    <w:r w:rsidRPr="00101420">
      <w:fldChar w:fldCharType="end"/>
    </w:r>
    <w:r w:rsidRPr="00101420">
      <w:tab/>
    </w:r>
    <w:r w:rsidR="00C606D3">
      <w:rPr>
        <w:b w:val="0"/>
        <w:i/>
        <w:color w:val="C0C0C0"/>
        <w:sz w:val="22"/>
        <w:szCs w:val="22"/>
      </w:rPr>
      <w:t>In Vielfalt geeint</w:t>
    </w:r>
    <w:r w:rsidRPr="00101420">
      <w:tab/>
    </w:r>
    <w:r w:rsidRPr="00101420">
      <w:fldChar w:fldCharType="begin"/>
    </w:r>
    <w:r w:rsidRPr="00101420">
      <w:instrText xml:space="preserve"> DOCPROPERTY "&lt;Extension&gt;" </w:instrText>
    </w:r>
    <w:r w:rsidRPr="00101420">
      <w:fldChar w:fldCharType="separate"/>
    </w:r>
    <w:r>
      <w:t>DE</w:t>
    </w:r>
    <w:r w:rsidRPr="0010142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A7ECF">
      <w:r>
        <w:separator/>
      </w:r>
    </w:p>
  </w:footnote>
  <w:footnote w:type="continuationSeparator" w:id="0">
    <w:p w:rsidR="00000000" w:rsidRDefault="00EA7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6D3" w:rsidRDefault="00C606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6D3" w:rsidRDefault="00C606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6D3" w:rsidRDefault="00C606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LIBE"/>
    <w:docVar w:name="DOCMNU" w:val=" 2"/>
    <w:docVar w:name="LastEditedSection" w:val=" 1"/>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753328 HideTWBExt;}{\*\cs18 \additive \v\f1\fs20\cf15 _x000d__x000a_\spriority0 \styrsid3753328 HideTWBInt;}{\s19\ql \li0\ri0\sa120\nowidctlpar\wrapdefault\aspalpha\aspnum\faauto\adjustright\rin0\lin0\itap0 \rtlch\fcs1 \af0\afs20\alang1025 \ltrch\fcs0 \fs24\lang1031\langfe2057\cgrid\langnp1031\langfenp2057 _x000d__x000a_\sbasedon0 \snext19 \spriority0 \styrsid3753328 Normal6a;}{\s20\ql \li0\ri0\nowidctlpar\wrapdefault\aspalpha\aspnum\faauto\adjustright\rin0\lin0\itap0 \rtlch\fcs1 \af0\afs20\alang1025 \ltrch\fcs0 \b\fs24\lang1031\langfe2057\cgrid\langnp1031\langfenp2057 _x000d__x000a_\sbasedon0 \snext20 \spriority0 \styrsid3753328 NormalBold;}{\s21\ql \li0\ri0\sa240\nowidctlpar\wrapdefault\aspalpha\aspnum\faauto\adjustright\rin0\lin0\itap0 \rtlch\fcs1 \af0\afs20\alang1025 \ltrch\fcs0 _x000d__x000a_\i\fs24\lang1031\langfe2057\cgrid\langnp1031\langfenp2057 \sbasedon0 \snext21 \spriority0 \styrsid3753328 AmJustText;}{\s22\qc \li0\ri0\sb240\sa240\nowidctlpar\wrapdefault\aspalpha\aspnum\faauto\adjustright\rin0\lin0\itap0 \rtlch\fcs1 _x000d__x000a_\af0\afs20\alang1025 \ltrch\fcs0 \i\fs24\lang1031\langfe2057\cgrid\langnp1031\langfenp2057 \sbasedon0 \snext22 \spriority0 \styrsid3753328 AmCrossRef;}{_x000d__x000a_\s23\qc \li0\ri0\sb240\sa240\keepn\nowidctlpar\wrapdefault\aspalpha\aspnum\faauto\adjustright\rin0\lin0\itap0 \rtlch\fcs1 \af0\afs20\alang1025 \ltrch\fcs0 \i\fs24\lang1031\langfe2057\cgrid\langnp1031\langfenp2057 _x000d__x000a_\sbasedon0 \snext21 \spriority0 \styrsid3753328 AmJustTitle;}{\s24\qr \li0\ri0\sb240\sa240\nowidctlpar\wrapdefault\aspalpha\aspnum\faauto\adjustright\rin0\lin0\itap0 \rtlch\fcs1 \af0\afs20\alang1025 \ltrch\fcs0 _x000d__x000a_\fs24\lang1031\langfe2057\cgrid\langnp1031\langfenp2057 \sbasedon0 \snext24 \spriority0 \styrsid3753328 AmOrLang;}{\s25\qc \li0\ri0\sa240\nowidctlpar\wrapdefault\aspalpha\aspnum\faauto\adjustright\rin0\lin0\itap0 \rtlch\fcs1 \af0\afs20\alang1025 _x000d__x000a_\ltrch\fcs0 \i\fs24\lang1031\langfe2057\cgrid\langnp1031\langfenp2057 \sbasedon0 \snext25 \spriority0 \styrsid37533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3753328 AmNumberTabs;}{\s27\ql \li0\ri0\sb240\nowidctlpar\wrapdefault\aspalpha\aspnum\faauto\adjustright\rin0\lin0\itap0 \rtlch\fcs1 _x000d__x000a_\af0\afs20\alang1025 \ltrch\fcs0 \b\fs24\lang1031\langfe2057\cgrid\langnp1031\langfenp2057 \sbasedon0 \snext27 \spriority0 \styrsid3753328 NormalBold12b;}}{\*\rsidtbl \rsid24658\rsid223860\rsid735077\rsid1718133\rsid2825267\rsid2892074\rsid3565327_x000d__x000a_\rsid3753328\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UTSCH Christa}{\operator MUTSCH Christa}{\creatim\yr2024\mo3\dy6\hr11\min34}{\revtim\yr2024\mo3\dy6\hr11\min34}{\version1}{\edmins0}{\nofpages1}_x000d__x000a_{\nofwords51}{\nofchars651}{\nofcharsws69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753328\newtblstyruls\nogrowautofit\usenormstyforlist\noindnmbrts\felnbrelev\nocxsptable\indrlsweleven\noafcnsttbl\afelev\utinl\hwelev\spltpgpar\notcvasp\notbrkcnstfrctbl\notvatxbx\krnprsnet\cachedcolbal _x000d__x000a_\nouicompat \fet0{\*\wgrffmtfilter 013f}\nofeaturethrottle1\ilfomacatclnup0{\*\template C:\\Users\\cmutsch\\AppData\\Local\\Temp\\Blank1.dotx}{\*\ftnsep \ltrpar \pard\plain \ltrpar_x000d__x000a_\ql \li0\ri0\widctlpar\wrapdefault\aspalpha\aspnum\faauto\adjustright\rin0\lin0\itap0 \rtlch\fcs1 \af0\afs20\alang1025 \ltrch\fcs0 \fs24\lang2057\langfe2057\cgrid\langnp2057\langfenp2057 {\rtlch\fcs1 \af0 \ltrch\fcs0 \insrsid2825267 \chftnsep _x000d__x000a_\par }}{\*\ftnsepc \ltrpar \pard\plain \ltrpar\ql \li0\ri0\widctlpar\wrapdefault\aspalpha\aspnum\faauto\adjustright\rin0\lin0\itap0 \rtlch\fcs1 \af0\afs20\alang1025 \ltrch\fcs0 \fs24\lang2057\langfe2057\cgrid\langnp2057\langfenp2057 {\rtlch\fcs1 \af0 _x000d__x000a_\ltrch\fcs0 \insrsid2825267 \chftnsepc _x000d__x000a_\par }}{\*\aftnsep \ltrpar \pard\plain \ltrpar\ql \li0\ri0\widctlpar\wrapdefault\aspalpha\aspnum\faauto\adjustright\rin0\lin0\itap0 \rtlch\fcs1 \af0\afs20\alang1025 \ltrch\fcs0 \fs24\lang2057\langfe2057\cgrid\langnp2057\langfenp2057 {\rtlch\fcs1 \af0 _x000d__x000a_\ltrch\fcs0 \insrsid2825267 \chftnsep _x000d__x000a_\par }}{\*\aftnsepc \ltrpar \pard\plain \ltrpar\ql \li0\ri0\widctlpar\wrapdefault\aspalpha\aspnum\faauto\adjustright\rin0\lin0\itap0 \rtlch\fcs1 \af0\afs20\alang1025 \ltrch\fcs0 \fs24\lang2057\langfe2057\cgrid\langnp2057\langfenp2057 {\rtlch\fcs1 \af0 _x000d__x000a_\ltrch\fcs0 \insrsid28252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53328 \rtlch\fcs1 _x000d__x000a_\af0\afs20\alang1025 \ltrch\fcs0 \b\fs24\lang1031\langfe2057\cgrid\langnp1031\langfenp2057 {\rtlch\fcs1 \af0 \ltrch\fcs0 \cs17\b0\v\fs20\cf9\lang1024\langfe1024\loch\af1\hich\af1\dbch\af31501\noproof\insrsid3753328\charrsid1053728 {\*\bkmkstart restart}_x000d__x000a_\hich\af1\dbch\af31501\loch\f1 &lt;Amend&gt;}{\rtlch\fcs1 \af0 \ltrch\fcs0 \insrsid3753328\charrsid1053728 \'c4nderungsantrag\tab \tab }{\rtlch\fcs1 \af0 \ltrch\fcs0 _x000d__x000a_\cs17\b0\v\fs20\cf9\lang1024\langfe1024\loch\af1\hich\af1\dbch\af31501\noproof\insrsid3753328\charrsid1053728 \hich\af1\dbch\af31501\loch\f1 &lt;NumAm&gt;}{\rtlch\fcs1 \af0 \ltrch\fcs0 \insrsid3753328\charrsid1053728 #}{\rtlch\fcs1 \af1 \ltrch\fcs0 _x000d__x000a_\cs18\v\f1\fs20\cf15\insrsid3753328\charrsid1053728 ENMIENDA@NRAM@}{\rtlch\fcs1 \af0 \ltrch\fcs0 \insrsid3753328\charrsid1053728 #}{\rtlch\fcs1 \af0 \ltrch\fcs0 _x000d__x000a_\cs17\b0\v\fs20\cf9\lang1024\langfe1024\loch\af1\hich\af1\dbch\af31501\noproof\insrsid3753328\charrsid1053728 \hich\af1\dbch\af31501\loch\f1 &lt;/NumAm&gt;}{\rtlch\fcs1 \af0 \ltrch\fcs0 \insrsid3753328\charrsid1053728 _x000d__x000a_\par }\pard\plain \ltrpar\s27\ql \li0\ri0\sb240\keepn\nowidctlpar\wrapdefault\aspalpha\aspnum\faauto\adjustright\rin0\lin0\itap0\pararsid3753328 \rtlch\fcs1 \af0\afs20\alang1025 \ltrch\fcs0 \b\fs24\lang1031\langfe2057\cgrid\langnp1031\langfenp2057 {_x000d__x000a_\rtlch\fcs1 \af0 \ltrch\fcs0 \cs17\b0\v\fs20\cf9\lang1024\langfe1024\loch\af1\hich\af1\dbch\af31501\noproof\insrsid3753328\charrsid1053728 \hich\af1\dbch\af31501\loch\f1 &lt;DocAmend&gt;}{\rtlch\fcs1 \af0 \ltrch\fcs0 \insrsid3753328\charrsid1053728 #}{_x000d__x000a_\rtlch\fcs1 \af1 \ltrch\fcs0 \cs18\v\f1\fs20\cf15\insrsid3753328\charrsid1053728 MNU[TITLE1][TITLE2][TITLE3]@CHOICE@TITLEMNU}{\rtlch\fcs1 \af0 \ltrch\fcs0 \insrsid3753328\charrsid1053728 ##}{\rtlch\fcs1 \af1 \ltrch\fcs0 _x000d__x000a_\cs18\v\f1\fs20\cf15\insrsid3753328\charrsid1053728 MNU[AMACTYES][NOTAPP]@CHOICE@AMACTMNU}{\rtlch\fcs1 \af0 \ltrch\fcs0 \insrsid3753328\charrsid1053728 #}{\rtlch\fcs1 \af0 \ltrch\fcs0 _x000d__x000a_\cs17\b0\v\fs20\cf9\lang1024\langfe1024\loch\af1\hich\af1\dbch\af31501\noproof\insrsid3753328\charrsid1053728 \hich\af1\dbch\af31501\loch\f1 &lt;/DocAmend&gt;}{\rtlch\fcs1 \af0 \ltrch\fcs0 \insrsid3753328\charrsid1053728 _x000d__x000a_\par }\pard\plain \ltrpar\s20\ql \li0\ri0\keepn\nowidctlpar\wrapdefault\aspalpha\aspnum\faauto\adjustright\rin0\lin0\itap0\pararsid3753328 \rtlch\fcs1 \af0\afs20\alang1025 \ltrch\fcs0 \b\fs24\lang1031\langfe2057\cgrid\langnp1031\langfenp2057 {\rtlch\fcs1 \af0 _x000d__x000a_\ltrch\fcs0 \cs17\b0\v\fs20\cf9\lang1024\langfe1024\loch\af1\hich\af1\dbch\af31501\noproof\insrsid3753328\charrsid1053728 \hich\af1\dbch\af31501\loch\f1 &lt;Article&gt;}{\rtlch\fcs1 \af0 \ltrch\fcs0 \insrsid3753328\charrsid1053728 #}{\rtlch\fcs1 \af1 _x000d__x000a_\ltrch\fcs0 \cs18\v\f1\fs20\cf15\insrsid3753328\charrsid1053728 MNU[AMACTPARTYES][AMACTPARTNO]@CHOICE@AMACTMNU}{\rtlch\fcs1 \af0 \ltrch\fcs0 \insrsid3753328\charrsid1053728 #}{\rtlch\fcs1 \af0 \ltrch\fcs0 _x000d__x000a_\cs17\b0\v\fs20\cf9\lang1024\langfe1024\loch\af1\hich\af1\dbch\af31501\noproof\insrsid3753328\charrsid1053728 \hich\af1\dbch\af31501\loch\f1 &lt;/Article&gt;}{\rtlch\fcs1 \af0 \ltrch\fcs0 \insrsid3753328\charrsid1053728 _x000d__x000a_\par }\pard\plain \ltrpar\ql \li0\ri0\keepn\widctlpar\wrapdefault\aspalpha\aspnum\faauto\adjustright\rin0\lin0\itap0\pararsid3753328 \rtlch\fcs1 \af0\afs20\alang1025 \ltrch\fcs0 \fs24\lang2057\langfe2057\cgrid\langnp2057\langfenp2057 {\rtlch\fcs1 \af0 _x000d__x000a_\ltrch\fcs0 \cs17\v\fs20\cf9\lang1024\langfe1024\loch\af1\hich\af1\dbch\af31501\noproof\langnp1031\insrsid3753328\charrsid1053728 \hich\af1\dbch\af31501\loch\f1 &lt;DocAmend2&gt;&lt;OptDel&gt;}{\rtlch\fcs1 \af0 \ltrch\fcs0 _x000d__x000a_\lang1031\langfe2057\langnp1031\insrsid3753328\charrsid1053728 #}{\rtlch\fcs1 \af1 \ltrch\fcs0 \cs18\v\f1\fs20\cf15\lang1031\langfe2057\langnp1031\insrsid3753328\charrsid1053728 MNU[OPTNRACTYES][NOTAPP]@CHOICE@AMACTMNU}{\rtlch\fcs1 \af0 \ltrch\fcs0 _x000d__x000a_\lang1031\langfe2057\langnp1031\insrsid3753328\charrsid1053728 #}{\rtlch\fcs1 \af0 \ltrch\fcs0 \cs17\v\fs20\cf9\lang1024\langfe1024\loch\af1\hich\af1\dbch\af31501\noproof\langnp1031\insrsid3753328\charrsid1053728 \hich\af1\dbch\af31501\loch\f1 _x000d__x000a_&lt;/OptDel&gt;&lt;/DocAmend2&gt;}{\rtlch\fcs1 \af0 \ltrch\fcs0 \lang1031\langfe2057\langnp1031\insrsid3753328\charrsid1053728 _x000d__x000a_\par }\pard \ltrpar\ql \li0\ri0\widctlpar\wrapdefault\aspalpha\aspnum\faauto\adjustright\rin0\lin0\itap0\pararsid3753328 {\rtlch\fcs1 \af0 \ltrch\fcs0 _x000d__x000a_\cs17\v\fs20\cf9\lang1024\langfe1024\loch\af1\hich\af1\dbch\af31501\noproof\langnp1031\insrsid3753328\charrsid1053728 \hich\af1\dbch\af31501\loch\f1 &lt;Article2&gt;&lt;OptDel&gt;}{\rtlch\fcs1 \af0 \ltrch\fcs0 _x000d__x000a_\lang1031\langfe2057\langnp1031\insrsid3753328\charrsid1053728 #}{\rtlch\fcs1 \af1 \ltrch\fcs0 \cs18\v\f1\fs20\cf15\lang1031\langfe2057\langnp1031\insrsid3753328\charrsid1053728 MNU[OPTACTPARTYES][NOTAPP]@CHOICE@AMACTMNU}{\rtlch\fcs1 \af0 \ltrch\fcs0 _x000d__x000a_\lang1031\langfe2057\langnp1031\insrsid3753328\charrsid1053728 #}{\rtlch\fcs1 \af0 \ltrch\fcs0 \cs17\v\fs20\cf9\lang1024\langfe1024\loch\af1\hich\af1\dbch\af31501\noproof\langnp1031\insrsid3753328\charrsid1053728 \hich\af1\dbch\af31501\loch\f1 _x000d__x000a_&lt;/OptDel&gt;&lt;/Article2&gt;}{\rtlch\fcs1 \af0 \ltrch\fcs0 \lang1031\langfe2057\langnp1031\insrsid3753328\charrsid1053728 _x000d__x000a_\par \ltrrow}\trowd \irow0\irowband0\ltrrow\ts11\trqc\trgaph340\trleft0\trftsWidth3\trwWidth9752\trftsWidthB3\trpaddl340\trpaddr340\trpaddfl3\trpaddft3\trpaddfb3\trpaddfr3\tblrsid9850369\tblind0\tblindtype3 \clvertalt\clbrdrt\brdrtbl \clbrdrl\brdrtbl \clbrdrb_x000d__x000a_\brdrtbl \clbrdrr\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lang1031\langfe2057\langnp1031\insrsid3753328\charrsid1053728 \cell }\pard\plain \ltrpar_x000d__x000a_\ql \li0\ri0\widctlpar\intbl\wrapdefault\aspalpha\aspnum\faauto\adjustright\rin0\lin0 \rtlch\fcs1 \af0\afs20\alang1025 \ltrch\fcs0 \fs24\lang2057\langfe2057\cgrid\langnp2057\langfenp2057 {\rtlch\fcs1 \af0 \ltrch\fcs0 _x000d__x000a_\lang1031\langfe2057\langnp1031\insrsid3753328\charrsid1053728 \trowd \irow0\irowband0\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1031\langfe2057\cgrid\langnp1031\langfenp2057 {\rtlch\fcs1 \af0 \ltrch\fcs0 _x000d__x000a_\insrsid3753328\charrsid1053728 #}{\rtlch\fcs1 \af1 \ltrch\fcs0 \cs18\v\f1\fs20\cf15\insrsid3753328\charrsid1053728 MNU[OPTLEFTAMACT][LEFTPROP]@CHOICE@AMACTMNU}{\rtlch\fcs1 \af0 \ltrch\fcs0 \insrsid3753328\charrsid1053728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3753328\charrsid1053728 \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1031\langfe2057\cgrid\langnp1031\langfenp2057 {\rtlch\fcs1 \af0 \ltrch\fcs0 _x000d__x000a_\insrsid3753328\charrsid1053728 ##\cell ##}{\rtlch\fcs1 \af0\afs24 \ltrch\fcs0 \insrsid3753328\charrsid1053728 \cell }\pard\plain \ltrpar\ql \li0\ri0\widctlpar\intbl\wrapdefault\aspalpha\aspnum\faauto\adjustright\rin0\lin0 \rtlch\fcs1 _x000d__x000a_\af0\afs20\alang1025 \ltrch\fcs0 \fs24\lang2057\langfe2057\cgrid\langnp2057\langfenp2057 {\rtlch\fcs1 \af0 \ltrch\fcs0 \lang1031\langfe2057\langnp1031\insrsid3753328\charrsid1053728 \trowd \irow2\irowband2\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753328 \rtlch\fcs1 \af0\afs20\alang1025 \ltrch\fcs0 \fs24\lang1031\langfe2057\cgrid\langnp1031\langfenp2057 {\rtlch\fcs1 \af0 \ltrch\fcs0 _x000d__x000a_\insrsid3753328\charrsid1053728 Or. }{\rtlch\fcs1 \af0 \ltrch\fcs0 \cs17\v\fs20\cf9\lang1024\langfe1024\loch\af1\hich\af1\dbch\af31501\noproof\insrsid3753328\charrsid1053728 \hich\af1\dbch\af31501\loch\f1 &lt;Original&gt;}{\rtlch\fcs1 \af0 \ltrch\fcs0 _x000d__x000a_\insrsid3753328\charrsid1053728 #}{\rtlch\fcs1 \af1 \ltrch\fcs0 \cs18\v\f1\fs20\cf15\insrsid3753328\charrsid1053728 MNU[ORLANGONE][ORLANGMORE]@CHOICE@ORLANGMNU}{\rtlch\fcs1 \af0 \ltrch\fcs0 \insrsid3753328\charrsid1053728 #}{\rtlch\fcs1 \af0 \ltrch\fcs0 _x000d__x000a_\cs17\v\fs20\cf9\lang1024\langfe1024\loch\af1\hich\af1\dbch\af31501\noproof\insrsid3753328\charrsid1053728 \hich\af1\dbch\af31501\loch\f1 &lt;/Original&gt;}{\rtlch\fcs1 \af0 \ltrch\fcs0 \insrsid3753328\charrsid1053728 _x000d__x000a_\par }\pard\plain \ltrpar\s22\qc \li0\ri0\sb240\sa240\nowidctlpar\wrapdefault\aspalpha\aspnum\faauto\adjustright\rin0\lin0\itap0\pararsid3753328 \rtlch\fcs1 \af0\afs20\alang1025 \ltrch\fcs0 \i\fs24\lang1031\langfe2057\cgrid\langnp1031\langfenp2057 {_x000d__x000a_\rtlch\fcs1 \af0 \ltrch\fcs0 \cs17\i0\v\fs20\cf9\lang1024\langfe1024\loch\af1\hich\af1\dbch\af31501\noproof\insrsid3753328\charrsid1053728 \hich\af1\dbch\af31501\loch\f1 &lt;OptDel&gt;}{\rtlch\fcs1 \af0 \ltrch\fcs0 \insrsid3753328\charrsid1053728 #}{_x000d__x000a_\rtlch\fcs1 \af1 \ltrch\fcs0 \cs18\v\f1\fs20\cf15\insrsid3753328\charrsid1053728 MNU[CROSSREFNO][CROSSREFYES]@CHOICE@}{\rtlch\fcs1 \af0 \ltrch\fcs0 \insrsid3753328\charrsid1053728 #}{\rtlch\fcs1 \af0 \ltrch\fcs0 _x000d__x000a_\cs17\i0\v\fs20\cf9\lang1024\langfe1024\loch\af1\hich\af1\dbch\af31501\noproof\insrsid3753328\charrsid1053728 \hich\af1\dbch\af31501\loch\f1 &lt;/OptDel&gt;}{\rtlch\fcs1 \af0 \ltrch\fcs0 \insrsid3753328\charrsid1053728 _x000d__x000a_\par }\pard\plain \ltrpar\s23\qc \li0\ri0\sb240\sa240\keepn\nowidctlpar\wrapdefault\aspalpha\aspnum\faauto\adjustright\rin0\lin0\itap0\pararsid3753328 \rtlch\fcs1 \af0\afs20\alang1025 \ltrch\fcs0 \i\fs24\lang1031\langfe2057\cgrid\langnp1031\langfenp2057 {_x000d__x000a_\rtlch\fcs1 \af0 \ltrch\fcs0 \cs17\i0\v\fs20\cf9\lang1024\langfe1024\loch\af1\hich\af1\dbch\af31501\noproof\insrsid3753328\charrsid1053728 \hich\af1\dbch\af31501\loch\f1 &lt;TitreJust&gt;}{\rtlch\fcs1 \af0 \ltrch\fcs0 \insrsid3753328\charrsid1053728 Begr\'fc_x000d__x000a_ndung}{\rtlch\fcs1 \af0 \ltrch\fcs0 \cs17\i0\v\fs20\cf9\lang1024\langfe1024\loch\af1\hich\af1\dbch\af31501\noproof\insrsid3753328\charrsid1053728 \hich\af1\dbch\af31501\loch\f1 &lt;/TitreJust&gt;}{\rtlch\fcs1 \af0 \ltrch\fcs0 \insrsid3753328\charrsid1053728 _x000d__x000a__x000d__x000a_\par }\pard\plain \ltrpar\s21\ql \li0\ri0\sa240\nowidctlpar\wrapdefault\aspalpha\aspnum\faauto\adjustright\rin0\lin0\itap0\pararsid3753328 \rtlch\fcs1 \af0\afs20\alang1025 \ltrch\fcs0 \i\fs24\lang1031\langfe2057\cgrid\langnp1031\langfenp2057 {\rtlch\fcs1 \af0 _x000d__x000a_\ltrch\fcs0 \cs17\i0\v\fs20\cf9\lang1024\langfe1024\loch\af1\hich\af1\dbch\af31501\noproof\insrsid3753328\charrsid1053728 \hich\af1\dbch\af31501\loch\f1 &lt;OptDelPrev&gt;}{\rtlch\fcs1 \af0 \ltrch\fcs0 \insrsid3753328\charrsid1053728 #}{\rtlch\fcs1 \af1 _x000d__x000a_\ltrch\fcs0 \cs18\v\f1\fs20\cf15\insrsid3753328\charrsid1053728 MNU[TEXTJUSTYES][TEXTJUSTNO]@CHOICE@}{\rtlch\fcs1 \af0 \ltrch\fcs0 \insrsid3753328\charrsid1053728 #}{\rtlch\fcs1 \af0 \ltrch\fcs0 _x000d__x000a_\cs17\i0\v\fs20\cf9\lang1024\langfe1024\loch\af1\hich\af1\dbch\af31501\noproof\insrsid3753328\charrsid1053728 \hich\af1\dbch\af31501\loch\f1 &lt;/OptDelPrev&gt;}{\rtlch\fcs1 \af0 \ltrch\fcs0 \insrsid3753328\charrsid1053728 _x000d__x000a_\par }\pard\plain \ltrpar\ql \li0\ri0\widctlpar\wrapdefault\aspalpha\aspnum\faauto\adjustright\rin0\lin0\itap0\pararsid3753328 \rtlch\fcs1 \af0\afs20\alang1025 \ltrch\fcs0 \fs24\lang2057\langfe2057\cgrid\langnp2057\langfenp2057 {\rtlch\fcs1 \af0 \ltrch\fcs0 _x000d__x000a_\cs17\v\fs20\cf9\lang1024\langfe1024\loch\af1\hich\af1\dbch\af31501\noproof\langnp1031\insrsid3753328\charrsid105372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f_x000d__x000a_9bdcb16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296"/>
    <w:docVar w:name="TITLEMNU" w:val=" 1"/>
    <w:docVar w:name="TXTLANGUE" w:val="DE"/>
    <w:docVar w:name="TXTLANGUEMIN" w:val="de"/>
    <w:docVar w:name="TXTNRC" w:val="0015/2024"/>
    <w:docVar w:name="TXTNRCNS" w:val="2023/0441"/>
    <w:docVar w:name="TXTNRCOM" w:val="(2023)0930"/>
    <w:docVar w:name="TXTNRPE" w:val="759.050"/>
    <w:docVar w:name="TXTPEorAP" w:val="PE"/>
    <w:docVar w:name="TXTROUTE" w:val="PR\1296881DE.docx"/>
    <w:docVar w:name="TXTTITLE" w:val="amending Directive (EU) 2015/637 on the coordination and cooperation measures to facilitate consular protection for unrepresented citizens of the Union in third countries and Directive (EU) 2019/997 establishing an EU Emergency Travel Document"/>
    <w:docVar w:name="TXTVERSION" w:val="01-00"/>
  </w:docVars>
  <w:rsids>
    <w:rsidRoot w:val="00101420"/>
    <w:rsid w:val="00001657"/>
    <w:rsid w:val="00012D44"/>
    <w:rsid w:val="00017134"/>
    <w:rsid w:val="00041F5F"/>
    <w:rsid w:val="000545E6"/>
    <w:rsid w:val="00064FF0"/>
    <w:rsid w:val="000B0781"/>
    <w:rsid w:val="000C3AE7"/>
    <w:rsid w:val="000E6E7C"/>
    <w:rsid w:val="00101420"/>
    <w:rsid w:val="00104A42"/>
    <w:rsid w:val="001255AA"/>
    <w:rsid w:val="00127453"/>
    <w:rsid w:val="00144FDA"/>
    <w:rsid w:val="00187D09"/>
    <w:rsid w:val="001B71C2"/>
    <w:rsid w:val="001D0944"/>
    <w:rsid w:val="001E2509"/>
    <w:rsid w:val="00231EA7"/>
    <w:rsid w:val="0026404D"/>
    <w:rsid w:val="00281103"/>
    <w:rsid w:val="00294FD8"/>
    <w:rsid w:val="002A29C9"/>
    <w:rsid w:val="002C0EBF"/>
    <w:rsid w:val="00304041"/>
    <w:rsid w:val="00331F0D"/>
    <w:rsid w:val="0036124C"/>
    <w:rsid w:val="0039667E"/>
    <w:rsid w:val="003A0908"/>
    <w:rsid w:val="003B167A"/>
    <w:rsid w:val="00420FCD"/>
    <w:rsid w:val="00422BB2"/>
    <w:rsid w:val="004463B3"/>
    <w:rsid w:val="00451F3E"/>
    <w:rsid w:val="004B0D77"/>
    <w:rsid w:val="004D6439"/>
    <w:rsid w:val="004E281B"/>
    <w:rsid w:val="0052423B"/>
    <w:rsid w:val="005307D3"/>
    <w:rsid w:val="00532972"/>
    <w:rsid w:val="005536D9"/>
    <w:rsid w:val="00577F68"/>
    <w:rsid w:val="005A17F6"/>
    <w:rsid w:val="005A376D"/>
    <w:rsid w:val="005B15A7"/>
    <w:rsid w:val="005E2AAB"/>
    <w:rsid w:val="00621CA3"/>
    <w:rsid w:val="00647A3C"/>
    <w:rsid w:val="006614C5"/>
    <w:rsid w:val="00662DA9"/>
    <w:rsid w:val="0069092A"/>
    <w:rsid w:val="006A2838"/>
    <w:rsid w:val="006B71FF"/>
    <w:rsid w:val="00710CE7"/>
    <w:rsid w:val="007152AF"/>
    <w:rsid w:val="00756663"/>
    <w:rsid w:val="0076354C"/>
    <w:rsid w:val="0076430D"/>
    <w:rsid w:val="00786740"/>
    <w:rsid w:val="007A0D9F"/>
    <w:rsid w:val="007C041E"/>
    <w:rsid w:val="007E0E57"/>
    <w:rsid w:val="007E7620"/>
    <w:rsid w:val="00814D5D"/>
    <w:rsid w:val="00817843"/>
    <w:rsid w:val="00817C1B"/>
    <w:rsid w:val="0082574B"/>
    <w:rsid w:val="00852493"/>
    <w:rsid w:val="00861888"/>
    <w:rsid w:val="00865B7A"/>
    <w:rsid w:val="008707DB"/>
    <w:rsid w:val="00894923"/>
    <w:rsid w:val="008B06AE"/>
    <w:rsid w:val="00913305"/>
    <w:rsid w:val="00956AEB"/>
    <w:rsid w:val="00964E01"/>
    <w:rsid w:val="00972165"/>
    <w:rsid w:val="009C6A9F"/>
    <w:rsid w:val="00A225F3"/>
    <w:rsid w:val="00A365AD"/>
    <w:rsid w:val="00A5505B"/>
    <w:rsid w:val="00AA2E6C"/>
    <w:rsid w:val="00AD4DC5"/>
    <w:rsid w:val="00AD6272"/>
    <w:rsid w:val="00AE2868"/>
    <w:rsid w:val="00AE7353"/>
    <w:rsid w:val="00B35338"/>
    <w:rsid w:val="00B410F4"/>
    <w:rsid w:val="00B57D64"/>
    <w:rsid w:val="00B73F43"/>
    <w:rsid w:val="00B77F8A"/>
    <w:rsid w:val="00B85286"/>
    <w:rsid w:val="00B90B7F"/>
    <w:rsid w:val="00BD0A00"/>
    <w:rsid w:val="00C21D15"/>
    <w:rsid w:val="00C606D3"/>
    <w:rsid w:val="00C7423A"/>
    <w:rsid w:val="00C84779"/>
    <w:rsid w:val="00C85D0F"/>
    <w:rsid w:val="00CB1C53"/>
    <w:rsid w:val="00CC6A2B"/>
    <w:rsid w:val="00D431C0"/>
    <w:rsid w:val="00D44372"/>
    <w:rsid w:val="00D77850"/>
    <w:rsid w:val="00DA1D49"/>
    <w:rsid w:val="00DB0E0E"/>
    <w:rsid w:val="00DB10E5"/>
    <w:rsid w:val="00DB535D"/>
    <w:rsid w:val="00DC4160"/>
    <w:rsid w:val="00E36DAF"/>
    <w:rsid w:val="00E516F6"/>
    <w:rsid w:val="00E57F50"/>
    <w:rsid w:val="00E97E7F"/>
    <w:rsid w:val="00EA7ECF"/>
    <w:rsid w:val="00EC6DCB"/>
    <w:rsid w:val="00EF03A3"/>
    <w:rsid w:val="00F00E42"/>
    <w:rsid w:val="00F24C34"/>
    <w:rsid w:val="00F27170"/>
    <w:rsid w:val="00F2779A"/>
    <w:rsid w:val="00F27944"/>
    <w:rsid w:val="00F54D75"/>
    <w:rsid w:val="00F95C67"/>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54B2FD-FFDE-43B8-9B63-A2183E5B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C606D3"/>
    <w:pPr>
      <w:tabs>
        <w:tab w:val="right" w:pos="454"/>
        <w:tab w:val="left" w:pos="737"/>
      </w:tabs>
      <w:ind w:left="737" w:hanging="737"/>
    </w:pPr>
    <w:rPr>
      <w:snapToGrid w:val="0"/>
      <w:sz w:val="18"/>
      <w:lang w:eastAsia="en-US"/>
    </w:rPr>
  </w:style>
  <w:style w:type="paragraph" w:customStyle="1" w:styleId="Lgendetitre">
    <w:name w:val="Légende titre"/>
    <w:basedOn w:val="Normal"/>
    <w:rsid w:val="00C606D3"/>
    <w:pPr>
      <w:spacing w:before="240" w:after="240"/>
    </w:pPr>
    <w:rPr>
      <w:b/>
      <w:i/>
      <w:snapToGrid w:val="0"/>
      <w:lang w:eastAsia="en-US"/>
    </w:rPr>
  </w:style>
  <w:style w:type="paragraph" w:customStyle="1" w:styleId="Lgendestandard">
    <w:name w:val="Légende standard"/>
    <w:basedOn w:val="Normal"/>
    <w:rsid w:val="00C606D3"/>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BEDE6-3FC2-4BAD-B743-4D22BF77A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3223</Words>
  <Characters>18376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21556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MUTSCH Christa</dc:creator>
  <cp:lastModifiedBy>MUTSCH Christa</cp:lastModifiedBy>
  <cp:revision>2</cp:revision>
  <cp:lastPrinted>2005-10-13T14:57:00Z</cp:lastPrinted>
  <dcterms:created xsi:type="dcterms:W3CDTF">2024-03-18T13:43:00Z</dcterms:created>
  <dcterms:modified xsi:type="dcterms:W3CDTF">2024-03-18T13:43:00Z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1296881</vt:lpwstr>
  </property>
  <property fmtid="{D5CDD505-2E9C-101B-9397-08002B2CF9AE}" pid="4" name="&lt;Model&gt;">
    <vt:lpwstr>PR_CNS_LegAct_am</vt:lpwstr>
  </property>
  <property fmtid="{D5CDD505-2E9C-101B-9397-08002B2CF9AE}" pid="5" name="&lt;ModelCod&gt;">
    <vt:lpwstr>\\eiciLUXpr1\pdocep$\DocEP\DOCS\General\PR\PR_Leg\CNS\CNS_LegAct\PR_CNS_LegAct_am.dotx(17/04/2020 18:27:11)</vt:lpwstr>
  </property>
  <property fmtid="{D5CDD505-2E9C-101B-9397-08002B2CF9AE}" pid="6" name="&lt;ModelTra&gt;">
    <vt:lpwstr>\\eiciLUXpr1\pdocep$\DocEP\TRANSFIL\DE\PR_CNS_LegAct_am.DE(29/06/2022 09:21:07)</vt:lpwstr>
  </property>
  <property fmtid="{D5CDD505-2E9C-101B-9397-08002B2CF9AE}" pid="7" name="&lt;Type&gt;">
    <vt:lpwstr>PR</vt:lpwstr>
  </property>
  <property fmtid="{D5CDD505-2E9C-101B-9397-08002B2CF9AE}" pid="8" name="Created with">
    <vt:lpwstr>9.17.2 Build [20240212]</vt:lpwstr>
  </property>
  <property fmtid="{D5CDD505-2E9C-101B-9397-08002B2CF9AE}" pid="9" name="FooterPath">
    <vt:lpwstr>PR\1296881DE.docx</vt:lpwstr>
  </property>
  <property fmtid="{D5CDD505-2E9C-101B-9397-08002B2CF9AE}" pid="10" name="LastEdited with">
    <vt:lpwstr>9.17.2 Build [20240212]</vt:lpwstr>
  </property>
  <property fmtid="{D5CDD505-2E9C-101B-9397-08002B2CF9AE}" pid="11" name="PE number">
    <vt:lpwstr>759.050</vt:lpwstr>
  </property>
  <property fmtid="{D5CDD505-2E9C-101B-9397-08002B2CF9AE}" pid="12" name="SDLStudio">
    <vt:lpwstr/>
  </property>
</Properties>
</file>