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77B9" w:rsidRPr="00227454" w:rsidTr="00C85D0F">
        <w:trPr>
          <w:trHeight w:hRule="exact" w:val="1418"/>
        </w:trPr>
        <w:tc>
          <w:tcPr>
            <w:tcW w:w="6804" w:type="dxa"/>
            <w:shd w:val="clear" w:color="auto" w:fill="auto"/>
            <w:vAlign w:val="center"/>
          </w:tcPr>
          <w:p w:rsidR="00B13D6F" w:rsidRPr="00227454" w:rsidRDefault="00B50159" w:rsidP="00C85D0F">
            <w:pPr>
              <w:pStyle w:val="EPName"/>
            </w:pPr>
            <w:bookmarkStart w:id="0" w:name="_GoBack"/>
            <w:bookmarkEnd w:id="0"/>
            <w:r w:rsidRPr="00227454">
              <w:t>Euroopan parlamentti</w:t>
            </w:r>
          </w:p>
          <w:p w:rsidR="00B13D6F" w:rsidRPr="00227454" w:rsidRDefault="00B50159" w:rsidP="005F3938">
            <w:pPr>
              <w:pStyle w:val="EPTerm"/>
            </w:pPr>
            <w:r w:rsidRPr="00227454">
              <w:t>2019-2024</w:t>
            </w:r>
          </w:p>
        </w:tc>
        <w:tc>
          <w:tcPr>
            <w:tcW w:w="2268" w:type="dxa"/>
            <w:shd w:val="clear" w:color="auto" w:fill="auto"/>
          </w:tcPr>
          <w:p w:rsidR="00B13D6F" w:rsidRPr="00227454" w:rsidRDefault="00B50159" w:rsidP="00C85D0F">
            <w:pPr>
              <w:pStyle w:val="EPLogo"/>
            </w:pPr>
            <w:r w:rsidRPr="0022745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27454" w:rsidRDefault="00461601" w:rsidP="00461601">
      <w:pPr>
        <w:pStyle w:val="LineTop"/>
      </w:pPr>
    </w:p>
    <w:p w:rsidR="00461601" w:rsidRPr="00227454" w:rsidRDefault="00B50159" w:rsidP="00461601">
      <w:pPr>
        <w:pStyle w:val="EPBody"/>
      </w:pPr>
      <w:r w:rsidRPr="00227454">
        <w:rPr>
          <w:rStyle w:val="HideTWBExt"/>
        </w:rPr>
        <w:t>&lt;</w:t>
      </w:r>
      <w:r w:rsidRPr="00227454">
        <w:rPr>
          <w:rStyle w:val="HideTWBExt"/>
          <w:i w:val="0"/>
        </w:rPr>
        <w:t>Commission</w:t>
      </w:r>
      <w:r w:rsidRPr="00227454">
        <w:rPr>
          <w:rStyle w:val="HideTWBExt"/>
        </w:rPr>
        <w:t>&gt;</w:t>
      </w:r>
      <w:r w:rsidRPr="00227454">
        <w:rPr>
          <w:rStyle w:val="HideTWBInt"/>
        </w:rPr>
        <w:t>{LIBE}</w:t>
      </w:r>
      <w:r w:rsidRPr="00227454">
        <w:t>Kansalaisvapauksien sekä oikeus- ja sisäasioiden valiokunta</w:t>
      </w:r>
      <w:r w:rsidRPr="00227454">
        <w:rPr>
          <w:rStyle w:val="HideTWBExt"/>
        </w:rPr>
        <w:t>&lt;/</w:t>
      </w:r>
      <w:r w:rsidRPr="00227454">
        <w:rPr>
          <w:rStyle w:val="HideTWBExt"/>
          <w:i w:val="0"/>
        </w:rPr>
        <w:t>Commission</w:t>
      </w:r>
      <w:r w:rsidRPr="00227454">
        <w:rPr>
          <w:rStyle w:val="HideTWBExt"/>
        </w:rPr>
        <w:t>&gt;</w:t>
      </w:r>
    </w:p>
    <w:p w:rsidR="00461601" w:rsidRPr="00227454" w:rsidRDefault="00461601" w:rsidP="00461601">
      <w:pPr>
        <w:pStyle w:val="LineBottom"/>
      </w:pPr>
    </w:p>
    <w:p w:rsidR="00793EA9" w:rsidRPr="00227454" w:rsidRDefault="00B50159">
      <w:pPr>
        <w:pStyle w:val="CoverReference"/>
      </w:pPr>
      <w:r w:rsidRPr="00227454">
        <w:rPr>
          <w:rStyle w:val="HideTWBExt"/>
          <w:b w:val="0"/>
        </w:rPr>
        <w:t>&lt;RefProc&gt;</w:t>
      </w:r>
      <w:r w:rsidRPr="00227454">
        <w:t>2023/0371</w:t>
      </w:r>
      <w:r w:rsidRPr="00227454">
        <w:rPr>
          <w:rStyle w:val="HideTWBExt"/>
          <w:b w:val="0"/>
        </w:rPr>
        <w:t>&lt;/RefProc&gt;&lt;RefTypeProc&gt;</w:t>
      </w:r>
      <w:r w:rsidRPr="00227454">
        <w:t>(COD)</w:t>
      </w:r>
      <w:r w:rsidRPr="00227454">
        <w:rPr>
          <w:rStyle w:val="HideTWBExt"/>
          <w:b w:val="0"/>
        </w:rPr>
        <w:t>&lt;/RefTypeProc&gt;</w:t>
      </w:r>
    </w:p>
    <w:p w:rsidR="00793EA9" w:rsidRPr="00227454" w:rsidRDefault="00B50159">
      <w:pPr>
        <w:pStyle w:val="CoverDate"/>
      </w:pPr>
      <w:r w:rsidRPr="00227454">
        <w:rPr>
          <w:rStyle w:val="HideTWBExt"/>
        </w:rPr>
        <w:t>&lt;Date&gt;</w:t>
      </w:r>
      <w:r w:rsidRPr="00227454">
        <w:rPr>
          <w:rStyle w:val="HideTWBInt"/>
        </w:rPr>
        <w:t>{19/02/2024}</w:t>
      </w:r>
      <w:r w:rsidRPr="00227454">
        <w:t>19.2.2024</w:t>
      </w:r>
      <w:r w:rsidRPr="00227454">
        <w:rPr>
          <w:rStyle w:val="HideTWBExt"/>
        </w:rPr>
        <w:t>&lt;/Date&gt;</w:t>
      </w:r>
    </w:p>
    <w:p w:rsidR="00793EA9" w:rsidRPr="00227454" w:rsidRDefault="00B50159">
      <w:pPr>
        <w:pStyle w:val="CoverDocType"/>
      </w:pPr>
      <w:r w:rsidRPr="00227454">
        <w:rPr>
          <w:rStyle w:val="HideTWBExt"/>
          <w:b w:val="0"/>
        </w:rPr>
        <w:t>&lt;RefProcLect&gt;</w:t>
      </w:r>
      <w:r w:rsidRPr="00227454">
        <w:t>***I</w:t>
      </w:r>
      <w:r w:rsidRPr="00227454">
        <w:rPr>
          <w:rStyle w:val="HideTWBExt"/>
          <w:b w:val="0"/>
        </w:rPr>
        <w:t>&lt;/RefProcLect&gt;</w:t>
      </w:r>
    </w:p>
    <w:p w:rsidR="00793EA9" w:rsidRPr="00227454" w:rsidRDefault="00B50159">
      <w:pPr>
        <w:pStyle w:val="CoverDocType24a"/>
      </w:pPr>
      <w:r w:rsidRPr="00227454">
        <w:rPr>
          <w:rStyle w:val="HideTWBExt"/>
          <w:b w:val="0"/>
        </w:rPr>
        <w:t>&lt;TitreType&gt;</w:t>
      </w:r>
      <w:r w:rsidRPr="00227454">
        <w:t>MIETINTÖLUONNOS</w:t>
      </w:r>
      <w:r w:rsidRPr="00227454">
        <w:rPr>
          <w:rStyle w:val="HideTWBExt"/>
          <w:b w:val="0"/>
        </w:rPr>
        <w:t>&lt;/TitreType&gt;</w:t>
      </w:r>
    </w:p>
    <w:p w:rsidR="00793EA9" w:rsidRPr="00227454" w:rsidRDefault="00B50159">
      <w:pPr>
        <w:pStyle w:val="CoverNormal"/>
      </w:pPr>
      <w:r w:rsidRPr="00227454">
        <w:rPr>
          <w:rStyle w:val="HideTWBExt"/>
        </w:rPr>
        <w:t>&lt;Titre&gt;</w:t>
      </w:r>
      <w:r w:rsidRPr="00227454">
        <w:t>ehdotuksesta Euroopan parlamentin ja neuvoston asetukseksi asetuksen (EU) 2018/1806 muuttamisesta keskeyttämismekanismin tarkistamisen osalta</w:t>
      </w:r>
      <w:r w:rsidRPr="00227454">
        <w:rPr>
          <w:rStyle w:val="HideTWBExt"/>
        </w:rPr>
        <w:t>&lt;/Titre&gt;</w:t>
      </w:r>
    </w:p>
    <w:p w:rsidR="00793EA9" w:rsidRPr="00227454" w:rsidRDefault="00B50159">
      <w:pPr>
        <w:pStyle w:val="CoverNormal24a"/>
      </w:pPr>
      <w:r w:rsidRPr="00227454">
        <w:rPr>
          <w:rStyle w:val="HideTWBExt"/>
        </w:rPr>
        <w:t>&lt;DocRef&gt;</w:t>
      </w:r>
      <w:r w:rsidRPr="00227454">
        <w:t>(COM(2023)0642 – C9-0392/2023 – 2023/0371(COD))</w:t>
      </w:r>
      <w:r w:rsidRPr="00227454">
        <w:rPr>
          <w:rStyle w:val="HideTWBExt"/>
        </w:rPr>
        <w:t>&lt;/Doc</w:t>
      </w:r>
      <w:r w:rsidRPr="00227454">
        <w:rPr>
          <w:rStyle w:val="HideTWBExt"/>
        </w:rPr>
        <w:t>Ref&gt;</w:t>
      </w:r>
    </w:p>
    <w:p w:rsidR="00793EA9" w:rsidRPr="00227454" w:rsidRDefault="00B50159">
      <w:pPr>
        <w:pStyle w:val="CoverNormal24a"/>
      </w:pPr>
      <w:r w:rsidRPr="00227454">
        <w:rPr>
          <w:rStyle w:val="HideTWBExt"/>
        </w:rPr>
        <w:t>&lt;Commission&gt;</w:t>
      </w:r>
      <w:r w:rsidRPr="00227454">
        <w:rPr>
          <w:rStyle w:val="HideTWBInt"/>
        </w:rPr>
        <w:t>{LIBE}</w:t>
      </w:r>
      <w:r w:rsidRPr="00227454">
        <w:t>Kansalaisvapauksien sekä oikeus- ja sisäasioiden valiokunta</w:t>
      </w:r>
      <w:r w:rsidRPr="00227454">
        <w:rPr>
          <w:rStyle w:val="HideTWBExt"/>
        </w:rPr>
        <w:t>&lt;/Commission&gt;</w:t>
      </w:r>
    </w:p>
    <w:p w:rsidR="00793EA9" w:rsidRPr="00227454" w:rsidRDefault="00B50159">
      <w:pPr>
        <w:pStyle w:val="CoverNormal24a"/>
      </w:pPr>
      <w:r w:rsidRPr="00227454">
        <w:t xml:space="preserve">Esittelijä: </w:t>
      </w:r>
      <w:r w:rsidRPr="00227454">
        <w:rPr>
          <w:rStyle w:val="HideTWBExt"/>
        </w:rPr>
        <w:t>&lt;Depute&gt;</w:t>
      </w:r>
      <w:r w:rsidRPr="00227454">
        <w:t>Matjaž Nemec</w:t>
      </w:r>
      <w:r w:rsidRPr="00227454">
        <w:rPr>
          <w:rStyle w:val="HideTWBExt"/>
        </w:rPr>
        <w:t>&lt;/Depute&gt;</w:t>
      </w:r>
    </w:p>
    <w:p w:rsidR="001C5B44" w:rsidRPr="00227454" w:rsidRDefault="001C5B44" w:rsidP="001C5B44">
      <w:pPr>
        <w:pStyle w:val="CoverNormal"/>
      </w:pPr>
    </w:p>
    <w:p w:rsidR="005F3938" w:rsidRPr="00227454" w:rsidRDefault="00B50159" w:rsidP="00894923">
      <w:r w:rsidRPr="00227454">
        <w:br w:type="page"/>
      </w:r>
      <w:r w:rsidR="00792D74" w:rsidRPr="00227454">
        <w:lastRenderedPageBreak/>
        <w:fldChar w:fldCharType="begin"/>
      </w:r>
      <w:r w:rsidR="00792D74" w:rsidRPr="00227454">
        <w:instrText xml:space="preserve"> TITLE  \* MERGEFORMAT </w:instrText>
      </w:r>
      <w:r w:rsidR="00792D74" w:rsidRPr="00227454">
        <w:fldChar w:fldCharType="separate"/>
      </w:r>
      <w:r>
        <w:t>PR_COD_1amCom</w:t>
      </w:r>
      <w:r w:rsidR="00792D74" w:rsidRPr="00227454">
        <w:fldChar w:fldCharType="end"/>
      </w:r>
    </w:p>
    <w:p w:rsidR="005F3938" w:rsidRPr="00227454" w:rsidRDefault="005F3938" w:rsidP="00894923"/>
    <w:p w:rsidR="005F3938" w:rsidRPr="00227454" w:rsidRDefault="005F393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677B9" w:rsidRPr="00227454">
        <w:tc>
          <w:tcPr>
            <w:tcW w:w="5811" w:type="dxa"/>
          </w:tcPr>
          <w:p w:rsidR="005F3938" w:rsidRPr="00227454" w:rsidRDefault="00B50159" w:rsidP="00894923">
            <w:pPr>
              <w:pStyle w:val="Lgendetitre"/>
            </w:pPr>
            <w:r w:rsidRPr="00227454">
              <w:t>Menettelyjen symbolit</w:t>
            </w:r>
          </w:p>
        </w:tc>
      </w:tr>
      <w:tr w:rsidR="000677B9" w:rsidRPr="00227454" w:rsidTr="007452CB">
        <w:trPr>
          <w:cantSplit/>
          <w:trHeight w:val="1807"/>
        </w:trPr>
        <w:tc>
          <w:tcPr>
            <w:tcW w:w="5811" w:type="dxa"/>
            <w:tcBorders>
              <w:bottom w:val="single" w:sz="4" w:space="0" w:color="auto"/>
            </w:tcBorders>
          </w:tcPr>
          <w:p w:rsidR="005F3938" w:rsidRPr="00227454" w:rsidRDefault="00B50159" w:rsidP="003506ED">
            <w:pPr>
              <w:pStyle w:val="Lgendesigne"/>
            </w:pPr>
            <w:r w:rsidRPr="00227454">
              <w:tab/>
              <w:t>*</w:t>
            </w:r>
            <w:r w:rsidRPr="00227454">
              <w:tab/>
              <w:t>Kuulemismenettely</w:t>
            </w:r>
          </w:p>
          <w:p w:rsidR="005F3938" w:rsidRPr="00227454" w:rsidRDefault="00B50159" w:rsidP="003506ED">
            <w:pPr>
              <w:pStyle w:val="Lgendesigne"/>
            </w:pPr>
            <w:r w:rsidRPr="00227454">
              <w:tab/>
              <w:t>***</w:t>
            </w:r>
            <w:r w:rsidRPr="00227454">
              <w:tab/>
              <w:t>Hyväksyntämenettely</w:t>
            </w:r>
          </w:p>
          <w:p w:rsidR="005F3938" w:rsidRPr="00227454" w:rsidRDefault="00B50159" w:rsidP="003506ED">
            <w:pPr>
              <w:pStyle w:val="Lgendesigne"/>
            </w:pPr>
            <w:r w:rsidRPr="00227454">
              <w:tab/>
              <w:t>***I</w:t>
            </w:r>
            <w:r w:rsidRPr="00227454">
              <w:tab/>
              <w:t>Tavallinen lainsäätämisjärjestys (ensimmäinen käsittely)</w:t>
            </w:r>
          </w:p>
          <w:p w:rsidR="005F3938" w:rsidRPr="00227454" w:rsidRDefault="00B50159" w:rsidP="003506ED">
            <w:pPr>
              <w:pStyle w:val="Lgendesigne"/>
            </w:pPr>
            <w:r w:rsidRPr="00227454">
              <w:tab/>
              <w:t>***II</w:t>
            </w:r>
            <w:r w:rsidRPr="00227454">
              <w:tab/>
              <w:t>Tavallinen lainsäätämisjärjestys (toinen käsittely)</w:t>
            </w:r>
          </w:p>
          <w:p w:rsidR="005F3938" w:rsidRPr="00227454" w:rsidRDefault="00B50159" w:rsidP="003506ED">
            <w:pPr>
              <w:pStyle w:val="Lgendesigne"/>
            </w:pPr>
            <w:r w:rsidRPr="00227454">
              <w:tab/>
              <w:t>***III</w:t>
            </w:r>
            <w:r w:rsidRPr="00227454">
              <w:tab/>
              <w:t>Tavallinen lainsäätämisjärjestys (kolmas käsittely)</w:t>
            </w:r>
          </w:p>
          <w:p w:rsidR="005F3938" w:rsidRPr="00227454" w:rsidRDefault="005F3938" w:rsidP="003506ED">
            <w:pPr>
              <w:pStyle w:val="Lgendestandard"/>
            </w:pPr>
          </w:p>
          <w:p w:rsidR="005F3938" w:rsidRPr="00227454" w:rsidRDefault="00B50159" w:rsidP="003506ED">
            <w:pPr>
              <w:pStyle w:val="Lgendestandard"/>
            </w:pPr>
            <w:r w:rsidRPr="00227454">
              <w:t>(Menettely määräytyy säädösesityksessä ehdotetun oikeusperustan mukaan.)</w:t>
            </w:r>
          </w:p>
          <w:p w:rsidR="005F3938" w:rsidRPr="00227454" w:rsidRDefault="005F3938" w:rsidP="00B54EAF">
            <w:pPr>
              <w:pStyle w:val="Lgendestandard"/>
            </w:pPr>
          </w:p>
        </w:tc>
      </w:tr>
    </w:tbl>
    <w:p w:rsidR="005F3938" w:rsidRPr="00227454" w:rsidRDefault="005F3938" w:rsidP="00894923"/>
    <w:p w:rsidR="005F3938" w:rsidRPr="00227454" w:rsidRDefault="005F3938" w:rsidP="00894923"/>
    <w:p w:rsidR="005F3938" w:rsidRPr="00227454" w:rsidRDefault="005F3938" w:rsidP="00894923"/>
    <w:p w:rsidR="005F3938" w:rsidRPr="00227454" w:rsidRDefault="005F393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677B9" w:rsidRPr="00227454">
        <w:tc>
          <w:tcPr>
            <w:tcW w:w="5811" w:type="dxa"/>
          </w:tcPr>
          <w:p w:rsidR="005F3938" w:rsidRPr="00227454" w:rsidRDefault="00B50159" w:rsidP="00894923">
            <w:pPr>
              <w:pStyle w:val="Lgendetitre"/>
            </w:pPr>
            <w:r w:rsidRPr="00227454">
              <w:t>Tarkistukset säädösesitykseen</w:t>
            </w:r>
          </w:p>
        </w:tc>
      </w:tr>
      <w:tr w:rsidR="000677B9" w:rsidRPr="00227454" w:rsidTr="00554250">
        <w:trPr>
          <w:trHeight w:val="4496"/>
        </w:trPr>
        <w:tc>
          <w:tcPr>
            <w:tcW w:w="5811" w:type="dxa"/>
          </w:tcPr>
          <w:p w:rsidR="005F3938" w:rsidRPr="00227454" w:rsidRDefault="00B50159" w:rsidP="003506ED">
            <w:pPr>
              <w:pStyle w:val="Lgendestandard"/>
              <w:rPr>
                <w:szCs w:val="24"/>
              </w:rPr>
            </w:pPr>
            <w:r w:rsidRPr="00227454">
              <w:rPr>
                <w:b/>
              </w:rPr>
              <w:t>Palstoina esitettävät parlamentin tarkistukset</w:t>
            </w:r>
          </w:p>
          <w:p w:rsidR="005F3938" w:rsidRPr="00227454" w:rsidRDefault="005F3938" w:rsidP="003506ED">
            <w:pPr>
              <w:pStyle w:val="Lgendestandard"/>
              <w:rPr>
                <w:szCs w:val="24"/>
              </w:rPr>
            </w:pPr>
          </w:p>
          <w:p w:rsidR="005F3938" w:rsidRPr="00227454" w:rsidRDefault="00B50159" w:rsidP="003506ED">
            <w:pPr>
              <w:pStyle w:val="Lgendestandard"/>
              <w:rPr>
                <w:szCs w:val="24"/>
              </w:rPr>
            </w:pPr>
            <w:r w:rsidRPr="00227454">
              <w:t xml:space="preserve">Poistettava teksti merkitään vasempaan palstaan </w:t>
            </w:r>
            <w:r w:rsidRPr="00227454">
              <w:rPr>
                <w:b/>
                <w:i/>
              </w:rPr>
              <w:t>lihavoidulla kursiivilla</w:t>
            </w:r>
            <w:r w:rsidRPr="00227454">
              <w:t xml:space="preserve">. Tekstiä korvattaessa muutosmerkinnät tehdään molempiin palstoihin </w:t>
            </w:r>
            <w:r w:rsidRPr="00227454">
              <w:rPr>
                <w:b/>
                <w:i/>
              </w:rPr>
              <w:t>lihavoidulla kursiivilla</w:t>
            </w:r>
            <w:r w:rsidRPr="00227454">
              <w:t xml:space="preserve">. </w:t>
            </w:r>
            <w:r w:rsidRPr="00227454">
              <w:t xml:space="preserve">Uusi teksti merkitään oikeaan palstaan </w:t>
            </w:r>
            <w:r w:rsidRPr="00227454">
              <w:rPr>
                <w:b/>
                <w:i/>
              </w:rPr>
              <w:t>lihavoidulla kursiivilla</w:t>
            </w:r>
            <w:r w:rsidRPr="00227454">
              <w:t>.</w:t>
            </w:r>
          </w:p>
          <w:p w:rsidR="005F3938" w:rsidRPr="00227454" w:rsidRDefault="005F3938" w:rsidP="003506ED">
            <w:pPr>
              <w:pStyle w:val="Lgendestandard"/>
              <w:rPr>
                <w:szCs w:val="24"/>
              </w:rPr>
            </w:pPr>
          </w:p>
          <w:p w:rsidR="005F3938" w:rsidRPr="00227454" w:rsidRDefault="00B50159" w:rsidP="003506ED">
            <w:pPr>
              <w:pStyle w:val="Lgendestandard"/>
              <w:rPr>
                <w:szCs w:val="24"/>
              </w:rPr>
            </w:pPr>
            <w:r w:rsidRPr="00227454">
              <w:t>Tarkistuksen tunnistetietojen ensimmäisellä ja toisella rivillä ilmoitetaan käsiteltävänä olevan säädösesityksen kohta, jota tarkistetaan. Jos tarkistus koskee olemassa olevaa säädöstä, jota</w:t>
            </w:r>
            <w:r w:rsidRPr="00227454">
              <w:t xml:space="preserve"> säädösesityksellä muutetaan, tunnistetietojen kolmannella rivillä ilmoitetaan muutettavan säädöksen tyyppi ja numero ja neljännellä rivillä tarkistettavan tekstinkohdan paikannus.</w:t>
            </w:r>
          </w:p>
          <w:p w:rsidR="005F3938" w:rsidRPr="00227454" w:rsidRDefault="005F3938" w:rsidP="003506ED">
            <w:pPr>
              <w:pStyle w:val="Lgendestandard"/>
              <w:rPr>
                <w:szCs w:val="24"/>
              </w:rPr>
            </w:pPr>
          </w:p>
          <w:p w:rsidR="005F3938" w:rsidRPr="00227454" w:rsidRDefault="00B50159" w:rsidP="003506ED">
            <w:pPr>
              <w:pStyle w:val="Lgendestandard"/>
              <w:rPr>
                <w:b/>
                <w:szCs w:val="24"/>
              </w:rPr>
            </w:pPr>
            <w:r w:rsidRPr="00227454">
              <w:rPr>
                <w:b/>
              </w:rPr>
              <w:t>Konsolidoituna tekstinä esitettävät parlamentin tarkistukset</w:t>
            </w:r>
          </w:p>
          <w:p w:rsidR="005F3938" w:rsidRPr="00227454" w:rsidRDefault="005F3938" w:rsidP="003506ED">
            <w:pPr>
              <w:pStyle w:val="Lgendestandard"/>
              <w:rPr>
                <w:szCs w:val="24"/>
              </w:rPr>
            </w:pPr>
          </w:p>
          <w:p w:rsidR="005F3938" w:rsidRPr="00227454" w:rsidRDefault="00B50159" w:rsidP="003506ED">
            <w:pPr>
              <w:pStyle w:val="Lgendestandard"/>
              <w:rPr>
                <w:szCs w:val="24"/>
              </w:rPr>
            </w:pPr>
            <w:r w:rsidRPr="00227454">
              <w:t xml:space="preserve">Uusi teksti </w:t>
            </w:r>
            <w:r w:rsidRPr="00227454">
              <w:t xml:space="preserve">merkitään </w:t>
            </w:r>
            <w:r w:rsidRPr="00227454">
              <w:rPr>
                <w:b/>
                <w:i/>
              </w:rPr>
              <w:t>lihavoidulla kursiivilla</w:t>
            </w:r>
            <w:r w:rsidRPr="00227454">
              <w:t xml:space="preserve">. Poistettava teksti merkitään symbolilla ▌tai yliviivauksella. Tekstiä korvattaessa muutosmerkinnät tehdään siten, että uusi teksti </w:t>
            </w:r>
            <w:r w:rsidRPr="00227454">
              <w:rPr>
                <w:b/>
                <w:i/>
              </w:rPr>
              <w:t>lihavoidaan ja kursivoidaan</w:t>
            </w:r>
            <w:r w:rsidRPr="00227454">
              <w:t xml:space="preserve"> ja korvattava teksti poistetaan tai viivataan yli. </w:t>
            </w:r>
          </w:p>
          <w:p w:rsidR="005F3938" w:rsidRPr="00227454" w:rsidRDefault="00B50159" w:rsidP="003506ED">
            <w:pPr>
              <w:pStyle w:val="Lgendestandard"/>
            </w:pPr>
            <w:r w:rsidRPr="00227454">
              <w:t>Parlament</w:t>
            </w:r>
            <w:r w:rsidRPr="00227454">
              <w:t>in yksiköiden tekemiä lopullisen tekstin teknisiä muutoksia ei merkitä.</w:t>
            </w:r>
          </w:p>
          <w:p w:rsidR="005F3938" w:rsidRPr="00227454" w:rsidRDefault="005F3938" w:rsidP="0069092A">
            <w:pPr>
              <w:pStyle w:val="Lgendestandard"/>
            </w:pPr>
          </w:p>
        </w:tc>
      </w:tr>
    </w:tbl>
    <w:p w:rsidR="005F3938" w:rsidRPr="00227454" w:rsidRDefault="005F3938" w:rsidP="00894923"/>
    <w:p w:rsidR="00793EA9" w:rsidRPr="00227454" w:rsidRDefault="00793EA9" w:rsidP="00012351">
      <w:pPr>
        <w:widowControl/>
        <w:tabs>
          <w:tab w:val="center" w:pos="4677"/>
        </w:tabs>
      </w:pPr>
    </w:p>
    <w:p w:rsidR="00793EA9" w:rsidRPr="00227454" w:rsidRDefault="00B50159">
      <w:pPr>
        <w:pStyle w:val="TOCHeading"/>
      </w:pPr>
      <w:r w:rsidRPr="00227454">
        <w:br w:type="page"/>
      </w:r>
      <w:r w:rsidRPr="00227454">
        <w:lastRenderedPageBreak/>
        <w:t>SISÄLTÖ</w:t>
      </w:r>
    </w:p>
    <w:p w:rsidR="00793EA9" w:rsidRPr="00227454" w:rsidRDefault="00B50159">
      <w:pPr>
        <w:pStyle w:val="TOCPage"/>
      </w:pPr>
      <w:r w:rsidRPr="00227454">
        <w:t>Sivu</w:t>
      </w:r>
    </w:p>
    <w:p w:rsidR="00B50159" w:rsidRDefault="00B50159">
      <w:pPr>
        <w:pStyle w:val="TOC1"/>
        <w:tabs>
          <w:tab w:val="right" w:leader="dot" w:pos="9060"/>
        </w:tabs>
        <w:rPr>
          <w:rFonts w:asciiTheme="minorHAnsi" w:eastAsiaTheme="minorEastAsia" w:hAnsiTheme="minorHAnsi" w:cstheme="minorBidi"/>
          <w:noProof/>
          <w:sz w:val="22"/>
          <w:szCs w:val="22"/>
          <w:lang w:val="en-GB"/>
        </w:rPr>
      </w:pPr>
      <w:r w:rsidRPr="00227454">
        <w:rPr>
          <w:b/>
        </w:rPr>
        <w:fldChar w:fldCharType="begin"/>
      </w:r>
      <w:r w:rsidRPr="00227454">
        <w:rPr>
          <w:b/>
        </w:rPr>
        <w:instrText xml:space="preserve"> TOC \t "PageHeading</w:instrText>
      </w:r>
      <w:r w:rsidR="00374945" w:rsidRPr="00227454">
        <w:rPr>
          <w:b/>
        </w:rPr>
        <w:instrText>;</w:instrText>
      </w:r>
      <w:r w:rsidRPr="00227454">
        <w:rPr>
          <w:b/>
        </w:rPr>
        <w:instrText xml:space="preserve">1" </w:instrText>
      </w:r>
      <w:r w:rsidRPr="00227454">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_Toc160111545 \h </w:instrText>
      </w:r>
      <w:r>
        <w:rPr>
          <w:noProof/>
        </w:rPr>
      </w:r>
      <w:r>
        <w:rPr>
          <w:noProof/>
        </w:rPr>
        <w:fldChar w:fldCharType="separate"/>
      </w:r>
      <w:r>
        <w:rPr>
          <w:noProof/>
        </w:rPr>
        <w:t>5</w:t>
      </w:r>
      <w:r>
        <w:rPr>
          <w:noProof/>
        </w:rPr>
        <w:fldChar w:fldCharType="end"/>
      </w:r>
    </w:p>
    <w:p w:rsidR="00B50159" w:rsidRDefault="00B50159">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_Toc160111546 \h </w:instrText>
      </w:r>
      <w:r>
        <w:rPr>
          <w:noProof/>
        </w:rPr>
      </w:r>
      <w:r>
        <w:rPr>
          <w:noProof/>
        </w:rPr>
        <w:fldChar w:fldCharType="separate"/>
      </w:r>
      <w:r>
        <w:rPr>
          <w:noProof/>
        </w:rPr>
        <w:t>11</w:t>
      </w:r>
      <w:r>
        <w:rPr>
          <w:noProof/>
        </w:rPr>
        <w:fldChar w:fldCharType="end"/>
      </w:r>
    </w:p>
    <w:p w:rsidR="00B50159" w:rsidRDefault="00B50159">
      <w:pPr>
        <w:pStyle w:val="TOC1"/>
        <w:tabs>
          <w:tab w:val="right" w:leader="dot" w:pos="9060"/>
        </w:tabs>
        <w:rPr>
          <w:rFonts w:asciiTheme="minorHAnsi" w:eastAsiaTheme="minorEastAsia" w:hAnsiTheme="minorHAnsi" w:cstheme="minorBidi"/>
          <w:noProof/>
          <w:sz w:val="22"/>
          <w:szCs w:val="22"/>
          <w:lang w:val="en-GB"/>
        </w:rPr>
      </w:pPr>
      <w:r>
        <w:rPr>
          <w:noProof/>
        </w:rPr>
        <w:t>LIITE: YHTEISÖT TAI HENKILÖT, JOILTA ESITTELIJÄ ON SAANUT TIETOJA</w:t>
      </w:r>
      <w:r>
        <w:rPr>
          <w:noProof/>
        </w:rPr>
        <w:tab/>
      </w:r>
      <w:r>
        <w:rPr>
          <w:noProof/>
        </w:rPr>
        <w:fldChar w:fldCharType="begin"/>
      </w:r>
      <w:r>
        <w:rPr>
          <w:noProof/>
        </w:rPr>
        <w:instrText xml:space="preserve"> PAGEREF _Toc160111547 \h </w:instrText>
      </w:r>
      <w:r>
        <w:rPr>
          <w:noProof/>
        </w:rPr>
      </w:r>
      <w:r>
        <w:rPr>
          <w:noProof/>
        </w:rPr>
        <w:fldChar w:fldCharType="separate"/>
      </w:r>
      <w:r>
        <w:rPr>
          <w:noProof/>
        </w:rPr>
        <w:t>14</w:t>
      </w:r>
      <w:r>
        <w:rPr>
          <w:noProof/>
        </w:rPr>
        <w:fldChar w:fldCharType="end"/>
      </w:r>
    </w:p>
    <w:p w:rsidR="002346B0" w:rsidRPr="00227454" w:rsidRDefault="00B50159" w:rsidP="00C23324">
      <w:r w:rsidRPr="00227454">
        <w:rPr>
          <w:b/>
        </w:rPr>
        <w:fldChar w:fldCharType="end"/>
      </w:r>
    </w:p>
    <w:p w:rsidR="00793EA9" w:rsidRPr="00227454" w:rsidRDefault="00B50159">
      <w:pPr>
        <w:pStyle w:val="PageHeading"/>
      </w:pPr>
      <w:r w:rsidRPr="00227454">
        <w:br w:type="page"/>
      </w:r>
      <w:r w:rsidRPr="00227454">
        <w:br w:type="page"/>
      </w:r>
      <w:bookmarkStart w:id="1" w:name="_Toc160111545"/>
      <w:r w:rsidRPr="00227454">
        <w:t xml:space="preserve">LUONNOS EUROOPAN </w:t>
      </w:r>
      <w:r w:rsidRPr="00227454">
        <w:t>PARLAMENTIN LAINSÄÄDÄNTÖPÄÄTÖSLAUSELMAKSI</w:t>
      </w:r>
      <w:bookmarkEnd w:id="1"/>
    </w:p>
    <w:p w:rsidR="00793EA9" w:rsidRPr="00227454" w:rsidRDefault="00B50159">
      <w:pPr>
        <w:pStyle w:val="NormalBold"/>
      </w:pPr>
      <w:r w:rsidRPr="00227454">
        <w:t>ehdotuksesta Euroopan parlamentin ja neuvoston asetukseksi asetuksen (EU) 2018/1806 muuttamisesta keskeyttämismekanismin tarkistamisen osalta</w:t>
      </w:r>
    </w:p>
    <w:p w:rsidR="00793EA9" w:rsidRPr="00227454" w:rsidRDefault="00B50159">
      <w:pPr>
        <w:pStyle w:val="NormalBold12a"/>
      </w:pPr>
      <w:r w:rsidRPr="00227454">
        <w:t>(COM(2023)0642 – C9-0392/2023 – 2023/0371(COD))</w:t>
      </w:r>
    </w:p>
    <w:p w:rsidR="00793EA9" w:rsidRPr="00227454" w:rsidRDefault="00B50159" w:rsidP="00A910C9">
      <w:pPr>
        <w:pStyle w:val="NormalBold"/>
      </w:pPr>
      <w:r w:rsidRPr="00227454">
        <w:t>(Tavallinen lainsäätämis</w:t>
      </w:r>
      <w:r w:rsidRPr="00227454">
        <w:t>järjestys: ensimmäinen käsittely)</w:t>
      </w:r>
    </w:p>
    <w:p w:rsidR="00793EA9" w:rsidRPr="00227454" w:rsidRDefault="00B50159" w:rsidP="00A910C9">
      <w:pPr>
        <w:pStyle w:val="EPComma"/>
      </w:pPr>
      <w:r w:rsidRPr="00227454">
        <w:rPr>
          <w:i/>
        </w:rPr>
        <w:t>Euroopan parlamentti</w:t>
      </w:r>
      <w:r w:rsidRPr="00227454">
        <w:t>, joka</w:t>
      </w:r>
    </w:p>
    <w:p w:rsidR="00793EA9" w:rsidRPr="00227454" w:rsidRDefault="00B50159">
      <w:pPr>
        <w:pStyle w:val="NormalHanging12a"/>
      </w:pPr>
      <w:r w:rsidRPr="00227454">
        <w:t>–</w:t>
      </w:r>
      <w:r w:rsidRPr="00227454">
        <w:tab/>
        <w:t>ottaa huomioon komission ehdotuksen Euroopan parlamentille ja neuvostolle (COM(2023)0642),</w:t>
      </w:r>
    </w:p>
    <w:p w:rsidR="00793EA9" w:rsidRPr="00227454" w:rsidRDefault="00B50159">
      <w:pPr>
        <w:pStyle w:val="NormalHanging12a"/>
      </w:pPr>
      <w:r w:rsidRPr="00227454">
        <w:t>–</w:t>
      </w:r>
      <w:r w:rsidRPr="00227454">
        <w:tab/>
        <w:t>ottaa huomioon Euroopan unionin toiminnasta tehdyn sopimuksen 294</w:t>
      </w:r>
      <w:r w:rsidR="006D2669">
        <w:t> </w:t>
      </w:r>
      <w:r w:rsidRPr="00227454">
        <w:t>artiklan 2</w:t>
      </w:r>
      <w:r w:rsidR="006D2669">
        <w:t> </w:t>
      </w:r>
      <w:r w:rsidRPr="00227454">
        <w:t>kohdan ja 77 artiklan 2</w:t>
      </w:r>
      <w:r w:rsidRPr="00227454">
        <w:t xml:space="preserve"> kohdan a alakohdan, joiden mukaisesti komissio on antanut ehdotuksen Euroopan parlamentille (C9-0392/2023),</w:t>
      </w:r>
    </w:p>
    <w:p w:rsidR="00A26F46" w:rsidRPr="00227454" w:rsidRDefault="00B50159" w:rsidP="00A26F46">
      <w:pPr>
        <w:pStyle w:val="NormalHanging12a"/>
      </w:pPr>
      <w:r w:rsidRPr="00227454">
        <w:t>–</w:t>
      </w:r>
      <w:r w:rsidRPr="00227454">
        <w:tab/>
        <w:t>ottaa huomioon Euroopan unionin toiminnasta tehdyn sopimuksen 294 artiklan 3 kohdan,</w:t>
      </w:r>
    </w:p>
    <w:p w:rsidR="00793EA9" w:rsidRPr="00227454" w:rsidRDefault="00B50159">
      <w:pPr>
        <w:pStyle w:val="NormalHanging12a"/>
      </w:pPr>
      <w:r w:rsidRPr="00227454">
        <w:t>–</w:t>
      </w:r>
      <w:r w:rsidRPr="00227454">
        <w:tab/>
        <w:t>ottaa huomioon työjärjestyksen 59 artiklan,</w:t>
      </w:r>
    </w:p>
    <w:p w:rsidR="006A2F5D" w:rsidRPr="00227454" w:rsidRDefault="00B50159" w:rsidP="006A2F5D">
      <w:pPr>
        <w:pStyle w:val="NormalHanging12a"/>
      </w:pPr>
      <w:r w:rsidRPr="00227454">
        <w:t>–</w:t>
      </w:r>
      <w:r w:rsidRPr="00227454">
        <w:tab/>
        <w:t>ottaa huomio</w:t>
      </w:r>
      <w:r w:rsidRPr="00227454">
        <w:t>on kansalaisvapauksien sekä oikeus- ja sisäasioiden valiokunnan mietinnön (A9-0000/2024),</w:t>
      </w:r>
    </w:p>
    <w:p w:rsidR="009F6C2F" w:rsidRPr="00227454" w:rsidRDefault="00B50159" w:rsidP="009F6C2F">
      <w:pPr>
        <w:pStyle w:val="NormalHanging12a"/>
      </w:pPr>
      <w:r w:rsidRPr="00227454">
        <w:t>1.</w:t>
      </w:r>
      <w:r w:rsidRPr="00227454">
        <w:tab/>
        <w:t>vahvistaa jäljempänä esitetyn ensimmäisen käsittelyn kannan;</w:t>
      </w:r>
    </w:p>
    <w:p w:rsidR="009F6C2F" w:rsidRPr="00227454" w:rsidRDefault="00B50159" w:rsidP="009F6C2F">
      <w:pPr>
        <w:pStyle w:val="NormalHanging12a"/>
      </w:pPr>
      <w:r w:rsidRPr="00227454">
        <w:t>2.</w:t>
      </w:r>
      <w:r w:rsidRPr="00227454">
        <w:tab/>
        <w:t>pyytää komissiota antamaan asian uudelleen Euroopan parlamentin käsiteltäväksi, jos se korvaa ehdot</w:t>
      </w:r>
      <w:r w:rsidRPr="00227454">
        <w:t>uksensa, muuttaa sitä huomattavasti tai aikoo muuttaa sitä huomattavasti;</w:t>
      </w:r>
    </w:p>
    <w:p w:rsidR="009F6C2F" w:rsidRPr="00227454" w:rsidRDefault="00B50159" w:rsidP="009F6C2F">
      <w:pPr>
        <w:pStyle w:val="NormalHanging12a"/>
      </w:pPr>
      <w:r w:rsidRPr="00227454">
        <w:t>3.</w:t>
      </w:r>
      <w:r w:rsidRPr="00227454">
        <w:tab/>
        <w:t>kehottaa puhemiestä välittämään parlamentin kannan neuvostolle ja komissiolle sekä kansallisille parlamenteille.</w:t>
      </w:r>
    </w:p>
    <w:p w:rsidR="00D30DE2" w:rsidRPr="00227454" w:rsidRDefault="00D30DE2" w:rsidP="00D30DE2"/>
    <w:p w:rsidR="0047621B" w:rsidRPr="00227454" w:rsidRDefault="00B50159" w:rsidP="0047621B">
      <w:pPr>
        <w:pStyle w:val="AMNumberTabs0"/>
        <w:keepNext/>
      </w:pPr>
      <w:r w:rsidRPr="00227454">
        <w:rPr>
          <w:rStyle w:val="HideTWBExt"/>
          <w:b w:val="0"/>
        </w:rPr>
        <w:t>&lt;RepeatBlock-Amend&gt;&lt;Amend&gt;</w:t>
      </w:r>
      <w:r w:rsidRPr="00227454">
        <w:t>Tarkistus</w:t>
      </w:r>
      <w:r w:rsidRPr="00227454">
        <w:tab/>
      </w:r>
      <w:r w:rsidRPr="00227454">
        <w:tab/>
      </w:r>
      <w:r w:rsidRPr="00227454">
        <w:rPr>
          <w:rStyle w:val="HideTWBExt"/>
          <w:b w:val="0"/>
        </w:rPr>
        <w:t>&lt;NumAm&gt;</w:t>
      </w:r>
      <w:r w:rsidRPr="00227454">
        <w:t>1</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&lt;/DocAmend&gt;</w:t>
      </w:r>
    </w:p>
    <w:p w:rsidR="0047621B" w:rsidRPr="00227454" w:rsidRDefault="00B50159" w:rsidP="0047621B">
      <w:pPr>
        <w:pStyle w:val="NormalBold"/>
      </w:pPr>
      <w:r w:rsidRPr="00227454">
        <w:rPr>
          <w:rStyle w:val="HideTWBExt"/>
          <w:b w:val="0"/>
        </w:rPr>
        <w:t>&lt;Article&gt;</w:t>
      </w:r>
      <w:r w:rsidRPr="00227454">
        <w:t>Johdanto-osan 2 kappale</w:t>
      </w:r>
      <w:r w:rsidRPr="0022745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B50159" w:rsidP="006052B3">
            <w:pPr>
              <w:pStyle w:val="Normal6"/>
            </w:pPr>
            <w:r w:rsidRPr="00227454">
              <w:t>(2)</w:t>
            </w:r>
            <w:r w:rsidRPr="00227454">
              <w:tab/>
            </w:r>
            <w:r w:rsidRPr="00227454">
              <w:t>Mekanismia, jolla asetuksen (EU) 2018/1806 liitteessä II lueteltujen kolmansien maiden kansalaisiin sovellettava viisumivapaus voidaan keskeyttää tilapäisesti, jäljempänä ’keskeyttämismekanismi’, olisi vahvistettava, jotta unioni saisi käyttöönsä tehokkaam</w:t>
            </w:r>
            <w:r w:rsidRPr="00227454">
              <w:t>mat suojatoimet torjumaan useammanlaisia laittomaan muuttoliikkeeseen sekä yleiseen järjestykseen ja turvallisuuteen liittyviä riskejä, joita aiheutuu kyseisessä liitteessä II luetelluista kolmansista maista, sekä viisumivapauden väärinkäyttöä, joka johtuu</w:t>
            </w:r>
            <w:r w:rsidRPr="00227454">
              <w:t xml:space="preserve"> kyseisten kolmansien maiden toteuttamista sijoittajien kansalaisuusjärjestelyistä.</w:t>
            </w:r>
          </w:p>
        </w:tc>
        <w:tc>
          <w:tcPr>
            <w:tcW w:w="4876" w:type="dxa"/>
          </w:tcPr>
          <w:p w:rsidR="0047621B" w:rsidRPr="00227454" w:rsidRDefault="00B50159" w:rsidP="006052B3">
            <w:pPr>
              <w:pStyle w:val="Normal6"/>
              <w:rPr>
                <w:szCs w:val="24"/>
              </w:rPr>
            </w:pPr>
            <w:r w:rsidRPr="00227454">
              <w:t>(2)</w:t>
            </w:r>
            <w:r w:rsidRPr="00227454">
              <w:tab/>
              <w:t>Mekanismia, jolla asetuksen (EU) 2018/1806 liitteessä II lueteltujen kolmansien maiden kansalaisiin sovellettava viisumivapaus voidaan keskeyttää tilapäisesti, jäljempä</w:t>
            </w:r>
            <w:r w:rsidRPr="00227454">
              <w:t>nä ’keskeyttämismekanismi’, olisi vahvistettava, jotta unioni saisi käyttöönsä tehokkaammat suojatoimet torjumaan useammanlaisia laittomaan muuttoliikkeeseen sekä yleiseen järjestykseen ja turvallisuuteen liittyviä riskejä, joita aiheutuu kyseisessä liitte</w:t>
            </w:r>
            <w:r w:rsidRPr="00227454">
              <w:t>essä II luetelluista kolmansista maista, sekä viisumivapauden väärinkäyttöä, joka johtuu kyseisten kolmansien maiden toteuttamista sijoittajien kansalaisuusjärjestelyistä</w:t>
            </w:r>
            <w:r w:rsidRPr="00227454">
              <w:rPr>
                <w:b/>
                <w:i/>
              </w:rPr>
              <w:t>, ja erityisten vaatimusten, erityisesti niiden vaatimusten, jotka liittyvät unionin u</w:t>
            </w:r>
            <w:r w:rsidRPr="00227454">
              <w:rPr>
                <w:b/>
                <w:i/>
              </w:rPr>
              <w:t>lkosuhteisiin asianomaiseen kolmanteen maahan, mukaan lukien ihmisoikeuksiin ja perusvapauksiin liittyvät näkökohdat, noudattamatta jättämistä</w:t>
            </w:r>
            <w:r w:rsidRPr="00227454">
              <w:t>.</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r w:rsidRPr="00227454">
        <w:rPr>
          <w:rStyle w:val="HideTWBExt"/>
        </w:rPr>
        <w:t>&lt;/Amend&gt;</w:t>
      </w:r>
    </w:p>
    <w:p w:rsidR="0047621B" w:rsidRPr="00227454" w:rsidRDefault="00B50159" w:rsidP="0047621B">
      <w:pPr>
        <w:pStyle w:val="AMNumberTabs0"/>
        <w:keepNext/>
      </w:pPr>
      <w:r w:rsidRPr="00227454">
        <w:rPr>
          <w:rStyle w:val="HideTWBExt"/>
          <w:b w:val="0"/>
        </w:rPr>
        <w:t>&lt;Amend&gt;</w:t>
      </w:r>
      <w:r w:rsidRPr="00227454">
        <w:t>Tarkistus</w:t>
      </w:r>
      <w:r w:rsidRPr="00227454">
        <w:tab/>
      </w:r>
      <w:r w:rsidRPr="00227454">
        <w:tab/>
      </w:r>
      <w:r w:rsidRPr="00227454">
        <w:rPr>
          <w:rStyle w:val="HideTWBExt"/>
          <w:b w:val="0"/>
        </w:rPr>
        <w:t>&lt;NumAm&gt;</w:t>
      </w:r>
      <w:r w:rsidRPr="00227454">
        <w:t>2</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w:t>
      </w:r>
      <w:r w:rsidRPr="00227454">
        <w:rPr>
          <w:rStyle w:val="HideTWBExt"/>
          <w:b w:val="0"/>
        </w:rPr>
        <w:t>mend&gt;</w:t>
      </w:r>
    </w:p>
    <w:p w:rsidR="0047621B" w:rsidRPr="00227454" w:rsidRDefault="00B50159" w:rsidP="0047621B">
      <w:pPr>
        <w:pStyle w:val="NormalBold"/>
      </w:pPr>
      <w:r w:rsidRPr="00227454">
        <w:rPr>
          <w:rStyle w:val="HideTWBExt"/>
          <w:b w:val="0"/>
        </w:rPr>
        <w:t>&lt;Article&gt;</w:t>
      </w:r>
      <w:r w:rsidRPr="00227454">
        <w:t>Johdanto-osan 6 a kappale (uusi)</w:t>
      </w:r>
      <w:r w:rsidRPr="0022745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(6 a)</w:t>
            </w:r>
            <w:r w:rsidRPr="00227454">
              <w:rPr>
                <w:b/>
                <w:i/>
              </w:rPr>
              <w:tab/>
            </w:r>
            <w:r w:rsidRPr="00227454">
              <w:rPr>
                <w:b/>
                <w:i/>
              </w:rPr>
              <w:t>Keskeyttämismekanismi olisi voitava käynnistää tapauksissa, jotka liittyvät unionin ulkosuhteisiin asianomaiseen kolmanteen maahan, mukaan lukien erityisesti ihmisoikeuksiin ja perusvapauksiin liittyvät näkökohdat. Tällaisiin näkökohtiin olisi kuuluttava u</w:t>
            </w:r>
            <w:r w:rsidRPr="00227454">
              <w:rPr>
                <w:b/>
                <w:i/>
              </w:rPr>
              <w:t>nionin tai unionin ja toisaalta jäsenvaltioiden ja toisaalta asianomaisen kolmannen maan välisten kahden- tai monenvälisten sopimusten rikkominen; asianomaisen kolmannen maan toteuttamat kansainvälisen oikeuden ja normien, myös kansainvälisen ihmisoikeusla</w:t>
            </w:r>
            <w:r w:rsidRPr="00227454">
              <w:rPr>
                <w:b/>
                <w:i/>
              </w:rPr>
              <w:t>insäädännön, vakavat rikkomiset, mukaan lukien kansainvälisten tuomioistuinten päätösten ja ratkaisujen noudattamatta jättäminen; asianomaisen kolmannen maan vihamieliset teot tai hyökkäykset yhtä tai useampaa jäsenvaltiota tai unionia vastaan; asianomaise</w:t>
            </w:r>
            <w:r w:rsidRPr="00227454">
              <w:rPr>
                <w:b/>
                <w:i/>
              </w:rPr>
              <w:t>n kolmannen maan toteuttamat vakavat ihmisoikeusloukkaukset, mukaan lukien abortin ja hlbtiq+-henkilöiden kriminalisointi, ja kuolemanrangaistuksen käyttöönotto tai käyttö; ja asianomaiseen kolmanteen maahan liittyvien asiaankuuluvien unionin pakotteiden n</w:t>
            </w:r>
            <w:r w:rsidRPr="00227454">
              <w:rPr>
                <w:b/>
                <w:i/>
              </w:rPr>
              <w:t>oudattamatta jättäminen.</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r w:rsidRPr="00227454">
        <w:rPr>
          <w:rStyle w:val="HideTWBExt"/>
        </w:rPr>
        <w:t>&lt;/Amend&gt;</w:t>
      </w:r>
    </w:p>
    <w:p w:rsidR="0047621B" w:rsidRPr="00227454" w:rsidRDefault="00B50159" w:rsidP="0047621B">
      <w:pPr>
        <w:pStyle w:val="AMNumberTabs0"/>
        <w:keepNext/>
      </w:pPr>
      <w:r w:rsidRPr="00227454">
        <w:rPr>
          <w:rStyle w:val="HideTWBExt"/>
          <w:b w:val="0"/>
        </w:rPr>
        <w:t>&lt;Amend&gt;</w:t>
      </w:r>
      <w:r w:rsidRPr="00227454">
        <w:t>Tarkistus</w:t>
      </w:r>
      <w:r w:rsidRPr="00227454">
        <w:tab/>
      </w:r>
      <w:r w:rsidRPr="00227454">
        <w:tab/>
      </w:r>
      <w:r w:rsidRPr="00227454">
        <w:rPr>
          <w:rStyle w:val="HideTWBExt"/>
          <w:b w:val="0"/>
        </w:rPr>
        <w:t>&lt;NumAm&gt;</w:t>
      </w:r>
      <w:r w:rsidRPr="00227454">
        <w:t>3</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&lt;/DocAmend&gt;</w:t>
      </w:r>
    </w:p>
    <w:p w:rsidR="0047621B" w:rsidRPr="00227454" w:rsidRDefault="00B50159" w:rsidP="0047621B">
      <w:pPr>
        <w:pStyle w:val="NormalBold"/>
      </w:pPr>
      <w:r w:rsidRPr="00227454">
        <w:rPr>
          <w:rStyle w:val="HideTWBExt"/>
          <w:b w:val="0"/>
        </w:rPr>
        <w:t>&lt;Article&gt;</w:t>
      </w:r>
      <w:r w:rsidRPr="00227454">
        <w:t>1 artikla – 1 kohta – 2 alakohta</w:t>
      </w:r>
      <w:r w:rsidRPr="00227454">
        <w:rPr>
          <w:rStyle w:val="HideTWBExt"/>
          <w:b w:val="0"/>
        </w:rPr>
        <w:t>&lt;/Article&gt;</w:t>
      </w:r>
    </w:p>
    <w:p w:rsidR="0047621B" w:rsidRPr="00227454" w:rsidRDefault="00B50159" w:rsidP="0047621B">
      <w:pPr>
        <w:keepNext/>
      </w:pPr>
      <w:r w:rsidRPr="00227454">
        <w:rPr>
          <w:rStyle w:val="HideTWBExt"/>
        </w:rPr>
        <w:t>&lt;DocAmend2&gt;</w:t>
      </w:r>
      <w:r w:rsidRPr="00227454">
        <w:t>Asetus (EU) 2018/1806</w:t>
      </w:r>
      <w:r w:rsidRPr="00227454">
        <w:rPr>
          <w:rStyle w:val="HideTWBExt"/>
        </w:rPr>
        <w:t>&lt;/DocAmend2&gt;</w:t>
      </w:r>
    </w:p>
    <w:p w:rsidR="0047621B" w:rsidRPr="00227454" w:rsidRDefault="00B50159" w:rsidP="0047621B">
      <w:r w:rsidRPr="00227454">
        <w:rPr>
          <w:rStyle w:val="HideTWBExt"/>
        </w:rPr>
        <w:t>&lt;Article2&gt;</w:t>
      </w:r>
      <w:r w:rsidRPr="00227454">
        <w:t>8 a artikla – 1 kohta – d alakohta – ii alakohta</w:t>
      </w:r>
      <w:r w:rsidRPr="0022745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B50159" w:rsidP="006052B3">
            <w:pPr>
              <w:pStyle w:val="Normal6"/>
            </w:pPr>
            <w:r w:rsidRPr="00227454">
              <w:rPr>
                <w:b/>
                <w:i/>
              </w:rPr>
              <w:t>ii)</w:t>
            </w:r>
            <w:r w:rsidRPr="00227454">
              <w:rPr>
                <w:b/>
                <w:i/>
              </w:rPr>
              <w:tab/>
              <w:t>hybridiuhkat;</w:t>
            </w:r>
          </w:p>
        </w:tc>
        <w:tc>
          <w:tcPr>
            <w:tcW w:w="4876" w:type="dxa"/>
          </w:tcPr>
          <w:p w:rsidR="0047621B" w:rsidRPr="00227454" w:rsidRDefault="00B50159" w:rsidP="006052B3">
            <w:pPr>
              <w:pStyle w:val="Normal6"/>
              <w:rPr>
                <w:szCs w:val="24"/>
              </w:rPr>
            </w:pPr>
            <w:r w:rsidRPr="00227454">
              <w:rPr>
                <w:b/>
                <w:i/>
              </w:rPr>
              <w:t>Poistetaan.</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pPr>
        <w:pStyle w:val="JustificationTitle"/>
        <w:rPr>
          <w:noProof w:val="0"/>
        </w:rPr>
      </w:pPr>
      <w:r w:rsidRPr="00227454">
        <w:rPr>
          <w:rStyle w:val="HideTWBExt"/>
          <w:i w:val="0"/>
        </w:rPr>
        <w:t>&lt;TitreJust&gt;</w:t>
      </w:r>
      <w:r w:rsidRPr="00227454">
        <w:t>Perustelu</w:t>
      </w:r>
      <w:r w:rsidRPr="00227454">
        <w:rPr>
          <w:rStyle w:val="HideTWBExt"/>
          <w:i w:val="0"/>
        </w:rPr>
        <w:t>&lt;/TitreJust&gt;</w:t>
      </w:r>
    </w:p>
    <w:p w:rsidR="0047621B" w:rsidRPr="00227454" w:rsidRDefault="00B50159" w:rsidP="0047621B">
      <w:pPr>
        <w:pStyle w:val="Normal12Italic"/>
        <w:rPr>
          <w:noProof w:val="0"/>
        </w:rPr>
      </w:pPr>
      <w:r w:rsidRPr="00227454">
        <w:t>Esittelijä katsoo, että tämän perusteen olisi oltava osa g a alakohdassa ehdotettujen unionin ja asianomaisen kolmannen maan välisiin ulkosuhteisiin liittyvien perusteiden käsittelyä.</w:t>
      </w:r>
    </w:p>
    <w:p w:rsidR="0047621B" w:rsidRPr="00227454" w:rsidRDefault="00B50159" w:rsidP="0047621B">
      <w:r w:rsidRPr="00227454">
        <w:rPr>
          <w:rStyle w:val="HideTWBExt"/>
        </w:rPr>
        <w:t>&lt;/Amend&gt;</w:t>
      </w:r>
    </w:p>
    <w:p w:rsidR="0047621B" w:rsidRPr="00227454" w:rsidRDefault="00B50159" w:rsidP="0047621B">
      <w:pPr>
        <w:pStyle w:val="AMNumberTabs0"/>
        <w:keepNext/>
      </w:pPr>
      <w:r w:rsidRPr="00227454">
        <w:rPr>
          <w:rStyle w:val="HideTWBExt"/>
          <w:b w:val="0"/>
        </w:rPr>
        <w:t>&lt;Amend&gt;</w:t>
      </w:r>
      <w:r w:rsidRPr="00227454">
        <w:t>Tarkistus</w:t>
      </w:r>
      <w:r w:rsidRPr="00227454">
        <w:tab/>
      </w:r>
      <w:r w:rsidRPr="00227454">
        <w:tab/>
      </w:r>
      <w:r w:rsidRPr="00227454">
        <w:rPr>
          <w:rStyle w:val="HideTWBExt"/>
          <w:b w:val="0"/>
        </w:rPr>
        <w:t>&lt;NumAm&gt;</w:t>
      </w:r>
      <w:r w:rsidRPr="00227454">
        <w:t>4</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&lt;/DocAmend&gt;</w:t>
      </w:r>
    </w:p>
    <w:p w:rsidR="0047621B" w:rsidRPr="00227454" w:rsidRDefault="00B50159" w:rsidP="0047621B">
      <w:pPr>
        <w:pStyle w:val="NormalBold"/>
      </w:pPr>
      <w:r w:rsidRPr="00227454">
        <w:rPr>
          <w:rStyle w:val="HideTWBExt"/>
          <w:b w:val="0"/>
        </w:rPr>
        <w:t>&lt;Article&gt;</w:t>
      </w:r>
      <w:r w:rsidRPr="00227454">
        <w:t>1 artikla – 1 kohta – 2 alakohta</w:t>
      </w:r>
      <w:r w:rsidRPr="00227454">
        <w:rPr>
          <w:rStyle w:val="HideTWBExt"/>
          <w:b w:val="0"/>
        </w:rPr>
        <w:t>&lt;/Article&gt;</w:t>
      </w:r>
    </w:p>
    <w:p w:rsidR="0047621B" w:rsidRPr="00227454" w:rsidRDefault="00B50159" w:rsidP="0047621B">
      <w:pPr>
        <w:keepNext/>
      </w:pPr>
      <w:r w:rsidRPr="00227454">
        <w:rPr>
          <w:rStyle w:val="HideTWBExt"/>
        </w:rPr>
        <w:t>&lt;DocAmend2&gt;</w:t>
      </w:r>
      <w:r w:rsidRPr="00227454">
        <w:t>Asetus (EU) 2018/1806</w:t>
      </w:r>
      <w:r w:rsidRPr="00227454">
        <w:rPr>
          <w:rStyle w:val="HideTWBExt"/>
        </w:rPr>
        <w:t>&lt;/DocAmend2&gt;</w:t>
      </w:r>
    </w:p>
    <w:p w:rsidR="0047621B" w:rsidRPr="00227454" w:rsidRDefault="00B50159" w:rsidP="0047621B">
      <w:r w:rsidRPr="00227454">
        <w:rPr>
          <w:rStyle w:val="HideTWBExt"/>
        </w:rPr>
        <w:t>&lt;Article2&gt;</w:t>
      </w:r>
      <w:r w:rsidRPr="00227454">
        <w:t xml:space="preserve">8 a artikla – 1 kohta – g a alakohta (uusi) </w:t>
      </w:r>
      <w:r w:rsidRPr="0022745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g a)</w:t>
            </w:r>
            <w:r w:rsidRPr="00227454">
              <w:rPr>
                <w:b/>
                <w:i/>
              </w:rPr>
              <w:tab/>
            </w:r>
            <w:r w:rsidRPr="00227454">
              <w:rPr>
                <w:b/>
                <w:i/>
              </w:rPr>
              <w:t>edellä olevaan 1 artiklaan perustuvien, erityisesti unionin ulkosuhteisiin asianomaiseen kolmanteen maahan liittyvien, erityisten vaatimusten, mukaan lukien ihmisoikeuksia ja perusvapauksia koskevat näkökohdat, vastaisuus, joka johtuu jostakin seuraavista:</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i)</w:t>
            </w:r>
            <w:r w:rsidRPr="00227454">
              <w:rPr>
                <w:b/>
                <w:i/>
              </w:rPr>
              <w:tab/>
              <w:t xml:space="preserve"> unionin tai unionin ja toisaalta jäsenvaltioiden ja toisaalta asianomaisen kolmannen maan välisten kahden- ja monenvälisten sopimusten rikkominen;</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ii)</w:t>
            </w:r>
            <w:r w:rsidRPr="00227454">
              <w:rPr>
                <w:b/>
                <w:i/>
              </w:rPr>
              <w:tab/>
              <w:t xml:space="preserve"> asianomaisen kolmannen maan toteuttamat kansainvälisen oikeuden ja normien, myös kansainvälisen</w:t>
            </w:r>
            <w:r w:rsidRPr="00227454">
              <w:rPr>
                <w:b/>
                <w:i/>
              </w:rPr>
              <w:t xml:space="preserve"> ihmisoikeuslainsäädännön, vakavat rikkomiset, mukaan lukien kansainvälisten tuomioistuinten päätösten ja ratkaisujen noudattamatta jättäminen;</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iii)</w:t>
            </w:r>
            <w:r w:rsidRPr="00227454">
              <w:rPr>
                <w:b/>
                <w:i/>
              </w:rPr>
              <w:tab/>
              <w:t xml:space="preserve"> asianomaisen kolmannen maan vihamieliset teot tai hyökkäykset yhtä tai useampaa jäsenvaltiota tai unioni</w:t>
            </w:r>
            <w:r w:rsidRPr="00227454">
              <w:rPr>
                <w:b/>
                <w:i/>
              </w:rPr>
              <w:t>a vastaan;</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iv)</w:t>
            </w:r>
            <w:r w:rsidRPr="00227454">
              <w:rPr>
                <w:b/>
                <w:i/>
              </w:rPr>
              <w:tab/>
              <w:t xml:space="preserve"> asianomaisen kolmannen maan toteuttamat vakavat ihmisoikeusloukkaukset, mukaan lukien abortin ja hlbtiq+-henkilöiden kriminalisointi, ja kuolemanrangaistuksen käyttöönotto tai käyttö;</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v)</w:t>
            </w:r>
            <w:r w:rsidRPr="00227454">
              <w:rPr>
                <w:b/>
                <w:i/>
              </w:rPr>
              <w:tab/>
              <w:t xml:space="preserve"> asianomaiseen kolmanteen maahan liittyvien asiaa</w:t>
            </w:r>
            <w:r w:rsidRPr="00227454">
              <w:rPr>
                <w:b/>
                <w:i/>
              </w:rPr>
              <w:t>nkuuluvien unionin pakotteiden noudattamatta jättäminen;</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pPr>
        <w:pStyle w:val="JustificationTitle"/>
        <w:rPr>
          <w:noProof w:val="0"/>
        </w:rPr>
      </w:pPr>
      <w:r w:rsidRPr="00227454">
        <w:rPr>
          <w:rStyle w:val="HideTWBExt"/>
          <w:i w:val="0"/>
        </w:rPr>
        <w:t>&lt;TitreJust&gt;</w:t>
      </w:r>
      <w:r w:rsidRPr="00227454">
        <w:t>Perustelu</w:t>
      </w:r>
      <w:r w:rsidRPr="00227454">
        <w:rPr>
          <w:rStyle w:val="HideTWBExt"/>
          <w:i w:val="0"/>
        </w:rPr>
        <w:t>&lt;/TitreJust&gt;</w:t>
      </w:r>
    </w:p>
    <w:p w:rsidR="0047621B" w:rsidRPr="00227454" w:rsidRDefault="00B50159" w:rsidP="0047621B">
      <w:pPr>
        <w:pStyle w:val="Normal12Italic"/>
        <w:rPr>
          <w:noProof w:val="0"/>
        </w:rPr>
      </w:pPr>
      <w:r w:rsidRPr="00227454">
        <w:t>Edellä 1 artiklassa määritetään jäsenvaltioiden alueelle matkustavien kolmansien maiden kansalaisten viisumivapauden perusteet, jotka perustuvat useiden kriteerien tapauskohtaiseen arviointiin, ja 8 artiklassa säädetään kyseisen vapauden keskeyttämisen per</w:t>
      </w:r>
      <w:r w:rsidRPr="00227454">
        <w:t>usteista. Viisumivapauden edellytysten ja sen keskeyttämisen perusteiden välillä on kuitenkin kuilu, erityisesti kun on kyse unionin ulkosuhteista asianomaiseen kolmanteen maahan, mukaan lukien erityisesti ihmisoikeuksiin ja perusvapauksiin liittyvät näkök</w:t>
      </w:r>
      <w:r w:rsidRPr="00227454">
        <w:t>ohdat. Esittelijä haluaa kuroa tämän kuilun umpeen laajentamalla 8 artiklassa esitettyjä keskeyttämisen perusteita.</w:t>
      </w:r>
    </w:p>
    <w:p w:rsidR="0047621B" w:rsidRPr="00227454" w:rsidRDefault="00B50159" w:rsidP="0047621B">
      <w:r w:rsidRPr="00227454">
        <w:rPr>
          <w:rStyle w:val="HideTWBExt"/>
        </w:rPr>
        <w:t>&lt;/Amend&gt;</w:t>
      </w:r>
    </w:p>
    <w:p w:rsidR="0047621B" w:rsidRPr="00227454" w:rsidRDefault="00B50159" w:rsidP="0047621B">
      <w:pPr>
        <w:pStyle w:val="AMNumberTabs0"/>
        <w:keepNext/>
      </w:pPr>
      <w:r w:rsidRPr="00227454">
        <w:rPr>
          <w:rStyle w:val="HideTWBExt"/>
          <w:b w:val="0"/>
        </w:rPr>
        <w:t>&lt;Amend&gt;</w:t>
      </w:r>
      <w:r w:rsidRPr="00227454">
        <w:t>Tarkistus</w:t>
      </w:r>
      <w:r w:rsidRPr="00227454">
        <w:tab/>
      </w:r>
      <w:r w:rsidRPr="00227454">
        <w:tab/>
      </w:r>
      <w:r w:rsidRPr="00227454">
        <w:rPr>
          <w:rStyle w:val="HideTWBExt"/>
          <w:b w:val="0"/>
        </w:rPr>
        <w:t>&lt;NumAm&gt;</w:t>
      </w:r>
      <w:r w:rsidRPr="00227454">
        <w:t>5</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&lt;/DocAmend&gt;</w:t>
      </w:r>
    </w:p>
    <w:p w:rsidR="0047621B" w:rsidRPr="00227454" w:rsidRDefault="00B50159" w:rsidP="0047621B">
      <w:pPr>
        <w:pStyle w:val="NormalBold"/>
      </w:pPr>
      <w:r w:rsidRPr="00227454">
        <w:rPr>
          <w:rStyle w:val="HideTWBExt"/>
          <w:b w:val="0"/>
        </w:rPr>
        <w:t>&lt;Article&gt;</w:t>
      </w:r>
      <w:r w:rsidRPr="00227454">
        <w:t>1 artikla – 1 kohta – 2 alakohta</w:t>
      </w:r>
      <w:r w:rsidRPr="00227454">
        <w:rPr>
          <w:rStyle w:val="HideTWBExt"/>
          <w:b w:val="0"/>
        </w:rPr>
        <w:t>&lt;/Article&gt;</w:t>
      </w:r>
    </w:p>
    <w:p w:rsidR="0047621B" w:rsidRPr="00227454" w:rsidRDefault="00B50159" w:rsidP="0047621B">
      <w:pPr>
        <w:keepNext/>
      </w:pPr>
      <w:r w:rsidRPr="00227454">
        <w:rPr>
          <w:rStyle w:val="HideTWBExt"/>
        </w:rPr>
        <w:t>&lt;DocAmend2&gt;</w:t>
      </w:r>
      <w:r w:rsidRPr="00227454">
        <w:t>Asetus (EU) 2018/1806</w:t>
      </w:r>
      <w:r w:rsidRPr="00227454">
        <w:rPr>
          <w:rStyle w:val="HideTWBExt"/>
        </w:rPr>
        <w:t>&lt;/DocAmend2&gt;</w:t>
      </w:r>
    </w:p>
    <w:p w:rsidR="0047621B" w:rsidRPr="00227454" w:rsidRDefault="00B50159" w:rsidP="0047621B">
      <w:r w:rsidRPr="00227454">
        <w:rPr>
          <w:rStyle w:val="HideTWBExt"/>
        </w:rPr>
        <w:t>&lt;Article2&gt;</w:t>
      </w:r>
      <w:r w:rsidRPr="00227454">
        <w:t>8 c artikla – 1 kohta – 2 a alakohta (uusi)</w:t>
      </w:r>
      <w:r w:rsidRPr="0022745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47621B" w:rsidP="006052B3">
            <w:pPr>
              <w:pStyle w:val="Normal6"/>
            </w:pPr>
          </w:p>
        </w:tc>
        <w:tc>
          <w:tcPr>
            <w:tcW w:w="4876" w:type="dxa"/>
          </w:tcPr>
          <w:p w:rsidR="0047621B" w:rsidRPr="00227454" w:rsidRDefault="00B50159" w:rsidP="006052B3">
            <w:pPr>
              <w:pStyle w:val="Normal6"/>
              <w:rPr>
                <w:szCs w:val="24"/>
              </w:rPr>
            </w:pPr>
            <w:r w:rsidRPr="00227454">
              <w:rPr>
                <w:b/>
                <w:i/>
              </w:rPr>
              <w:t xml:space="preserve">Komissio seuraa 1 artiklaan perustuvien erityisvaatimusten jatkuvaa noudattamista, erityisesti unionin ulkosuhteita asianomaiseen kolmanteen maahan, sekä liitteessä II lueteltujen kolmansien maiden, joita viisumivapaus koskee, osalta 8 a artiklan 1 kohdan </w:t>
            </w:r>
            <w:r w:rsidRPr="00227454">
              <w:rPr>
                <w:b/>
                <w:i/>
              </w:rPr>
              <w:t>g a alakohdassa tarkoitettuja keskeyttämisen perusteita.</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r w:rsidRPr="00227454">
        <w:rPr>
          <w:rStyle w:val="HideTWBExt"/>
        </w:rPr>
        <w:t>&lt;/Amend&gt;</w:t>
      </w:r>
    </w:p>
    <w:p w:rsidR="0047621B" w:rsidRPr="00227454" w:rsidRDefault="00B50159" w:rsidP="0047621B">
      <w:pPr>
        <w:pStyle w:val="AMNumberTabs0"/>
        <w:keepNext/>
      </w:pPr>
      <w:r w:rsidRPr="00227454">
        <w:rPr>
          <w:rStyle w:val="HideTWBExt"/>
          <w:b w:val="0"/>
        </w:rPr>
        <w:t>&lt;Amend&gt;</w:t>
      </w:r>
      <w:r w:rsidRPr="00227454">
        <w:t>Tarkistus</w:t>
      </w:r>
      <w:r w:rsidRPr="00227454">
        <w:tab/>
      </w:r>
      <w:r w:rsidRPr="00227454">
        <w:tab/>
      </w:r>
      <w:r w:rsidRPr="00227454">
        <w:rPr>
          <w:rStyle w:val="HideTWBExt"/>
          <w:b w:val="0"/>
        </w:rPr>
        <w:t>&lt;NumAm&gt;</w:t>
      </w:r>
      <w:r w:rsidRPr="00227454">
        <w:t>6</w:t>
      </w:r>
      <w:r w:rsidRPr="00227454">
        <w:rPr>
          <w:rStyle w:val="HideTWBExt"/>
          <w:b w:val="0"/>
        </w:rPr>
        <w:t>&lt;/NumAm&gt;</w:t>
      </w:r>
    </w:p>
    <w:p w:rsidR="0047621B" w:rsidRPr="00227454" w:rsidRDefault="00B50159" w:rsidP="0047621B">
      <w:pPr>
        <w:pStyle w:val="NormalBold12b"/>
        <w:keepNext/>
      </w:pPr>
      <w:r w:rsidRPr="00227454">
        <w:rPr>
          <w:rStyle w:val="HideTWBExt"/>
          <w:b w:val="0"/>
        </w:rPr>
        <w:t>&lt;DocAmend&gt;</w:t>
      </w:r>
      <w:r w:rsidRPr="00227454">
        <w:t>Ehdotus asetukseksi</w:t>
      </w:r>
      <w:r w:rsidRPr="00227454">
        <w:rPr>
          <w:rStyle w:val="HideTWBExt"/>
          <w:b w:val="0"/>
        </w:rPr>
        <w:t>&lt;/DocAmend&gt;</w:t>
      </w:r>
    </w:p>
    <w:p w:rsidR="0047621B" w:rsidRPr="00227454" w:rsidRDefault="00B50159" w:rsidP="0047621B">
      <w:pPr>
        <w:pStyle w:val="NormalBold"/>
      </w:pPr>
      <w:r w:rsidRPr="00227454">
        <w:rPr>
          <w:rStyle w:val="HideTWBExt"/>
          <w:b w:val="0"/>
        </w:rPr>
        <w:t>&lt;Article&gt;</w:t>
      </w:r>
      <w:r w:rsidRPr="00227454">
        <w:t>1 artikla – 1 kohta – 2 alakohta</w:t>
      </w:r>
      <w:r w:rsidRPr="00227454">
        <w:rPr>
          <w:rStyle w:val="HideTWBExt"/>
          <w:b w:val="0"/>
        </w:rPr>
        <w:t>&lt;/Article&gt;</w:t>
      </w:r>
    </w:p>
    <w:p w:rsidR="0047621B" w:rsidRPr="00227454" w:rsidRDefault="00B50159" w:rsidP="0047621B">
      <w:pPr>
        <w:keepNext/>
      </w:pPr>
      <w:r w:rsidRPr="00227454">
        <w:rPr>
          <w:rStyle w:val="HideTWBExt"/>
        </w:rPr>
        <w:t>&lt;DocAmend2&gt;</w:t>
      </w:r>
      <w:r w:rsidRPr="00227454">
        <w:t>Asetus (EU) 2018/1806</w:t>
      </w:r>
      <w:r w:rsidRPr="00227454">
        <w:rPr>
          <w:rStyle w:val="HideTWBExt"/>
        </w:rPr>
        <w:t>&lt;/DocAmend2&gt;</w:t>
      </w:r>
    </w:p>
    <w:p w:rsidR="0047621B" w:rsidRPr="00227454" w:rsidRDefault="00B50159" w:rsidP="0047621B">
      <w:r w:rsidRPr="00227454">
        <w:rPr>
          <w:rStyle w:val="HideTWBExt"/>
        </w:rPr>
        <w:t>&lt;Article2&gt;</w:t>
      </w:r>
      <w:r w:rsidRPr="00227454">
        <w:t>8 d artikla – 1 kohta</w:t>
      </w:r>
      <w:r w:rsidRPr="0022745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77B9" w:rsidRPr="00227454" w:rsidTr="006052B3">
        <w:trPr>
          <w:jc w:val="center"/>
        </w:trPr>
        <w:tc>
          <w:tcPr>
            <w:tcW w:w="9752" w:type="dxa"/>
            <w:gridSpan w:val="2"/>
          </w:tcPr>
          <w:p w:rsidR="0047621B" w:rsidRPr="00227454" w:rsidRDefault="0047621B" w:rsidP="006052B3">
            <w:pPr>
              <w:keepNext/>
            </w:pPr>
          </w:p>
        </w:tc>
      </w:tr>
      <w:tr w:rsidR="000677B9" w:rsidRPr="00227454" w:rsidTr="006052B3">
        <w:trPr>
          <w:jc w:val="center"/>
        </w:trPr>
        <w:tc>
          <w:tcPr>
            <w:tcW w:w="4876" w:type="dxa"/>
          </w:tcPr>
          <w:p w:rsidR="0047621B" w:rsidRPr="00227454" w:rsidRDefault="00B50159" w:rsidP="006052B3">
            <w:pPr>
              <w:pStyle w:val="ColumnHeading"/>
              <w:keepNext/>
            </w:pPr>
            <w:r w:rsidRPr="00227454">
              <w:t>Komission teksti</w:t>
            </w:r>
          </w:p>
        </w:tc>
        <w:tc>
          <w:tcPr>
            <w:tcW w:w="4876" w:type="dxa"/>
          </w:tcPr>
          <w:p w:rsidR="0047621B" w:rsidRPr="00227454" w:rsidRDefault="00B50159" w:rsidP="006052B3">
            <w:pPr>
              <w:pStyle w:val="ColumnHeading"/>
              <w:keepNext/>
            </w:pPr>
            <w:r w:rsidRPr="00227454">
              <w:t>Tarkistus</w:t>
            </w:r>
          </w:p>
        </w:tc>
      </w:tr>
      <w:tr w:rsidR="000677B9" w:rsidRPr="00227454" w:rsidTr="006052B3">
        <w:trPr>
          <w:jc w:val="center"/>
        </w:trPr>
        <w:tc>
          <w:tcPr>
            <w:tcW w:w="4876" w:type="dxa"/>
          </w:tcPr>
          <w:p w:rsidR="0047621B" w:rsidRPr="00227454" w:rsidRDefault="00B50159" w:rsidP="006052B3">
            <w:pPr>
              <w:pStyle w:val="Normal6"/>
            </w:pPr>
            <w:r w:rsidRPr="00227454">
              <w:t>1.</w:t>
            </w:r>
            <w:r w:rsidRPr="00227454">
              <w:tab/>
              <w:t xml:space="preserve">Komissio antaa Euroopan parlamentille ja neuvostolle kertomuksen 8 c artiklan 1 kohdan mukaisesti toteutetusta </w:t>
            </w:r>
            <w:r w:rsidRPr="00227454">
              <w:rPr>
                <w:b/>
                <w:i/>
              </w:rPr>
              <w:t>sellaisten kolmansien maiden</w:t>
            </w:r>
            <w:r w:rsidRPr="00227454">
              <w:t xml:space="preserve"> seurannasta</w:t>
            </w:r>
            <w:r w:rsidRPr="00227454">
              <w:rPr>
                <w:b/>
                <w:i/>
              </w:rPr>
              <w:t>, jotka on unionin ja kyseisen kolmannen maan kesken käydyn viisumivapautta koskevan vuoropuhelun seurauksena sisällytetty liitteeseen II, vähintään kerran vuodessa ja seitsemän vuoden ajan kyseisten kolmansien maiden viisumivapauden voimaantul</w:t>
            </w:r>
            <w:r w:rsidRPr="00227454">
              <w:rPr>
                <w:b/>
                <w:i/>
              </w:rPr>
              <w:t>opäivästä ja sen jälkeen</w:t>
            </w:r>
            <w:r w:rsidRPr="00227454">
              <w:t>, jos komissio katsoo sen tarpeelliseksi, tai Euroopan parlamentin tai neuvoston pyynnöstä. Kertomuksessa keskitytään kolmansiin maihin, joiden komissio ei enää katso konkreettisten ja luotettavien tietojen perusteella täyttävän tie</w:t>
            </w:r>
            <w:r w:rsidRPr="00227454">
              <w:t>ttyjä 1 artiklaan perustuvia vaatimuksia, joita on käytetty arvioitaessa viisumivapauden myöntämisen asianmukaisuutta.</w:t>
            </w:r>
          </w:p>
        </w:tc>
        <w:tc>
          <w:tcPr>
            <w:tcW w:w="4876" w:type="dxa"/>
          </w:tcPr>
          <w:p w:rsidR="0047621B" w:rsidRPr="00227454" w:rsidRDefault="00B50159" w:rsidP="006052B3">
            <w:pPr>
              <w:pStyle w:val="Normal6"/>
              <w:rPr>
                <w:szCs w:val="24"/>
              </w:rPr>
            </w:pPr>
            <w:r w:rsidRPr="00227454">
              <w:t>1.</w:t>
            </w:r>
            <w:r w:rsidRPr="00227454">
              <w:tab/>
              <w:t xml:space="preserve">Komissio antaa Euroopan parlamentille ja neuvostolle kertomuksen 8 c artiklan 1 kohdan mukaisesti toteutetusta seurannasta </w:t>
            </w:r>
            <w:r w:rsidRPr="00227454">
              <w:rPr>
                <w:b/>
                <w:i/>
              </w:rPr>
              <w:t xml:space="preserve">vuosittain </w:t>
            </w:r>
            <w:r w:rsidRPr="00227454">
              <w:rPr>
                <w:b/>
                <w:i/>
              </w:rPr>
              <w:t>ja erityisesti</w:t>
            </w:r>
            <w:r w:rsidRPr="00227454">
              <w:t>, jos komissio katsoo sen tarpeelliseksi, tai Euroopan parlamentin tai neuvoston pyynnöstä. Kertomuksessa keskitytään kolmansiin maihin, joiden komissio ei enää katso konkreettisten ja luotettavien tietojen perusteella täyttävän tiettyjä 1 ar</w:t>
            </w:r>
            <w:r w:rsidRPr="00227454">
              <w:t>tiklaan perustuvia vaatimuksia, joita on käytetty arvioitaessa viisumivapauden myöntämisen asianmukaisuutta.</w:t>
            </w:r>
          </w:p>
        </w:tc>
      </w:tr>
    </w:tbl>
    <w:p w:rsidR="0047621B" w:rsidRPr="00227454" w:rsidRDefault="00B50159" w:rsidP="0047621B">
      <w:pPr>
        <w:pStyle w:val="Olang"/>
        <w:rPr>
          <w:sz w:val="24"/>
          <w:szCs w:val="24"/>
        </w:rPr>
      </w:pPr>
      <w:r w:rsidRPr="00227454">
        <w:rPr>
          <w:sz w:val="24"/>
          <w:szCs w:val="24"/>
        </w:rPr>
        <w:t xml:space="preserve">Or. </w:t>
      </w:r>
      <w:r w:rsidRPr="00227454">
        <w:rPr>
          <w:rStyle w:val="HideTWBExt"/>
        </w:rPr>
        <w:t>&lt;Original&gt;</w:t>
      </w:r>
      <w:r w:rsidRPr="00227454">
        <w:rPr>
          <w:rStyle w:val="HideTWBInt"/>
          <w:sz w:val="24"/>
          <w:szCs w:val="24"/>
        </w:rPr>
        <w:t>{EN}</w:t>
      </w:r>
      <w:r w:rsidRPr="00227454">
        <w:rPr>
          <w:sz w:val="24"/>
          <w:szCs w:val="24"/>
        </w:rPr>
        <w:t>en</w:t>
      </w:r>
      <w:r w:rsidRPr="00227454">
        <w:rPr>
          <w:rStyle w:val="HideTWBExt"/>
        </w:rPr>
        <w:t>&lt;/Original&gt;</w:t>
      </w:r>
    </w:p>
    <w:p w:rsidR="0047621B" w:rsidRPr="00227454" w:rsidRDefault="00B50159" w:rsidP="0047621B">
      <w:r w:rsidRPr="00227454">
        <w:rPr>
          <w:rStyle w:val="HideTWBExt"/>
        </w:rPr>
        <w:t>&lt;/Amend&gt;&lt;/RepeatBlock-Amend&gt;</w:t>
      </w:r>
    </w:p>
    <w:p w:rsidR="00DA6E19" w:rsidRPr="00227454" w:rsidRDefault="00DA6E19" w:rsidP="00DA6E19"/>
    <w:p w:rsidR="00DA6E19" w:rsidRPr="00227454" w:rsidRDefault="00DA6E19" w:rsidP="00DA6E19"/>
    <w:p w:rsidR="008200DF" w:rsidRPr="00227454" w:rsidRDefault="008200DF" w:rsidP="002669B6">
      <w:pPr>
        <w:sectPr w:rsidR="008200DF" w:rsidRPr="00227454" w:rsidSect="007F19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227454" w:rsidRDefault="00B50159" w:rsidP="008200DF">
      <w:pPr>
        <w:pStyle w:val="PageHeading"/>
      </w:pPr>
      <w:bookmarkStart w:id="2" w:name="_Toc160111546"/>
      <w:r w:rsidRPr="00227454">
        <w:t>PERUSTELUT</w:t>
      </w:r>
      <w:bookmarkEnd w:id="2"/>
    </w:p>
    <w:p w:rsidR="008200DF" w:rsidRPr="00227454" w:rsidRDefault="00B50159" w:rsidP="008200DF">
      <w:pPr>
        <w:rPr>
          <w:sz w:val="22"/>
          <w:szCs w:val="22"/>
        </w:rPr>
      </w:pPr>
      <w:r w:rsidRPr="00227454">
        <w:rPr>
          <w:b/>
        </w:rPr>
        <w:t>1. Taustaa</w:t>
      </w:r>
      <w:r w:rsidRPr="00227454">
        <w:rPr>
          <w:sz w:val="22"/>
        </w:rPr>
        <w:t xml:space="preserve"> </w:t>
      </w:r>
    </w:p>
    <w:p w:rsidR="008200DF" w:rsidRPr="00227454" w:rsidRDefault="008200DF" w:rsidP="008200DF"/>
    <w:p w:rsidR="008200DF" w:rsidRPr="00227454" w:rsidRDefault="00B50159" w:rsidP="008200DF">
      <w:r w:rsidRPr="00227454">
        <w:t>Yksi EU:n viisumipolitiikan peruspilareista on Euroopan parlamentin ja neuvoston asetus (EU) 2018/1806, jossa vahvistetaan luettelo kolmansista maista, joiden kansalaisilla on oltava viisumi jäsenvaltioiden ulkorajoja ylittäessään, ja niistä kolmansista ma</w:t>
      </w:r>
      <w:r w:rsidRPr="00227454">
        <w:t>ista, joiden kansalaisia tämä vaatimus ei koske, kun kyse on kokonaiskestoltaan enintään 90 päivän oleskelusta minkä tahansa 180 päivän jakson aikana.</w:t>
      </w:r>
    </w:p>
    <w:p w:rsidR="008200DF" w:rsidRPr="00227454" w:rsidRDefault="008200DF" w:rsidP="008200DF"/>
    <w:p w:rsidR="008200DF" w:rsidRPr="00227454" w:rsidRDefault="00B50159" w:rsidP="008200DF">
      <w:r w:rsidRPr="00227454">
        <w:t>Siinä määritellään viisumivapauden myöntämisen perusperiaatteet, vahvistetaan niin kutsutut ”positiivise</w:t>
      </w:r>
      <w:r w:rsidRPr="00227454">
        <w:t>t” kolmannet maat, joita viisumivapaus koskee, ja ”negatiiviset” kolmannet maat, joita viisumivapaus ei koske, ja säädetään takeista, milloin viisumivapausjärjestelmä voidaan keskeyttää kahden perusmekanismin eli vastavuoroisuusmekanismin ja keskeytysmekan</w:t>
      </w:r>
      <w:r w:rsidRPr="00227454">
        <w:t>ismin avulla, sekä niiden käynnistämismenettelyistä.</w:t>
      </w:r>
    </w:p>
    <w:p w:rsidR="008200DF" w:rsidRPr="00227454" w:rsidRDefault="008200DF" w:rsidP="008200DF"/>
    <w:p w:rsidR="008200DF" w:rsidRPr="00227454" w:rsidRDefault="00B50159" w:rsidP="008200DF">
      <w:pPr>
        <w:rPr>
          <w:noProof/>
        </w:rPr>
      </w:pPr>
      <w:r w:rsidRPr="00227454">
        <w:t>Sen jälkeen, kun molemmat lainsäätäjät olivat kehottaneet tarkistamaan keskeyttämismekanismia, jotta se mukautuisi paremmin uusiin haasteisiin, Euroopan komissio esitti lokakuussa 2023 kohdennetun ehdot</w:t>
      </w:r>
      <w:r w:rsidRPr="00227454">
        <w:t>uksen keskeyttämismekanismin tarkistamisesta useiden sen osien vahvistamiseksi ja parantamiseksi. Ehdotettu tarkistus koskee 8 artiklan tarkistamista ja sisältää useita sisällöllisiä muutoksia, jotka liittyvät mahdollisiin keskeyttämisperusteisiin sekä men</w:t>
      </w:r>
      <w:r w:rsidRPr="00227454">
        <w:t xml:space="preserve">ettelyihin. </w:t>
      </w:r>
    </w:p>
    <w:p w:rsidR="008200DF" w:rsidRPr="00227454" w:rsidRDefault="008200DF" w:rsidP="008200DF">
      <w:pPr>
        <w:rPr>
          <w:noProof/>
        </w:rPr>
      </w:pPr>
    </w:p>
    <w:p w:rsidR="008200DF" w:rsidRPr="00227454" w:rsidRDefault="00B50159" w:rsidP="008200DF">
      <w:pPr>
        <w:rPr>
          <w:noProof/>
        </w:rPr>
      </w:pPr>
      <w:r w:rsidRPr="00227454">
        <w:t>Tämä keskeyttämismekanismi otettiin käyttöön vuonna 2013</w:t>
      </w:r>
      <w:r w:rsidRPr="00227454">
        <w:rPr>
          <w:rStyle w:val="FootnoteReference"/>
          <w:noProof/>
        </w:rPr>
        <w:footnoteReference w:id="1"/>
      </w:r>
      <w:r w:rsidRPr="00227454">
        <w:t>, ja sen päätarkoituksena on mahdollistaa viisumivapauden tilapäinen keskeyttäminen, jos laiton muuttoliike lisääntyy äkillisesti ja merkittävästi. Mekanismia tarkistettiin vuonna 2017</w:t>
      </w:r>
      <w:r w:rsidRPr="00227454">
        <w:rPr>
          <w:rStyle w:val="FootnoteReference"/>
          <w:noProof/>
        </w:rPr>
        <w:footnoteReference w:id="2"/>
      </w:r>
      <w:r w:rsidRPr="00227454">
        <w:t xml:space="preserve"> siten, että jäsenvaltioille tehtiin helpommaksi ilmoittaa mahdolliseen keskeyttämiseen johtavista olosuhteista ja komissiolle annettiin valtuudet käynnistää mekanismi omasta aloitteestaan.</w:t>
      </w:r>
    </w:p>
    <w:p w:rsidR="008200DF" w:rsidRPr="00227454" w:rsidRDefault="008200DF" w:rsidP="008200DF">
      <w:pPr>
        <w:rPr>
          <w:noProof/>
        </w:rPr>
      </w:pPr>
    </w:p>
    <w:p w:rsidR="008200DF" w:rsidRPr="00227454" w:rsidRDefault="00B50159" w:rsidP="008200DF">
      <w:pPr>
        <w:rPr>
          <w:rFonts w:eastAsia="Arial Unicode MS"/>
          <w:b/>
          <w:noProof/>
          <w:u w:color="000000"/>
          <w:bdr w:val="nil"/>
        </w:rPr>
      </w:pPr>
      <w:r w:rsidRPr="00227454">
        <w:rPr>
          <w:b/>
        </w:rPr>
        <w:t xml:space="preserve">2. </w:t>
      </w:r>
      <w:r w:rsidRPr="00227454">
        <w:rPr>
          <w:b/>
          <w:u w:color="000000"/>
        </w:rPr>
        <w:t>Keskeyttämismekanismiin ehdotetut muutokset</w:t>
      </w:r>
    </w:p>
    <w:p w:rsidR="008200DF" w:rsidRPr="00227454" w:rsidRDefault="008200DF" w:rsidP="008200DF">
      <w:pPr>
        <w:rPr>
          <w:noProof/>
        </w:rPr>
      </w:pPr>
    </w:p>
    <w:p w:rsidR="008200DF" w:rsidRPr="00227454" w:rsidRDefault="00B50159" w:rsidP="008200DF">
      <w:pPr>
        <w:rPr>
          <w:rFonts w:eastAsia="Arial Unicode MS"/>
          <w:noProof/>
        </w:rPr>
      </w:pPr>
      <w:r w:rsidRPr="00227454">
        <w:t>Viimeisimmässä eh</w:t>
      </w:r>
      <w:r w:rsidRPr="00227454">
        <w:t xml:space="preserve">dotuksessaan komissio tekee useita muutoksia nykyiseen mekanismiin. Ehdotuksessa ehdotetaan uusia keskeyttämisperusteita, jotka liittyvät hybridiuhkiin, kuten tilanteisiin, joissa valtio tukee muuttajien välineellistämistä, jolla pyritään horjuttamaan tai </w:t>
      </w:r>
      <w:r w:rsidRPr="00227454">
        <w:t xml:space="preserve">heikentämään yhteiskuntaa ja keskeisiä instituutioita. Lisäksi siinä ehdotetaan uusia perusteita, joilla puututaan erityisesti sijoittajien kansalaisuusjärjestelyihin, joita useat kolmannet maat, joita viisumivapaus koskee, toteuttavat tällä hetkellä. </w:t>
      </w:r>
    </w:p>
    <w:p w:rsidR="008200DF" w:rsidRPr="00227454" w:rsidRDefault="008200DF" w:rsidP="008200DF">
      <w:pPr>
        <w:rPr>
          <w:rFonts w:eastAsia="Arial Unicode MS"/>
          <w:noProof/>
        </w:rPr>
      </w:pPr>
    </w:p>
    <w:p w:rsidR="008200DF" w:rsidRPr="00227454" w:rsidRDefault="00B50159" w:rsidP="008200DF">
      <w:pPr>
        <w:rPr>
          <w:rFonts w:eastAsia="Arial Unicode MS"/>
          <w:noProof/>
        </w:rPr>
      </w:pPr>
      <w:r w:rsidRPr="00227454">
        <w:t>Eh</w:t>
      </w:r>
      <w:r w:rsidRPr="00227454">
        <w:t>dotuksessa otetaan myös käyttöön uusi keskeyttämisperuste sellaisten tapausten kattamiseksi, joissa liitteessä II mainitun kolmannen maan viisumipolitiikan yhdenmukaistamatta jättäminen unionin viisumipolitiikan kanssa voisi johtaa tilanteisiin, joissa muu</w:t>
      </w:r>
      <w:r w:rsidRPr="00227454">
        <w:t xml:space="preserve">t kolmansien maiden kansalaiset kuin kyseisen kolmannen maan kansalaiset saapuvat laillisesti kyseisen kolmannen maan alueelle ja tulevat sen jälkeen laittomasti jäsenvaltioiden alueelle. </w:t>
      </w:r>
    </w:p>
    <w:p w:rsidR="008200DF" w:rsidRPr="00227454" w:rsidRDefault="008200DF" w:rsidP="008200DF">
      <w:pPr>
        <w:rPr>
          <w:rFonts w:eastAsia="Arial Unicode MS"/>
          <w:noProof/>
        </w:rPr>
      </w:pPr>
    </w:p>
    <w:p w:rsidR="008200DF" w:rsidRPr="00227454" w:rsidRDefault="00B50159" w:rsidP="008200DF">
      <w:pPr>
        <w:rPr>
          <w:noProof/>
        </w:rPr>
      </w:pPr>
      <w:r w:rsidRPr="00227454">
        <w:t>Lisäksi uutena osatekijänä ehdotuksessa esitetään komissiolle mahd</w:t>
      </w:r>
      <w:r w:rsidRPr="00227454">
        <w:t xml:space="preserve">ollisuutta ottaa tapauskohtaisen arvioinnin perusteella huomioon eri kynnysarvoja päättäessään viisumivapauden keskeyttämisestä tapauksissa, joissa kyseisen kolmannen maan kansalaisiin liittyvät laiton muuttoliike, perusteettomat turvapaikkahakemukset tai </w:t>
      </w:r>
      <w:r w:rsidRPr="00227454">
        <w:t xml:space="preserve">vakava rikollisuus ovat lisääntyneet merkittävästi. </w:t>
      </w:r>
    </w:p>
    <w:p w:rsidR="008200DF" w:rsidRPr="00227454" w:rsidRDefault="008200DF" w:rsidP="008200DF">
      <w:pPr>
        <w:rPr>
          <w:noProof/>
        </w:rPr>
      </w:pPr>
    </w:p>
    <w:p w:rsidR="008200DF" w:rsidRPr="00227454" w:rsidRDefault="00B50159" w:rsidP="008200DF">
      <w:pPr>
        <w:rPr>
          <w:noProof/>
        </w:rPr>
      </w:pPr>
      <w:r w:rsidRPr="00227454">
        <w:t xml:space="preserve">Ehdotuksessa tehdään myös muutoksia menettelyyn ja edellytyksiin, joiden mukaisesti jäsenvaltio ilmoittaa komissiolle, kun sen alueella ilmenee </w:t>
      </w:r>
      <w:bookmarkStart w:id="3" w:name="_Hlk139556772"/>
      <w:r w:rsidRPr="00227454">
        <w:t>keskeytyksen perusteena olevia</w:t>
      </w:r>
      <w:bookmarkEnd w:id="3"/>
      <w:r w:rsidRPr="00227454">
        <w:t xml:space="preserve"> olosuhteita, sekä menettelyyn, jonka mukaisesti komissio tarkastelee tällaista ilmoitusta. Lisäksi siinä muutetaan viiteajanjaksoa niiden olosuhteiden olemassaolon määrittämiseksi, jotka voivat johtaa keskeyttämiseen. </w:t>
      </w:r>
    </w:p>
    <w:p w:rsidR="008200DF" w:rsidRPr="00227454" w:rsidRDefault="008200DF" w:rsidP="008200DF">
      <w:pPr>
        <w:rPr>
          <w:noProof/>
        </w:rPr>
      </w:pPr>
    </w:p>
    <w:p w:rsidR="008200DF" w:rsidRPr="00227454" w:rsidRDefault="00B50159" w:rsidP="008200DF">
      <w:pPr>
        <w:rPr>
          <w:noProof/>
        </w:rPr>
      </w:pPr>
      <w:r w:rsidRPr="00227454">
        <w:t>Komissiolla on myös velvoite seurat</w:t>
      </w:r>
      <w:r w:rsidRPr="00227454">
        <w:t xml:space="preserve">a säännöllisesti keskeyttämisperusteiden olemassaoloa kaikkien liitteessä II lueteltujen kolmansien maiden osalta sekä menettely keskeyttämismekanismin käynnistämiseksi komission oman, keskeyttämisperusteiden olemassaoloa koskevan analyysin perusteella. </w:t>
      </w:r>
    </w:p>
    <w:p w:rsidR="008200DF" w:rsidRPr="00227454" w:rsidRDefault="008200DF" w:rsidP="008200DF">
      <w:pPr>
        <w:rPr>
          <w:noProof/>
        </w:rPr>
      </w:pPr>
    </w:p>
    <w:p w:rsidR="008200DF" w:rsidRPr="00227454" w:rsidRDefault="00B50159" w:rsidP="008200DF">
      <w:pPr>
        <w:rPr>
          <w:bCs/>
          <w:noProof/>
        </w:rPr>
      </w:pPr>
      <w:r w:rsidRPr="00227454">
        <w:t>Tätä menettelyä muutetaan edelleen pidentämällä viisumivapauden tilapäisen keskeyttämisen kestoa yhdeksästä kuukaudesta 12 kuukauteen (ensimmäinen vaihe) ja 18 kuukaudesta 24 kuukauteen (toinen vaihe). Lisäksi otetaan käyttöön uusi kiireellinen menettely s</w:t>
      </w:r>
      <w:r w:rsidRPr="00227454">
        <w:t>iltä varalta, että tilanne edellyttää komission välittömiä toimia.</w:t>
      </w:r>
    </w:p>
    <w:p w:rsidR="008200DF" w:rsidRPr="00227454" w:rsidRDefault="008200DF" w:rsidP="008200DF">
      <w:pPr>
        <w:rPr>
          <w:bCs/>
          <w:noProof/>
        </w:rPr>
      </w:pPr>
    </w:p>
    <w:p w:rsidR="008200DF" w:rsidRPr="00227454" w:rsidRDefault="00B50159" w:rsidP="008200DF">
      <w:r w:rsidRPr="00227454">
        <w:rPr>
          <w:b/>
        </w:rPr>
        <w:t>3. Esittelijän kanta</w:t>
      </w:r>
    </w:p>
    <w:p w:rsidR="008200DF" w:rsidRPr="00227454" w:rsidRDefault="008200DF" w:rsidP="008200DF"/>
    <w:p w:rsidR="008200DF" w:rsidRPr="00227454" w:rsidRDefault="00B50159" w:rsidP="008200DF">
      <w:r w:rsidRPr="00227454">
        <w:t>Koska viisumivapautta on laajennettu useisiin uusiin kolmansiin maihin viime vuosina ja eri puolilla maailmaa ilmenee jatkuvasti uusia haasteita ja kriisejä, esitteli</w:t>
      </w:r>
      <w:r w:rsidRPr="00227454">
        <w:t xml:space="preserve">jä katsoo, että Euroopan unioni tarvitsee tehokkaita ja riittäviä välineitä tällaisiin haasteisiin vastaamiseksi, myös viisumipolitiikan alalla.  </w:t>
      </w:r>
    </w:p>
    <w:p w:rsidR="008200DF" w:rsidRPr="00227454" w:rsidRDefault="008200DF" w:rsidP="008200DF"/>
    <w:p w:rsidR="008200DF" w:rsidRPr="00227454" w:rsidRDefault="00B50159" w:rsidP="008200DF">
      <w:r w:rsidRPr="00227454">
        <w:t xml:space="preserve">Esittelijä tukee siksi tässä suhteessa suurelta osin komission tavoitetta ja tarvetta vahvistaa ja parantaa </w:t>
      </w:r>
      <w:r w:rsidRPr="00227454">
        <w:t>viisumivapauden keskeyttämismekanismia. On syytä huomata, että keskeyttämismekanismi on käynnistetty vain kerran sen jälkeen, kun se otettiin käyttöön vuonna 2013. Niin on tehty Vanuatun osalta, koska EU oli huolissaan sen toteuttamista sijoittajien kansal</w:t>
      </w:r>
      <w:r w:rsidRPr="00227454">
        <w:t xml:space="preserve">aisuusjärjestelyistä. Neuvosto hyväksyi Vanuatun kansalaisten viisumivapauden osittaisen keskeyttämisen maaliskuussa 2022 ja keskeytti sen täysimääräisesti lokakuussa 2022. Täysimääräinen keskeyttäminen on edelleen voimassa. </w:t>
      </w:r>
    </w:p>
    <w:p w:rsidR="008200DF" w:rsidRPr="00227454" w:rsidRDefault="008200DF" w:rsidP="008200DF"/>
    <w:p w:rsidR="008200DF" w:rsidRPr="00227454" w:rsidRDefault="00B50159" w:rsidP="008200DF">
      <w:r w:rsidRPr="00227454">
        <w:t>Koska maailma muuttuu jatkuva</w:t>
      </w:r>
      <w:r w:rsidRPr="00227454">
        <w:t xml:space="preserve">sti ja EU:n politiikka ja viisumivapausjärjestelmä kehittyvät, esittelijä katsoo, että keskeyttämismekanismin tarkistamisessa olisi tarkasteltava EU:n viisumipolitiikkaa kokonaisvaltaisesti ottaen huomioon kaikki näkökohdat.  </w:t>
      </w:r>
    </w:p>
    <w:p w:rsidR="008200DF" w:rsidRPr="00227454" w:rsidRDefault="008200DF" w:rsidP="008200DF"/>
    <w:p w:rsidR="008200DF" w:rsidRPr="00227454" w:rsidRDefault="00B50159" w:rsidP="008200DF">
      <w:r w:rsidRPr="00227454">
        <w:t>Näin ollen esittelijä katsoo</w:t>
      </w:r>
      <w:r w:rsidRPr="00227454">
        <w:t>, että EU:n viisumivapauden edellytysten, jotka perustuvat eri kriteerien tapauskohtaiseen arviointiin, ja perusteiden, jotka mahdollistavat kyseisen vapauden keskeyttämisen, välillä on luontainen kuilu. Esittelijä katsoo myös, että on olemassa erityisiä e</w:t>
      </w:r>
      <w:r w:rsidRPr="00227454">
        <w:t xml:space="preserve">roavaisuuksia, jotka liittyvät unionin ulkosuhteisiin asianomaisiin kolmansiin maihin, ihmisoikeuksia ja perusvapauksia koskevat näkökohdat mukaan lukien. </w:t>
      </w:r>
    </w:p>
    <w:p w:rsidR="008200DF" w:rsidRPr="00227454" w:rsidRDefault="008200DF" w:rsidP="008200DF"/>
    <w:p w:rsidR="008200DF" w:rsidRPr="00227454" w:rsidRDefault="00B50159" w:rsidP="008200DF">
      <w:r w:rsidRPr="00227454">
        <w:t>Esittelijä katsoo tältä osin, että kolmannen maan kanssa sovitun viisumivapausjärjestelmän keskeytt</w:t>
      </w:r>
      <w:r w:rsidRPr="00227454">
        <w:t xml:space="preserve">ämisen perusteissa on otettava huomioon näkökohdat, jotka liittyvät unionin tai tietyissä tapauksissa jäsenvaltioiden ulkosuhteisiin asianomaiseen kolmanteen maahan. </w:t>
      </w:r>
    </w:p>
    <w:p w:rsidR="008200DF" w:rsidRPr="00227454" w:rsidRDefault="008200DF" w:rsidP="008200DF"/>
    <w:p w:rsidR="008200DF" w:rsidRPr="00227454" w:rsidRDefault="00B50159" w:rsidP="008200DF">
      <w:r w:rsidRPr="00227454">
        <w:t xml:space="preserve">Näihin keskeyttämisperusteisiin olisi kuuluttava muun muassa seuraavat: </w:t>
      </w:r>
      <w:r w:rsidRPr="00227454">
        <w:rPr>
          <w:b/>
        </w:rPr>
        <w:t>a)</w:t>
      </w:r>
      <w:r w:rsidRPr="00227454">
        <w:t xml:space="preserve"> Euroopan unio</w:t>
      </w:r>
      <w:r w:rsidRPr="00227454">
        <w:t xml:space="preserve">nin tai Euroopan unionin ja toisaalta sen jäsenvaltioiden ja toisaalta asianomaisten kolmansien maiden välisten kahden- ja monenvälisten sopimusten rikkominen tai keskeyttäminen; </w:t>
      </w:r>
      <w:r w:rsidRPr="00227454">
        <w:rPr>
          <w:b/>
        </w:rPr>
        <w:t>b)</w:t>
      </w:r>
      <w:r w:rsidRPr="00227454">
        <w:t xml:space="preserve"> asianomaisen kolmannen maan toteuttama kansainvälisen oikeuden ja normien,</w:t>
      </w:r>
      <w:r w:rsidRPr="00227454">
        <w:t xml:space="preserve"> myös kansainvälisen humanitaarisen oikeuden, vakava rikkominen, mukaan lukien kansainvälisten tuomioistuinten päätösten ja ratkaisujen noudattamatta jättäminen; </w:t>
      </w:r>
      <w:r w:rsidRPr="00227454">
        <w:rPr>
          <w:b/>
        </w:rPr>
        <w:t>c)</w:t>
      </w:r>
      <w:r w:rsidRPr="00227454">
        <w:t xml:space="preserve"> asianomaisen kolmannen maan vihamieliset teot tai hyökkäykset yhtä tai useampaa jäsenvaltio</w:t>
      </w:r>
      <w:r w:rsidRPr="00227454">
        <w:t xml:space="preserve">ta tai unionia vastaan; </w:t>
      </w:r>
      <w:r w:rsidRPr="00227454">
        <w:rPr>
          <w:b/>
        </w:rPr>
        <w:t>d)</w:t>
      </w:r>
      <w:r w:rsidRPr="00227454">
        <w:t xml:space="preserve"> asianomaisen kolmannen maan toteuttamat vakavat ihmisoikeusloukkaukset, mukaan lukien abortin kriminalisointi, hlbtiq+-henkilöitä koskevat ihmisoikeusloukkaukset sekä kuolemanrangaistuksen käyttöönotto tai käyttö; ja </w:t>
      </w:r>
      <w:r w:rsidRPr="00227454">
        <w:rPr>
          <w:b/>
        </w:rPr>
        <w:t>e)</w:t>
      </w:r>
      <w:r w:rsidRPr="00227454">
        <w:t xml:space="preserve"> asiaankuu</w:t>
      </w:r>
      <w:r w:rsidRPr="00227454">
        <w:t xml:space="preserve">luvien EU:n pakotteiden noudattamatta jättäminen. </w:t>
      </w:r>
    </w:p>
    <w:p w:rsidR="008200DF" w:rsidRPr="00227454" w:rsidRDefault="008200DF" w:rsidP="008200DF"/>
    <w:p w:rsidR="008200DF" w:rsidRPr="00227454" w:rsidRDefault="00B50159" w:rsidP="008200DF">
      <w:r w:rsidRPr="00227454">
        <w:t>Esittelijä katsoo myös, että perusperusteiden jatkuvaa täyttymistä on arvioitava säännöllisesti sellaisten kolmansien maiden osalta, joiden viisumivapautta ei myönnetty viisumivapautta koskevan vuoropuhel</w:t>
      </w:r>
      <w:r w:rsidRPr="00227454">
        <w:t>un seurauksena. Esittelijä kannattaa tältä osin komission ehdotusta, joka koskee keskeyttämisperusteiden olemassaolon seurantaa kaikkien kolmansien maiden osalta, mutta niissä on epäilemättä otettava huomioon näkökohdat, jotka liittyvät unionin tai tietyis</w:t>
      </w:r>
      <w:r w:rsidRPr="00227454">
        <w:t>sä tapauksissa jäsenvaltioiden ulkosuhteisiin asianomaiseen kolmanteen maahan.</w:t>
      </w:r>
    </w:p>
    <w:p w:rsidR="008200DF" w:rsidRPr="00227454" w:rsidRDefault="008200DF" w:rsidP="008200DF"/>
    <w:p w:rsidR="008200DF" w:rsidRPr="00227454" w:rsidRDefault="00B50159" w:rsidP="008200DF">
      <w:r w:rsidRPr="00227454">
        <w:t>Koska nykyinen vaalikausi päättyy pian, esittelijä toivoo, että Euroopan parlamentin neuvotteluvaltuudet hyväksytään nopeasti, jotta varmistetaan edistyksellinen teksti, joka olisi otettava huomioon myös EU:n kehittyvässä viisumipolitiikassa.</w:t>
      </w:r>
    </w:p>
    <w:p w:rsidR="00AF66BC" w:rsidRPr="00227454" w:rsidRDefault="00AF66BC" w:rsidP="008200DF"/>
    <w:p w:rsidR="00AF66BC" w:rsidRPr="00227454" w:rsidRDefault="00AF66BC">
      <w:pPr>
        <w:widowControl/>
        <w:sectPr w:rsidR="00AF66BC" w:rsidRPr="00227454" w:rsidSect="00AF66B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F66BC" w:rsidRPr="00227454" w:rsidRDefault="00AF66BC">
      <w:pPr>
        <w:widowControl/>
      </w:pPr>
    </w:p>
    <w:p w:rsidR="00AF66BC" w:rsidRPr="00227454" w:rsidRDefault="00B50159" w:rsidP="000A0FF0">
      <w:pPr>
        <w:pStyle w:val="PageHeading"/>
        <w:rPr>
          <w:noProof/>
        </w:rPr>
      </w:pPr>
      <w:bookmarkStart w:id="4" w:name="FootprintPageRR"/>
      <w:bookmarkStart w:id="5" w:name="_Toc160111547"/>
      <w:r w:rsidRPr="00227454">
        <w:t>LIITE: YHTEISÖT TAI HENKILÖT, JOILTA ESITTELIJÄ ON SAANUT TIETOJA</w:t>
      </w:r>
      <w:bookmarkEnd w:id="5"/>
    </w:p>
    <w:p w:rsidR="00E726D9" w:rsidRPr="00227454" w:rsidRDefault="00B50159" w:rsidP="00E726D9">
      <w:pPr>
        <w:pStyle w:val="NormalWeb"/>
        <w:rPr>
          <w:rFonts w:ascii="Times" w:hAnsi="Times" w:cs="Times"/>
          <w:i/>
          <w:iCs/>
        </w:rPr>
      </w:pPr>
      <w:r w:rsidRPr="00227454">
        <w:rPr>
          <w:rStyle w:val="HideTWBExt"/>
        </w:rPr>
        <w:t>&lt;FootprintIntro&gt;</w:t>
      </w:r>
      <w:r w:rsidRPr="00227454">
        <w:rPr>
          <w:rFonts w:ascii="Times" w:hAnsi="Times"/>
          <w:i/>
        </w:rPr>
        <w:t xml:space="preserve"> </w:t>
      </w:r>
      <w:r w:rsidRPr="00227454">
        <w:rPr>
          <w:snapToGrid w:val="0"/>
          <w:sz w:val="22"/>
        </w:rPr>
        <w:t xml:space="preserve">Esittelijä ilmoittaa työjärjestyksen liitteessä I olevan 8 artiklan mukaisesti </w:t>
      </w:r>
      <w:r w:rsidRPr="00227454">
        <w:rPr>
          <w:rFonts w:ascii="Times" w:hAnsi="Times"/>
        </w:rPr>
        <w:t xml:space="preserve">saaneensa tietoja seuraavilta yhteisöiltä tai henkilöiltä valmistellessaan mietintöluonnosta: </w:t>
      </w:r>
      <w:r w:rsidRPr="0022745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677B9" w:rsidRPr="00227454" w:rsidTr="006052B3">
        <w:tc>
          <w:tcPr>
            <w:tcW w:w="9060" w:type="dxa"/>
            <w:shd w:val="clear" w:color="auto" w:fill="auto"/>
          </w:tcPr>
          <w:p w:rsidR="00E726D9" w:rsidRPr="00227454" w:rsidRDefault="00B50159" w:rsidP="006052B3">
            <w:pPr>
              <w:pStyle w:val="NormalBoldCenter"/>
            </w:pPr>
            <w:r w:rsidRPr="00227454">
              <w:t>Yhteisö ja/tai henkilö</w:t>
            </w:r>
          </w:p>
        </w:tc>
      </w:tr>
      <w:tr w:rsidR="000677B9" w:rsidRPr="00227454" w:rsidTr="006052B3">
        <w:tc>
          <w:tcPr>
            <w:tcW w:w="9060" w:type="dxa"/>
            <w:shd w:val="clear" w:color="auto" w:fill="auto"/>
          </w:tcPr>
          <w:p w:rsidR="00E726D9" w:rsidRPr="00227454" w:rsidRDefault="00B50159" w:rsidP="006052B3">
            <w:pPr>
              <w:rPr>
                <w:b/>
              </w:rPr>
            </w:pPr>
            <w:r w:rsidRPr="00227454">
              <w:rPr>
                <w:rFonts w:ascii="Calibri" w:hAnsi="Calibri"/>
              </w:rPr>
              <w:t>College Green Group Ltd</w:t>
            </w:r>
          </w:p>
        </w:tc>
      </w:tr>
    </w:tbl>
    <w:p w:rsidR="00E726D9" w:rsidRPr="00227454" w:rsidRDefault="00E726D9" w:rsidP="00E726D9"/>
    <w:p w:rsidR="00AF66BC" w:rsidRPr="00227454" w:rsidRDefault="00B50159" w:rsidP="00837211">
      <w:r w:rsidRPr="00227454">
        <w:rPr>
          <w:snapToGrid w:val="0"/>
          <w:sz w:val="22"/>
        </w:rPr>
        <w:t>Esittelijä on yksin vastuussa edellä olevan luettelon laatimisesta.</w:t>
      </w:r>
    </w:p>
    <w:p w:rsidR="00AF66BC" w:rsidRPr="00227454" w:rsidRDefault="00AF66BC" w:rsidP="00AF66BC"/>
    <w:bookmarkEnd w:id="4"/>
    <w:p w:rsidR="00AF66BC" w:rsidRPr="00227454" w:rsidRDefault="00AF66BC" w:rsidP="008200DF"/>
    <w:sectPr w:rsidR="00AF66BC" w:rsidRPr="00227454" w:rsidSect="00AF66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F1941" w:rsidRDefault="00B50159">
      <w:r w:rsidRPr="007F1941">
        <w:separator/>
      </w:r>
    </w:p>
  </w:endnote>
  <w:endnote w:type="continuationSeparator" w:id="0">
    <w:p w:rsidR="00000000" w:rsidRPr="007F1941" w:rsidRDefault="00B50159">
      <w:r w:rsidRPr="007F1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941" w:rsidRPr="007F1941" w:rsidRDefault="007F1941" w:rsidP="007F1941">
    <w:pPr>
      <w:pStyle w:val="EPFooter"/>
    </w:pPr>
    <w:r w:rsidRPr="007F1941">
      <w:t>PE</w:t>
    </w:r>
    <w:r w:rsidRPr="007F1941">
      <w:rPr>
        <w:rStyle w:val="HideTWBExt"/>
      </w:rPr>
      <w:t>&lt;NoPE&gt;</w:t>
    </w:r>
    <w:r w:rsidRPr="007F1941">
      <w:t>759.070</w:t>
    </w:r>
    <w:r w:rsidRPr="007F1941">
      <w:rPr>
        <w:rStyle w:val="HideTWBExt"/>
      </w:rPr>
      <w:t>&lt;/NoPE&gt;&lt;Version&gt;</w:t>
    </w:r>
    <w:r w:rsidRPr="007F1941">
      <w:t>v01-00</w:t>
    </w:r>
    <w:r w:rsidRPr="007F1941">
      <w:rPr>
        <w:rStyle w:val="HideTWBExt"/>
      </w:rPr>
      <w:t>&lt;/Version&gt;</w:t>
    </w:r>
    <w:r w:rsidRPr="007F1941">
      <w:tab/>
    </w:r>
    <w:r w:rsidRPr="007F1941">
      <w:fldChar w:fldCharType="begin"/>
    </w:r>
    <w:r w:rsidRPr="007F1941">
      <w:instrText xml:space="preserve"> PAGE  \* MERGEFORMAT </w:instrText>
    </w:r>
    <w:r w:rsidRPr="007F1941">
      <w:fldChar w:fldCharType="separate"/>
    </w:r>
    <w:r w:rsidR="00B50159">
      <w:rPr>
        <w:noProof/>
      </w:rPr>
      <w:t>2</w:t>
    </w:r>
    <w:r w:rsidRPr="007F1941">
      <w:fldChar w:fldCharType="end"/>
    </w:r>
    <w:r w:rsidRPr="007F1941">
      <w:t>/</w:t>
    </w:r>
    <w:r w:rsidRPr="007F1941">
      <w:fldChar w:fldCharType="begin"/>
    </w:r>
    <w:r w:rsidRPr="007F1941">
      <w:instrText xml:space="preserve"> NUMPAGES  \* MERGEFORMAT </w:instrText>
    </w:r>
    <w:r w:rsidRPr="007F1941">
      <w:fldChar w:fldCharType="separate"/>
    </w:r>
    <w:r w:rsidR="00B50159">
      <w:rPr>
        <w:noProof/>
      </w:rPr>
      <w:t>4</w:t>
    </w:r>
    <w:r w:rsidRPr="007F1941">
      <w:fldChar w:fldCharType="end"/>
    </w:r>
    <w:r w:rsidRPr="007F1941">
      <w:tab/>
    </w:r>
    <w:r w:rsidRPr="007F1941">
      <w:rPr>
        <w:rStyle w:val="HideTWBExt"/>
      </w:rPr>
      <w:t>&lt;PathFdR&gt;</w:t>
    </w:r>
    <w:r w:rsidRPr="007F1941">
      <w:t>PR\1296979FI.docx</w:t>
    </w:r>
    <w:r w:rsidRPr="007F1941">
      <w:rPr>
        <w:rStyle w:val="HideTWBExt"/>
      </w:rPr>
      <w:t>&lt;/PathFdR&gt;</w:t>
    </w:r>
  </w:p>
  <w:p w:rsidR="00FB52FE" w:rsidRPr="007F1941" w:rsidRDefault="007F1941" w:rsidP="007F1941">
    <w:pPr>
      <w:pStyle w:val="EPFooter2"/>
    </w:pPr>
    <w:r w:rsidRPr="007F194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941" w:rsidRPr="007F1941" w:rsidRDefault="007F1941" w:rsidP="007F1941">
    <w:pPr>
      <w:pStyle w:val="EPFooter"/>
    </w:pPr>
    <w:r w:rsidRPr="007F1941">
      <w:rPr>
        <w:rStyle w:val="HideTWBExt"/>
      </w:rPr>
      <w:t>&lt;PathFdR&gt;</w:t>
    </w:r>
    <w:r w:rsidRPr="007F1941">
      <w:t>PR\1296979FI.docx</w:t>
    </w:r>
    <w:r w:rsidRPr="007F1941">
      <w:rPr>
        <w:rStyle w:val="HideTWBExt"/>
      </w:rPr>
      <w:t>&lt;/PathFdR&gt;</w:t>
    </w:r>
    <w:r w:rsidRPr="007F1941">
      <w:tab/>
    </w:r>
    <w:r w:rsidRPr="007F1941">
      <w:fldChar w:fldCharType="begin"/>
    </w:r>
    <w:r w:rsidRPr="007F1941">
      <w:instrText xml:space="preserve"> PAGE  \* MERGEFORMAT </w:instrText>
    </w:r>
    <w:r w:rsidRPr="007F1941">
      <w:fldChar w:fldCharType="separate"/>
    </w:r>
    <w:r w:rsidR="00B50159">
      <w:rPr>
        <w:noProof/>
      </w:rPr>
      <w:t>3</w:t>
    </w:r>
    <w:r w:rsidRPr="007F1941">
      <w:fldChar w:fldCharType="end"/>
    </w:r>
    <w:r w:rsidRPr="007F1941">
      <w:t>/</w:t>
    </w:r>
    <w:r w:rsidRPr="007F1941">
      <w:fldChar w:fldCharType="begin"/>
    </w:r>
    <w:r w:rsidRPr="007F1941">
      <w:instrText xml:space="preserve"> NUMPAGES  \* MERGEFORMAT </w:instrText>
    </w:r>
    <w:r w:rsidRPr="007F1941">
      <w:fldChar w:fldCharType="separate"/>
    </w:r>
    <w:r w:rsidR="00B50159">
      <w:rPr>
        <w:noProof/>
      </w:rPr>
      <w:t>3</w:t>
    </w:r>
    <w:r w:rsidRPr="007F1941">
      <w:fldChar w:fldCharType="end"/>
    </w:r>
    <w:r w:rsidRPr="007F1941">
      <w:tab/>
      <w:t>PE</w:t>
    </w:r>
    <w:r w:rsidRPr="007F1941">
      <w:rPr>
        <w:rStyle w:val="HideTWBExt"/>
      </w:rPr>
      <w:t>&lt;NoPE&gt;</w:t>
    </w:r>
    <w:r w:rsidRPr="007F1941">
      <w:t>759.070</w:t>
    </w:r>
    <w:r w:rsidRPr="007F1941">
      <w:rPr>
        <w:rStyle w:val="HideTWBExt"/>
      </w:rPr>
      <w:t>&lt;/NoPE&gt;&lt;Version&gt;</w:t>
    </w:r>
    <w:r w:rsidRPr="007F1941">
      <w:t>v01-00</w:t>
    </w:r>
    <w:r w:rsidRPr="007F1941">
      <w:rPr>
        <w:rStyle w:val="HideTWBExt"/>
      </w:rPr>
      <w:t>&lt;/Version&gt;</w:t>
    </w:r>
  </w:p>
  <w:p w:rsidR="00FB52FE" w:rsidRPr="007F1941" w:rsidRDefault="007F1941" w:rsidP="007F1941">
    <w:pPr>
      <w:pStyle w:val="EPFooter2"/>
    </w:pPr>
    <w:r w:rsidRPr="007F1941">
      <w:tab/>
    </w:r>
    <w:r w:rsidRPr="007F194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941" w:rsidRPr="007F1941" w:rsidRDefault="007F1941" w:rsidP="007F1941">
    <w:pPr>
      <w:pStyle w:val="EPFooter"/>
    </w:pPr>
    <w:r w:rsidRPr="007F1941">
      <w:rPr>
        <w:rStyle w:val="HideTWBExt"/>
      </w:rPr>
      <w:t>&lt;PathFdR&gt;</w:t>
    </w:r>
    <w:r w:rsidRPr="007F1941">
      <w:t>PR\1296979FI.docx</w:t>
    </w:r>
    <w:r w:rsidRPr="007F1941">
      <w:rPr>
        <w:rStyle w:val="HideTWBExt"/>
      </w:rPr>
      <w:t>&lt;/PathFdR&gt;</w:t>
    </w:r>
    <w:r w:rsidRPr="007F1941">
      <w:tab/>
    </w:r>
    <w:r w:rsidRPr="007F1941">
      <w:tab/>
      <w:t>PE</w:t>
    </w:r>
    <w:r w:rsidRPr="007F1941">
      <w:rPr>
        <w:rStyle w:val="HideTWBExt"/>
      </w:rPr>
      <w:t>&lt;NoPE&gt;</w:t>
    </w:r>
    <w:r w:rsidRPr="007F1941">
      <w:t>759.070</w:t>
    </w:r>
    <w:r w:rsidRPr="007F1941">
      <w:rPr>
        <w:rStyle w:val="HideTWBExt"/>
      </w:rPr>
      <w:t>&lt;/NoPE&gt;&lt;Version&gt;</w:t>
    </w:r>
    <w:r w:rsidRPr="007F1941">
      <w:t>v01-00</w:t>
    </w:r>
    <w:r w:rsidRPr="007F1941">
      <w:rPr>
        <w:rStyle w:val="HideTWBExt"/>
      </w:rPr>
      <w:t>&lt;/Version&gt;</w:t>
    </w:r>
  </w:p>
  <w:p w:rsidR="00FB52FE" w:rsidRPr="007F1941" w:rsidRDefault="007F1941" w:rsidP="007F1941">
    <w:pPr>
      <w:pStyle w:val="EPFooter2"/>
    </w:pPr>
    <w:r w:rsidRPr="007F1941">
      <w:t>FI</w:t>
    </w:r>
    <w:r w:rsidRPr="007F1941">
      <w:tab/>
    </w:r>
    <w:r w:rsidRPr="007F1941">
      <w:rPr>
        <w:b w:val="0"/>
        <w:i/>
        <w:color w:val="C0C0C0"/>
        <w:sz w:val="22"/>
      </w:rPr>
      <w:t>Moninaisuudessaan yhtenäinen</w:t>
    </w:r>
    <w:r w:rsidRPr="007F194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574" w:rsidRPr="007F1941" w:rsidRDefault="00B50159">
      <w:r w:rsidRPr="007F1941">
        <w:separator/>
      </w:r>
    </w:p>
  </w:footnote>
  <w:footnote w:type="continuationSeparator" w:id="0">
    <w:p w:rsidR="005E6574" w:rsidRPr="007F1941" w:rsidRDefault="00B50159">
      <w:r w:rsidRPr="007F1941">
        <w:continuationSeparator/>
      </w:r>
    </w:p>
  </w:footnote>
  <w:footnote w:id="1">
    <w:p w:rsidR="008200DF" w:rsidRPr="007F1941" w:rsidRDefault="00B50159" w:rsidP="008200DF">
      <w:pPr>
        <w:pStyle w:val="FootnoteText"/>
        <w:ind w:left="284" w:hanging="284"/>
        <w:rPr>
          <w:sz w:val="18"/>
        </w:rPr>
      </w:pPr>
      <w:r w:rsidRPr="007F1941">
        <w:rPr>
          <w:rStyle w:val="FootnoteReference"/>
          <w:sz w:val="18"/>
        </w:rPr>
        <w:footnoteRef/>
      </w:r>
      <w:r w:rsidRPr="007F1941">
        <w:rPr>
          <w:sz w:val="18"/>
        </w:rPr>
        <w:tab/>
        <w:t>Euroopan parlament</w:t>
      </w:r>
      <w:r w:rsidRPr="007F1941">
        <w:rPr>
          <w:sz w:val="18"/>
        </w:rPr>
        <w:t>in ja neuvoston asetus (EU) N:o 1289/2013, annettu 11 päivänä joulukuuta 2013, luettelon vahvistamisesta kolmansista maista, joiden kansalaisilla on oltava viisumi ulkorajoja ylittäessään, ja niistä kolmansista maista, joiden kansalaisia tämä vaatimus ei k</w:t>
      </w:r>
      <w:r w:rsidRPr="007F1941">
        <w:rPr>
          <w:sz w:val="18"/>
        </w:rPr>
        <w:t>oske, annetun neuvoston asetuksen (EY) N:o 539/2001 muuttamisesta, EUVL L 347, 20.12.2013, s. 74–80.</w:t>
      </w:r>
    </w:p>
  </w:footnote>
  <w:footnote w:id="2">
    <w:p w:rsidR="008200DF" w:rsidRPr="007F1941" w:rsidRDefault="00B50159" w:rsidP="008200DF">
      <w:pPr>
        <w:pStyle w:val="FootnoteText"/>
        <w:ind w:left="284" w:hanging="284"/>
      </w:pPr>
      <w:r w:rsidRPr="007F1941">
        <w:rPr>
          <w:rStyle w:val="FootnoteReference"/>
          <w:sz w:val="18"/>
        </w:rPr>
        <w:footnoteRef/>
      </w:r>
      <w:r w:rsidRPr="007F1941">
        <w:rPr>
          <w:sz w:val="18"/>
        </w:rPr>
        <w:tab/>
        <w:t>Euroopan parlamentin ja neuvoston asetus (EU) N:o 2017/371, annettu 1 päivänä maaliskuuta 2017, luettelon vahvistamisesta niistä kolmansista maista, joid</w:t>
      </w:r>
      <w:r w:rsidRPr="007F1941">
        <w:rPr>
          <w:sz w:val="18"/>
        </w:rPr>
        <w:t>en kansalaisilla on oltava viisumi ulkorajoja ylittäessään, ja niistä kolmansista maista, joiden kansalaisia tämä vaatimus ei koske, annetun neuvoston asetuksen (EY) N:o</w:t>
      </w:r>
      <w:r w:rsidR="006D2669">
        <w:rPr>
          <w:sz w:val="18"/>
        </w:rPr>
        <w:t> </w:t>
      </w:r>
      <w:r w:rsidRPr="007F1941">
        <w:rPr>
          <w:sz w:val="18"/>
        </w:rPr>
        <w:t>539/2001 muuttamisesta (keskeyttämismekanismin tarkistus), EUVL L 61, 8.3.2017, s. 1–6</w:t>
      </w:r>
      <w:r w:rsidRPr="007F1941">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669" w:rsidRDefault="006D2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669" w:rsidRDefault="006D26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669" w:rsidRDefault="006D2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1"/>
    <w:docVar w:name="CJMNU" w:val="1"/>
    <w:docVar w:name="COMKEY" w:val="LIBE"/>
    <w:docVar w:name="CONTRIBUTIONMNU" w:val=" 2"/>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4649 HideTWBExt;}{\*\cs18 \additive \v\f1\fs20\cf15 _x000d__x000a_\spriority0 \styrsid4864649 HideTWBInt;}{\s19\ql \li0\ri0\sa120\nowidctlpar\wrapdefault\aspalpha\aspnum\faauto\adjustright\rin0\lin0\itap0 \rtlch\fcs1 \af0\afs20\alang1025 \ltrch\fcs0 \fs24\lang2057\langfe2057\cgrid\langnp2057\langfenp2057 _x000d__x000a_\sbasedon0 \snext19 \spriority0 \styrsid4864649 Normal6a;}{\s20\ql \li0\ri0\nowidctlpar\wrapdefault\aspalpha\aspnum\faauto\adjustright\rin0\lin0\itap0 \rtlch\fcs1 \af0\afs20\alang1025 \ltrch\fcs0 \b\fs24\lang2057\langfe2057\cgrid\langnp2057\langfenp2057 _x000d__x000a_\sbasedon0 \snext20 \spriority0 \styrsid4864649 NormalBold;}{\s21\ql \li0\ri0\sa240\nowidctlpar\wrapdefault\aspalpha\aspnum\faauto\adjustright\rin0\lin0\itap0 \rtlch\fcs1 \af0\afs20\alang1025 \ltrch\fcs0 _x000d__x000a_\i\fs24\lang2057\langfe2057\cgrid\langnp2057\langfenp2057 \sbasedon0 \snext21 \spriority0 \styrsid4864649 AmJustText;}{\s22\qc \li0\ri0\sb240\sa240\nowidctlpar\wrapdefault\aspalpha\aspnum\faauto\adjustright\rin0\lin0\itap0 \rtlch\fcs1 _x000d__x000a_\af0\afs20\alang1025 \ltrch\fcs0 \i\fs24\lang2057\langfe2057\cgrid\langnp2057\langfenp2057 \sbasedon0 \snext22 \spriority0 \styrsid4864649 AmCrossRef;}{_x000d__x000a_\s23\qc \li0\ri0\sb240\sa240\keepn\nowidctlpar\wrapdefault\aspalpha\aspnum\faauto\adjustright\rin0\lin0\itap0 \rtlch\fcs1 \af0\afs20\alang1025 \ltrch\fcs0 \i\fs24\lang2057\langfe2057\cgrid\langnp2057\langfenp2057 _x000d__x000a_\sbasedon0 \snext21 \spriority0 \styrsid4864649 AmJustTitle;}{\s24\qr \li0\ri0\sb240\sa240\nowidctlpar\wrapdefault\aspalpha\aspnum\faauto\adjustright\rin0\lin0\itap0 \rtlch\fcs1 \af0\afs20\alang1025 \ltrch\fcs0 _x000d__x000a_\fs24\lang2057\langfe2057\cgrid\langnp2057\langfenp2057 \sbasedon0 \snext24 \spriority0 \styrsid4864649 AmOrLang;}{\s25\qc \li0\ri0\sa240\nowidctlpar\wrapdefault\aspalpha\aspnum\faauto\adjustright\rin0\lin0\itap0 \rtlch\fcs1 \af0\afs20\alang1025 _x000d__x000a_\ltrch\fcs0 \i\fs24\lang2057\langfe2057\cgrid\langnp2057\langfenp2057 \sbasedon0 \snext25 \spriority0 \styrsid48646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64649 AmNumberTabs;}{\s27\ql \li0\ri0\sb240\nowidctlpar\wrapdefault\aspalpha\aspnum\faauto\adjustright\rin0\lin0\itap0 \rtlch\fcs1 _x000d__x000a_\af0\afs20\alang1025 \ltrch\fcs0 \b\fs24\lang2057\langfe2057\cgrid\langnp2057\langfenp2057 \sbasedon0 \snext27 \spriority0 \styrsid4864649 NormalBold12b;}}{\*\rsidtbl \rsid24658\rsid223860\rsid735077\rsid1718133\rsid2892074\rsid3498550\rsid3565327_x000d__x000a_\rsid4666813\rsid486464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ERNANDEZ PLAZA Remedios}{\operator FERNANDEZ PLAZA Remedios}{\creatim\yr2024\mo2\dy15\hr15\min55}{\revtim\yr2024\mo2\dy15\hr15\min55}{\version1}_x000d__x000a_{\edmins0}{\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64649\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3498550 \chftnsep _x000d__x000a_\par }}{\*\ftnsepc \ltrpar \pard\plain \ltrpar\ql \li0\ri0\widctlpar\wrapdefault\aspalpha\aspnum\faauto\adjustright\rin0\lin0\itap0 \rtlch\fcs1 \af0\afs20\alang1025 \ltrch\fcs0 \fs24\lang2057\langfe2057\cgrid\langnp2057\langfenp2057 {\rtlch\fcs1 \af0 _x000d__x000a_\ltrch\fcs0 \insrsid3498550 \chftnsepc _x000d__x000a_\par }}{\*\aftnsep \ltrpar \pard\plain \ltrpar\ql \li0\ri0\widctlpar\wrapdefault\aspalpha\aspnum\faauto\adjustright\rin0\lin0\itap0 \rtlch\fcs1 \af0\afs20\alang1025 \ltrch\fcs0 \fs24\lang2057\langfe2057\cgrid\langnp2057\langfenp2057 {\rtlch\fcs1 \af0 _x000d__x000a_\ltrch\fcs0 \insrsid3498550 \chftnsep _x000d__x000a_\par }}{\*\aftnsepc \ltrpar \pard\plain \ltrpar\ql \li0\ri0\widctlpar\wrapdefault\aspalpha\aspnum\faauto\adjustright\rin0\lin0\itap0 \rtlch\fcs1 \af0\afs20\alang1025 \ltrch\fcs0 \fs24\lang2057\langfe2057\cgrid\langnp2057\langfenp2057 {\rtlch\fcs1 \af0 _x000d__x000a_\ltrch\fcs0 \insrsid3498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864649 \rtlch\fcs1 _x000d__x000a_\af0\afs20\alang1025 \ltrch\fcs0 \b\fs24\lang2057\langfe2057\cgrid\langnp2057\langfenp2057 {\rtlch\fcs1 \af0 \ltrch\fcs0 \cs17\b0\v\fs20\cf9\lang1024\langfe1024\loch\af1\hich\af1\dbch\af31501\noproof\insrsid4864649\charrsid6186356 {\*\bkmkstart restart}_x000d__x000a_\hich\af1\dbch\af31501\loch\f1 &lt;Amend&gt;}{\rtlch\fcs1 \af0 \ltrch\fcs0 \insrsid4864649\charrsid6186356 Amendment\tab \tab }{\rtlch\fcs1 \af0 \ltrch\fcs0 _x000d__x000a_\cs17\b0\v\fs20\cf9\lang1024\langfe1024\loch\af1\hich\af1\dbch\af31501\noproof\insrsid4864649\charrsid6186356 \hich\af1\dbch\af31501\loch\f1 &lt;NumAm&gt;}{\rtlch\fcs1 \af0 \ltrch\fcs0 \insrsid4864649\charrsid6186356 #}{\rtlch\fcs1 \af1 \ltrch\fcs0 _x000d__x000a_\cs18\v\f1\fs20\cf15\insrsid4864649\charrsid6186356 ENMIENDA@NRAM@}{\rtlch\fcs1 \af0 \ltrch\fcs0 \insrsid4864649\charrsid6186356 #}{\rtlch\fcs1 \af0 \ltrch\fcs0 _x000d__x000a_\cs17\b0\v\fs20\cf9\lang1024\langfe1024\loch\af1\hich\af1\dbch\af31501\noproof\insrsid4864649\charrsid6186356 \hich\af1\dbch\af31501\loch\f1 &lt;/NumAm&gt;}{\rtlch\fcs1 \af0 \ltrch\fcs0 \insrsid4864649\charrsid6186356 _x000d__x000a_\par }\pard\plain \ltrpar\s27\ql \li0\ri0\sb240\keepn\nowidctlpar\wrapdefault\aspalpha\aspnum\faauto\adjustright\rin0\lin0\itap0\pararsid4864649 \rtlch\fcs1 \af0\afs20\alang1025 \ltrch\fcs0 \b\fs24\lang2057\langfe2057\cgrid\langnp2057\langfenp2057 {_x000d__x000a_\rtlch\fcs1 \af0 \ltrch\fcs0 \cs17\b0\v\fs20\cf9\lang1024\langfe1024\loch\af1\hich\af1\dbch\af31501\noproof\insrsid4864649\charrsid6186356 \hich\af1\dbch\af31501\loch\f1 &lt;DocAmend&gt;}{\rtlch\fcs1 \af0 \ltrch\fcs0 \insrsid4864649\charrsid6186356 _x000d__x000a_Proposal for a #}{\rtlch\fcs1 \af1 \ltrch\fcs0 \cs18\v\f1\fs20\cf15\insrsid4864649\charrsid6186356 MNU[DOC1][DOC2][DOC3]@DOCMSG@DOCMNU}{\rtlch\fcs1 \af0 \ltrch\fcs0 \insrsid4864649\charrsid6186356 ##}{\rtlch\fcs1 \af1 \ltrch\fcs0 _x000d__x000a_\cs18\v\f1\fs20\cf15\insrsid4864649\charrsid6186356 MNU[AMACTYES][NOTAPP]@CHOICE@AMACTMNU}{\rtlch\fcs1 \af0 \ltrch\fcs0 \insrsid4864649\charrsid6186356 #}{\rtlch\fcs1 \af0 \ltrch\fcs0 _x000d__x000a_\cs17\b0\v\fs20\cf9\lang1024\langfe1024\loch\af1\hich\af1\dbch\af31501\noproof\insrsid4864649\charrsid6186356 \hich\af1\dbch\af31501\loch\f1 &lt;/DocAmend&gt;}{\rtlch\fcs1 \af0 \ltrch\fcs0 \insrsid4864649\charrsid6186356 _x000d__x000a_\par }\pard\plain \ltrpar\s20\ql \li0\ri0\keepn\nowidctlpar\wrapdefault\aspalpha\aspnum\faauto\adjustright\rin0\lin0\itap0\pararsid4864649 \rtlch\fcs1 \af0\afs20\alang1025 \ltrch\fcs0 \b\fs24\lang2057\langfe2057\cgrid\langnp2057\langfenp2057 {\rtlch\fcs1 \af0 _x000d__x000a_\ltrch\fcs0 \cs17\b0\v\fs20\cf9\lang1024\langfe1024\loch\af1\hich\af1\dbch\af31501\noproof\insrsid4864649\charrsid6186356 \hich\af1\dbch\af31501\loch\f1 &lt;Article&gt;}{\rtlch\fcs1 \af0 \ltrch\fcs0 \insrsid4864649\charrsid6186356 #}{\rtlch\fcs1 \af1 _x000d__x000a_\ltrch\fcs0 \cs18\v\f1\fs20\cf15\insrsid4864649\charrsid6186356 MNU[AMACTPARTYES][AMACTPARTNO]@CHOICE@AMACTMNU}{\rtlch\fcs1 \af0 \ltrch\fcs0 \insrsid4864649\charrsid6186356 #}{\rtlch\fcs1 \af0 \ltrch\fcs0 _x000d__x000a_\cs17\b0\v\fs20\cf9\lang1024\langfe1024\loch\af1\hich\af1\dbch\af31501\noproof\insrsid4864649\charrsid6186356 \hich\af1\dbch\af31501\loch\f1 &lt;/Article&gt;}{\rtlch\fcs1 \af0 \ltrch\fcs0 \insrsid4864649\charrsid6186356 _x000d__x000a_\par }\pard\plain \ltrpar\ql \li0\ri0\keepn\widctlpar\wrapdefault\aspalpha\aspnum\faauto\adjustright\rin0\lin0\itap0\pararsid4864649 \rtlch\fcs1 \af0\afs20\alang1025 \ltrch\fcs0 \fs24\lang2057\langfe2057\cgrid\langnp2057\langfenp2057 {\rtlch\fcs1 \af0 _x000d__x000a_\ltrch\fcs0 \cs17\v\fs20\cf9\lang1024\langfe1024\loch\af1\hich\af1\dbch\af31501\noproof\insrsid4864649\charrsid6186356 \hich\af1\dbch\af31501\loch\f1 &lt;DocAmend2&gt;&lt;OptDel&gt;}{\rtlch\fcs1 \af0 \ltrch\fcs0 \insrsid4864649\charrsid6186356 #}{\rtlch\fcs1 \af1 _x000d__x000a_\ltrch\fcs0 \cs18\v\f1\fs20\cf15\insrsid4864649\charrsid6186356 MNU[OPTNRACTYES][NOTAPP]@CHOICE@AMACTMNU}{\rtlch\fcs1 \af0 \ltrch\fcs0 \insrsid4864649\charrsid6186356 #}{\rtlch\fcs1 \af0 \ltrch\fcs0 _x000d__x000a_\cs17\v\fs20\cf9\lang1024\langfe1024\loch\af1\hich\af1\dbch\af31501\noproof\insrsid4864649\charrsid6186356 \hich\af1\dbch\af31501\loch\f1 &lt;/OptDel&gt;&lt;/DocAmend2&gt;}{\rtlch\fcs1 \af0 \ltrch\fcs0 \insrsid4864649\charrsid6186356 _x000d__x000a_\par }\pard \ltrpar\ql \li0\ri0\widctlpar\wrapdefault\aspalpha\aspnum\faauto\adjustright\rin0\lin0\itap0\pararsid4864649 {\rtlch\fcs1 \af0 \ltrch\fcs0 \cs17\v\fs20\cf9\lang1024\langfe1024\loch\af1\hich\af1\dbch\af31501\noproof\insrsid4864649\charrsid6186356 _x000d__x000a_\hich\af1\dbch\af31501\loch\f1 &lt;Article2&gt;&lt;OptDel&gt;}{\rtlch\fcs1 \af0 \ltrch\fcs0 \insrsid4864649\charrsid6186356 #}{\rtlch\fcs1 \af1 \ltrch\fcs0 \cs18\v\f1\fs20\cf15\insrsid4864649\charrsid6186356 MNU[OPTACTPARTYES][NOTAPP]@CHOICE@AMACTMNU}{\rtlch\fcs1 _x000d__x000a_\af0 \ltrch\fcs0 \insrsid4864649\charrsid6186356 #}{\rtlch\fcs1 \af0 \ltrch\fcs0 \cs17\v\fs20\cf9\lang1024\langfe1024\loch\af1\hich\af1\dbch\af31501\noproof\insrsid4864649\charrsid6186356 \hich\af1\dbch\af31501\loch\f1 &lt;/OptDel&gt;&lt;/Article2&gt;}{\rtlch\fcs1 _x000d__x000a_\af0 \ltrch\fcs0 \insrsid4864649\charrsid61863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4864649\charrsid6186356 #}{\rtlch\fcs1 \af1 \ltrch\fcs0 \cs18\v\f1\fs20\cf15\insrsid4864649\charrsid6186356 MNU[OPTLEFTAMACT][LEFTPROP]@CHOICE@AMACTMNU}{\rtlch\fcs1 \af0 \ltrch\fcs0 \insrsid4864649\charrsid6186356 #\cell Amendment\cell _x000d__x000a_}\pard\plain \ltrpar\ql \li0\ri0\widctlpar\intbl\wrapdefault\aspalpha\aspnum\faauto\adjustright\rin0\lin0 \rtlch\fcs1 \af0\afs20\alang1025 \ltrch\fcs0 \fs24\lang2057\langfe2057\cgrid\langnp2057\langfenp2057 {\rtlch\fcs1 \af0 \ltrch\fcs0 _x000d__x000a_\insrsid4864649\charrsid6186356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4864649\charrsid6186356 ##\cell ##}{\rtlch\fcs1 \af0\afs24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864649 \rtlch\fcs1 \af0\afs20\alang1025 \ltrch\fcs0 \fs24\lang2057\langfe2057\cgrid\langnp2057\langfenp2057 {\rtlch\fcs1 \af0 \ltrch\fcs0 _x000d__x000a_\insrsid4864649\charrsid6186356 Or. }{\rtlch\fcs1 \af0 \ltrch\fcs0 \cs17\v\fs20\cf9\lang1024\langfe1024\loch\af1\hich\af1\dbch\af31501\noproof\insrsid4864649\charrsid6186356 \hich\af1\dbch\af31501\loch\f1 &lt;Original&gt;}{\rtlch\fcs1 \af0 \ltrch\fcs0 _x000d__x000a_\insrsid4864649\charrsid6186356 #}{\rtlch\fcs1 \af1 \ltrch\fcs0 \cs18\v\f1\fs20\cf15\insrsid4864649\charrsid6186356 MNU[ORLANGONE][ORLANGMORE]@CHOICE@ORLANGMNU}{\rtlch\fcs1 \af0 \ltrch\fcs0 \insrsid4864649\charrsid6186356 #}{\rtlch\fcs1 \af0 \ltrch\fcs0 _x000d__x000a_\cs17\v\fs20\cf9\lang1024\langfe1024\loch\af1\hich\af1\dbch\af31501\noproof\insrsid4864649\charrsid6186356 \hich\af1\dbch\af31501\loch\f1 &lt;/Original&gt;}{\rtlch\fcs1 \af0 \ltrch\fcs0 \insrsid4864649\charrsid6186356 _x000d__x000a_\par }\pard\plain \ltrpar\s22\qc \li0\ri0\sb240\sa240\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OptDel&gt;}{\rtlch\fcs1 \af0 \ltrch\fcs0 \insrsid4864649\charrsid6186356 #}{_x000d__x000a_\rtlch\fcs1 \af1 \ltrch\fcs0 \cs18\v\f1\fs20\cf15\insrsid4864649\charrsid6186356 MNU[CROSSREFNO][CROSSREFYES]@CHOICE@}{\rtlch\fcs1 \af0 \ltrch\fcs0 \insrsid4864649\charrsid6186356 #}{\rtlch\fcs1 \af0 \ltrch\fcs0 _x000d__x000a_\cs17\i0\v\fs20\cf9\lang1024\langfe1024\loch\af1\hich\af1\dbch\af31501\noproof\insrsid4864649\charrsid6186356 \hich\af1\dbch\af31501\loch\f1 &lt;/OptDel&gt;}{\rtlch\fcs1 \af0 \ltrch\fcs0 \insrsid4864649\charrsid6186356 _x000d__x000a_\par }\pard\plain \ltrpar\s23\qc \li0\ri0\sb240\sa240\keepn\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TitreJust&gt;}{\rtlch\fcs1 \af0 \ltrch\fcs0 \insrsid4864649\charrsid6186356 _x000d__x000a_Justification}{\rtlch\fcs1 \af0 \ltrch\fcs0 \cs17\i0\v\fs20\cf9\lang1024\langfe1024\loch\af1\hich\af1\dbch\af31501\noproof\insrsid4864649\charrsid6186356 \hich\af1\dbch\af31501\loch\f1 &lt;/TitreJust&gt;}{\rtlch\fcs1 \af0 \ltrch\fcs0 _x000d__x000a_\insrsid4864649\charrsid6186356 _x000d__x000a_\par }\pard\plain \ltrpar\s21\ql \li0\ri0\sa240\nowidctlpar\wrapdefault\aspalpha\aspnum\faauto\adjustright\rin0\lin0\itap0\pararsid4864649 \rtlch\fcs1 \af0\afs20\alang1025 \ltrch\fcs0 \i\fs24\lang2057\langfe2057\cgrid\langnp2057\langfenp2057 {\rtlch\fcs1 \af0 _x000d__x000a_\ltrch\fcs0 \cs17\i0\v\fs20\cf9\lang1024\langfe1024\loch\af1\hich\af1\dbch\af31501\noproof\insrsid4864649\charrsid6186356 \hich\af1\dbch\af31501\loch\f1 &lt;OptDelPrev&gt;}{\rtlch\fcs1 \af0 \ltrch\fcs0 \insrsid4864649\charrsid6186356 #}{\rtlch\fcs1 \af1 _x000d__x000a_\ltrch\fcs0 \cs18\v\f1\fs20\cf15\insrsid4864649\charrsid6186356 MNU[TEXTJUSTYES][TEXTJUSTNO]@CHOICE@}{\rtlch\fcs1 \af0 \ltrch\fcs0 \insrsid4864649\charrsid6186356 #}{\rtlch\fcs1 \af0 \ltrch\fcs0 _x000d__x000a_\cs17\i0\v\fs20\cf9\lang1024\langfe1024\loch\af1\hich\af1\dbch\af31501\noproof\insrsid4864649\charrsid6186356 \hich\af1\dbch\af31501\loch\f1 &lt;/OptDelPrev&gt;}{\rtlch\fcs1 \af0 \ltrch\fcs0 \insrsid4864649\charrsid6186356 _x000d__x000a_\par }\pard\plain \ltrpar\ql \li0\ri0\widctlpar\wrapdefault\aspalpha\aspnum\faauto\adjustright\rin0\lin0\itap0\pararsid4864649 \rtlch\fcs1 \af0\afs20\alang1025 \ltrch\fcs0 \fs24\lang2057\langfe2057\cgrid\langnp2057\langfenp2057 {\rtlch\fcs1 \af0 \ltrch\fcs0 _x000d__x000a_\cs17\v\fs20\cf9\lang1024\langfe1024\loch\af1\hich\af1\dbch\af31501\noproof\insrsid4864649\charrsid61863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5_x000d__x000a_77131f6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6"/>
    <w:docVar w:name="TVTAMPART" w:val="X"/>
    <w:docVar w:name="TXTAUTHOR" w:val="Matjaž Nemec"/>
    <w:docVar w:name="TXTLANGUE" w:val="EN"/>
    <w:docVar w:name="TXTLANGUEMIN" w:val="en"/>
    <w:docVar w:name="TXTNRC" w:val="0392/2023"/>
    <w:docVar w:name="TXTNRCOD" w:val="2023/0371"/>
    <w:docVar w:name="TXTNRCOM" w:val="(2023)0642"/>
    <w:docVar w:name="TXTNRFIRSTAM" w:val="1"/>
    <w:docVar w:name="TXTNRLASTAM" w:val="1"/>
    <w:docVar w:name="TXTNRPE" w:val="759.070"/>
    <w:docVar w:name="TXTPEorAP" w:val="PE"/>
    <w:docVar w:name="TXTROUTE" w:val="PR\1296979EN.docx"/>
    <w:docVar w:name="TXTTITLE" w:val="of the European Parliament and of the Council amending Regulation (EU) 2018/1806 as regards the revision of the suspension mechanism"/>
    <w:docVar w:name="TXTVERSION" w:val="01-00"/>
  </w:docVars>
  <w:rsids>
    <w:rsidRoot w:val="005E6574"/>
    <w:rsid w:val="00011AAB"/>
    <w:rsid w:val="00012351"/>
    <w:rsid w:val="000139E5"/>
    <w:rsid w:val="000677B9"/>
    <w:rsid w:val="00084DD2"/>
    <w:rsid w:val="00084E89"/>
    <w:rsid w:val="000A0FF0"/>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27454"/>
    <w:rsid w:val="002346B0"/>
    <w:rsid w:val="002667C3"/>
    <w:rsid w:val="002669B6"/>
    <w:rsid w:val="00290BED"/>
    <w:rsid w:val="002D13EE"/>
    <w:rsid w:val="002E33EE"/>
    <w:rsid w:val="002F40BB"/>
    <w:rsid w:val="002F4B02"/>
    <w:rsid w:val="00323EF8"/>
    <w:rsid w:val="003316DD"/>
    <w:rsid w:val="003506ED"/>
    <w:rsid w:val="00366A46"/>
    <w:rsid w:val="00370AC3"/>
    <w:rsid w:val="00374945"/>
    <w:rsid w:val="003824EE"/>
    <w:rsid w:val="003B4689"/>
    <w:rsid w:val="003C2068"/>
    <w:rsid w:val="003C37CF"/>
    <w:rsid w:val="004100B1"/>
    <w:rsid w:val="00426E47"/>
    <w:rsid w:val="00450998"/>
    <w:rsid w:val="00455743"/>
    <w:rsid w:val="00461601"/>
    <w:rsid w:val="0047621B"/>
    <w:rsid w:val="004C0915"/>
    <w:rsid w:val="004D424E"/>
    <w:rsid w:val="004E42C8"/>
    <w:rsid w:val="004E733D"/>
    <w:rsid w:val="004F3FA5"/>
    <w:rsid w:val="0051271F"/>
    <w:rsid w:val="00521F46"/>
    <w:rsid w:val="00530F98"/>
    <w:rsid w:val="00551111"/>
    <w:rsid w:val="00551123"/>
    <w:rsid w:val="00570A6A"/>
    <w:rsid w:val="00586E50"/>
    <w:rsid w:val="0059583D"/>
    <w:rsid w:val="005A42D9"/>
    <w:rsid w:val="005C2BEF"/>
    <w:rsid w:val="005D1A99"/>
    <w:rsid w:val="005D7609"/>
    <w:rsid w:val="005D7EE8"/>
    <w:rsid w:val="005E6574"/>
    <w:rsid w:val="005F3938"/>
    <w:rsid w:val="006052B3"/>
    <w:rsid w:val="00640EBD"/>
    <w:rsid w:val="00642325"/>
    <w:rsid w:val="00673935"/>
    <w:rsid w:val="0069092A"/>
    <w:rsid w:val="006A2F5D"/>
    <w:rsid w:val="006A2F7C"/>
    <w:rsid w:val="006D2669"/>
    <w:rsid w:val="006F47BA"/>
    <w:rsid w:val="006F7907"/>
    <w:rsid w:val="007049C4"/>
    <w:rsid w:val="00743189"/>
    <w:rsid w:val="00743D33"/>
    <w:rsid w:val="00792D74"/>
    <w:rsid w:val="007932B3"/>
    <w:rsid w:val="00793EA9"/>
    <w:rsid w:val="007D6F68"/>
    <w:rsid w:val="007F1941"/>
    <w:rsid w:val="008200DF"/>
    <w:rsid w:val="0082020D"/>
    <w:rsid w:val="00823E6B"/>
    <w:rsid w:val="00826780"/>
    <w:rsid w:val="00837211"/>
    <w:rsid w:val="00837CCD"/>
    <w:rsid w:val="00840AAA"/>
    <w:rsid w:val="008633CC"/>
    <w:rsid w:val="00865190"/>
    <w:rsid w:val="008719B9"/>
    <w:rsid w:val="00894923"/>
    <w:rsid w:val="00894ECE"/>
    <w:rsid w:val="00896BB4"/>
    <w:rsid w:val="008A7FB8"/>
    <w:rsid w:val="009022B8"/>
    <w:rsid w:val="00914537"/>
    <w:rsid w:val="00917CC4"/>
    <w:rsid w:val="009625D7"/>
    <w:rsid w:val="00963F29"/>
    <w:rsid w:val="00965AC0"/>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E24"/>
    <w:rsid w:val="00AD18C8"/>
    <w:rsid w:val="00AD7FA6"/>
    <w:rsid w:val="00AE4643"/>
    <w:rsid w:val="00AF0416"/>
    <w:rsid w:val="00AF66BC"/>
    <w:rsid w:val="00B10CB4"/>
    <w:rsid w:val="00B13D6F"/>
    <w:rsid w:val="00B23B72"/>
    <w:rsid w:val="00B42702"/>
    <w:rsid w:val="00B50159"/>
    <w:rsid w:val="00B54EAF"/>
    <w:rsid w:val="00B57B8B"/>
    <w:rsid w:val="00B85407"/>
    <w:rsid w:val="00B95702"/>
    <w:rsid w:val="00BC6489"/>
    <w:rsid w:val="00BD480C"/>
    <w:rsid w:val="00C20954"/>
    <w:rsid w:val="00C23324"/>
    <w:rsid w:val="00C42A41"/>
    <w:rsid w:val="00C47E74"/>
    <w:rsid w:val="00C57A72"/>
    <w:rsid w:val="00C73602"/>
    <w:rsid w:val="00C805DF"/>
    <w:rsid w:val="00C85D0F"/>
    <w:rsid w:val="00CF60C8"/>
    <w:rsid w:val="00D30DE2"/>
    <w:rsid w:val="00D32924"/>
    <w:rsid w:val="00D503A3"/>
    <w:rsid w:val="00DA6E19"/>
    <w:rsid w:val="00DA6ED0"/>
    <w:rsid w:val="00DC5011"/>
    <w:rsid w:val="00E171B6"/>
    <w:rsid w:val="00E331DD"/>
    <w:rsid w:val="00E72695"/>
    <w:rsid w:val="00E726D9"/>
    <w:rsid w:val="00EB1753"/>
    <w:rsid w:val="00EB6CFF"/>
    <w:rsid w:val="00EE3996"/>
    <w:rsid w:val="00F07062"/>
    <w:rsid w:val="00F23CFC"/>
    <w:rsid w:val="00F433E2"/>
    <w:rsid w:val="00F67134"/>
    <w:rsid w:val="00F8428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70E6A"/>
  <w15:chartTrackingRefBased/>
  <w15:docId w15:val="{70544A93-5B69-46B1-A714-0AE54FEBC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F3938"/>
    <w:pPr>
      <w:tabs>
        <w:tab w:val="right" w:pos="454"/>
        <w:tab w:val="left" w:pos="737"/>
      </w:tabs>
      <w:ind w:left="737" w:hanging="737"/>
    </w:pPr>
    <w:rPr>
      <w:snapToGrid w:val="0"/>
      <w:sz w:val="18"/>
      <w:lang w:eastAsia="en-US"/>
    </w:rPr>
  </w:style>
  <w:style w:type="paragraph" w:customStyle="1" w:styleId="Lgendetitre">
    <w:name w:val="Légende titre"/>
    <w:basedOn w:val="Normal"/>
    <w:rsid w:val="005F3938"/>
    <w:pPr>
      <w:spacing w:before="240" w:after="240"/>
    </w:pPr>
    <w:rPr>
      <w:b/>
      <w:i/>
      <w:snapToGrid w:val="0"/>
      <w:lang w:eastAsia="en-US"/>
    </w:rPr>
  </w:style>
  <w:style w:type="paragraph" w:customStyle="1" w:styleId="Lgendestandard">
    <w:name w:val="Légende standard"/>
    <w:basedOn w:val="Normal"/>
    <w:rsid w:val="005F3938"/>
    <w:rPr>
      <w:sz w:val="18"/>
    </w:rPr>
  </w:style>
  <w:style w:type="paragraph" w:styleId="FootnoteText">
    <w:name w:val="footnote text"/>
    <w:basedOn w:val="Normal"/>
    <w:link w:val="FootnoteTextChar"/>
    <w:uiPriority w:val="99"/>
    <w:unhideWhenUsed/>
    <w:rsid w:val="008200DF"/>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8200DF"/>
    <w:rPr>
      <w:rFonts w:eastAsiaTheme="minorHAnsi"/>
      <w:lang w:eastAsia="en-US"/>
    </w:rPr>
  </w:style>
  <w:style w:type="character" w:styleId="FootnoteReference">
    <w:name w:val="footnote reference"/>
    <w:basedOn w:val="DefaultParagraphFont"/>
    <w:uiPriority w:val="99"/>
    <w:unhideWhenUsed/>
    <w:rsid w:val="008200DF"/>
    <w:rPr>
      <w:shd w:val="clear" w:color="auto" w:fill="auto"/>
      <w:vertAlign w:val="superscript"/>
    </w:rPr>
  </w:style>
  <w:style w:type="paragraph" w:customStyle="1" w:styleId="Normal24a">
    <w:name w:val="Normal24a"/>
    <w:basedOn w:val="Normal"/>
    <w:rsid w:val="00AF66BC"/>
    <w:pPr>
      <w:spacing w:after="480"/>
    </w:pPr>
  </w:style>
  <w:style w:type="paragraph" w:customStyle="1" w:styleId="NormalBoldCenter">
    <w:name w:val="NormalBoldCenter"/>
    <w:basedOn w:val="Normal"/>
    <w:rsid w:val="00AF66BC"/>
    <w:pPr>
      <w:jc w:val="center"/>
    </w:pPr>
    <w:rPr>
      <w:b/>
    </w:rPr>
  </w:style>
  <w:style w:type="paragraph" w:styleId="NormalWeb">
    <w:name w:val="Normal (Web)"/>
    <w:basedOn w:val="Normal"/>
    <w:uiPriority w:val="99"/>
    <w:unhideWhenUsed/>
    <w:rsid w:val="00E726D9"/>
    <w:pPr>
      <w:widowControl/>
      <w:spacing w:before="100" w:beforeAutospacing="1" w:after="100" w:afterAutospacing="1"/>
    </w:pPr>
    <w:rPr>
      <w:szCs w:val="24"/>
    </w:rPr>
  </w:style>
  <w:style w:type="paragraph" w:customStyle="1" w:styleId="Normal6">
    <w:name w:val="Normal6"/>
    <w:basedOn w:val="Normal"/>
    <w:link w:val="Normal6Char"/>
    <w:rsid w:val="00DA6E19"/>
    <w:pPr>
      <w:spacing w:after="120"/>
    </w:pPr>
  </w:style>
  <w:style w:type="paragraph" w:customStyle="1" w:styleId="Normal12Italic">
    <w:name w:val="Normal12Italic"/>
    <w:basedOn w:val="Normal"/>
    <w:rsid w:val="00DA6E19"/>
    <w:pPr>
      <w:spacing w:after="240"/>
    </w:pPr>
    <w:rPr>
      <w:i/>
      <w:noProof/>
    </w:rPr>
  </w:style>
  <w:style w:type="character" w:customStyle="1" w:styleId="NormalBoldChar">
    <w:name w:val="NormalBold Char"/>
    <w:basedOn w:val="DefaultParagraphFont"/>
    <w:link w:val="NormalBold"/>
    <w:rsid w:val="00DA6E19"/>
    <w:rPr>
      <w:b/>
      <w:sz w:val="24"/>
    </w:rPr>
  </w:style>
  <w:style w:type="paragraph" w:customStyle="1" w:styleId="JustificationTitle">
    <w:name w:val="JustificationTitle"/>
    <w:basedOn w:val="Normal"/>
    <w:next w:val="Normal"/>
    <w:rsid w:val="00DA6E19"/>
    <w:pPr>
      <w:keepNext/>
      <w:spacing w:before="240" w:after="240"/>
      <w:jc w:val="center"/>
    </w:pPr>
    <w:rPr>
      <w:i/>
      <w:noProof/>
    </w:rPr>
  </w:style>
  <w:style w:type="character" w:customStyle="1" w:styleId="Normal6Char">
    <w:name w:val="Normal6 Char"/>
    <w:basedOn w:val="DefaultParagraphFont"/>
    <w:link w:val="Normal6"/>
    <w:rsid w:val="00DA6E19"/>
    <w:rPr>
      <w:sz w:val="24"/>
      <w:lang w:val="fi-FI"/>
    </w:rPr>
  </w:style>
  <w:style w:type="paragraph" w:customStyle="1" w:styleId="ColumnHeading">
    <w:name w:val="ColumnHeading"/>
    <w:basedOn w:val="Normal"/>
    <w:rsid w:val="00DA6E19"/>
    <w:pPr>
      <w:spacing w:after="240"/>
      <w:jc w:val="center"/>
    </w:pPr>
    <w:rPr>
      <w:i/>
    </w:rPr>
  </w:style>
  <w:style w:type="paragraph" w:customStyle="1" w:styleId="AMNumberTabs0">
    <w:name w:val="AMNumberTabs"/>
    <w:basedOn w:val="Normal"/>
    <w:rsid w:val="00DA6E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6E19"/>
    <w:pPr>
      <w:jc w:val="right"/>
    </w:pPr>
  </w:style>
  <w:style w:type="paragraph" w:styleId="Footer">
    <w:name w:val="footer"/>
    <w:basedOn w:val="Normal"/>
    <w:link w:val="FooterChar"/>
    <w:semiHidden/>
    <w:rsid w:val="009625D7"/>
    <w:pPr>
      <w:tabs>
        <w:tab w:val="center" w:pos="4513"/>
        <w:tab w:val="right" w:pos="9026"/>
      </w:tabs>
    </w:pPr>
  </w:style>
  <w:style w:type="character" w:customStyle="1" w:styleId="FooterChar">
    <w:name w:val="Footer Char"/>
    <w:basedOn w:val="DefaultParagraphFont"/>
    <w:link w:val="Footer"/>
    <w:semiHidden/>
    <w:rsid w:val="009625D7"/>
    <w:rPr>
      <w:sz w:val="24"/>
    </w:rPr>
  </w:style>
  <w:style w:type="paragraph" w:styleId="BalloonText">
    <w:name w:val="Balloon Text"/>
    <w:basedOn w:val="Normal"/>
    <w:link w:val="BalloonTextChar"/>
    <w:semiHidden/>
    <w:unhideWhenUsed/>
    <w:rsid w:val="006A2F7C"/>
    <w:rPr>
      <w:rFonts w:ascii="Segoe UI" w:hAnsi="Segoe UI" w:cs="Segoe UI"/>
      <w:sz w:val="18"/>
      <w:szCs w:val="18"/>
    </w:rPr>
  </w:style>
  <w:style w:type="character" w:customStyle="1" w:styleId="BalloonTextChar">
    <w:name w:val="Balloon Text Char"/>
    <w:basedOn w:val="DefaultParagraphFont"/>
    <w:link w:val="BalloonText"/>
    <w:semiHidden/>
    <w:rsid w:val="006A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F19DC-FAD1-417E-A030-A925FD617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2066</Words>
  <Characters>17422</Characters>
  <Application>Microsoft Office Word</Application>
  <DocSecurity>0</DocSecurity>
  <Lines>483</Lines>
  <Paragraphs>159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FERNANDEZ PLAZA Remedios</dc:creator>
  <cp:lastModifiedBy>MANELL Mari</cp:lastModifiedBy>
  <cp:revision>2</cp:revision>
  <cp:lastPrinted>2004-11-04T09:41:00Z</cp:lastPrinted>
  <dcterms:created xsi:type="dcterms:W3CDTF">2024-02-29T14:05:00Z</dcterms:created>
  <dcterms:modified xsi:type="dcterms:W3CDTF">2024-02-29T14:05:00Z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1296979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[20240120]</vt:lpwstr>
  </property>
  <property fmtid="{D5CDD505-2E9C-101B-9397-08002B2CF9AE}" pid="9" name="FooterPath">
    <vt:lpwstr>PR\1296979FI.docx</vt:lpwstr>
  </property>
  <property fmtid="{D5CDD505-2E9C-101B-9397-08002B2CF9AE}" pid="10" name="LastEdited with">
    <vt:lpwstr>9.17.1 Build [20240120]</vt:lpwstr>
  </property>
  <property fmtid="{D5CDD505-2E9C-101B-9397-08002B2CF9AE}" pid="11" name="PE number">
    <vt:lpwstr>759.070</vt:lpwstr>
  </property>
  <property fmtid="{D5CDD505-2E9C-101B-9397-08002B2CF9AE}" pid="12" name="SendToEpades">
    <vt:lpwstr>OK(TC/TCON) - 2024/02/19 12:47</vt:lpwstr>
  </property>
  <property fmtid="{D5CDD505-2E9C-101B-9397-08002B2CF9AE}" pid="13" name="SDLStudio">
    <vt:lpwstr/>
  </property>
  <property fmtid="{D5CDD505-2E9C-101B-9397-08002B2CF9AE}" pid="14" name="Bookout">
    <vt:lpwstr>OK - 2024/02/29 15:04</vt:lpwstr>
  </property>
</Properties>
</file>