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09D8" w:rsidRPr="00DF6683" w:rsidTr="00C85D0F">
        <w:trPr>
          <w:trHeight w:hRule="exact" w:val="1418"/>
        </w:trPr>
        <w:tc>
          <w:tcPr>
            <w:tcW w:w="6804" w:type="dxa"/>
            <w:shd w:val="clear" w:color="auto" w:fill="auto"/>
            <w:vAlign w:val="center"/>
          </w:tcPr>
          <w:p w:rsidR="00B13D6F" w:rsidRPr="00DF6683" w:rsidRDefault="001E79B1" w:rsidP="00C85D0F">
            <w:pPr>
              <w:pStyle w:val="EPName"/>
            </w:pPr>
            <w:bookmarkStart w:id="0" w:name="_GoBack"/>
            <w:bookmarkEnd w:id="0"/>
            <w:r w:rsidRPr="00DF6683">
              <w:t>Európsky parlament</w:t>
            </w:r>
          </w:p>
          <w:p w:rsidR="00B13D6F" w:rsidRPr="00DF6683" w:rsidRDefault="001E79B1" w:rsidP="005F3938">
            <w:pPr>
              <w:pStyle w:val="EPTerm"/>
            </w:pPr>
            <w:r w:rsidRPr="00DF6683">
              <w:t>2019 – 2024</w:t>
            </w:r>
          </w:p>
        </w:tc>
        <w:tc>
          <w:tcPr>
            <w:tcW w:w="2268" w:type="dxa"/>
            <w:shd w:val="clear" w:color="auto" w:fill="auto"/>
          </w:tcPr>
          <w:p w:rsidR="00B13D6F" w:rsidRPr="00DF6683" w:rsidRDefault="001E79B1" w:rsidP="00C85D0F">
            <w:pPr>
              <w:pStyle w:val="EPLogo"/>
            </w:pPr>
            <w:r w:rsidRPr="00DF668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F6683" w:rsidRDefault="00461601" w:rsidP="00461601">
      <w:pPr>
        <w:pStyle w:val="LineTop"/>
      </w:pPr>
    </w:p>
    <w:p w:rsidR="00461601" w:rsidRPr="00DF6683" w:rsidRDefault="001E79B1" w:rsidP="00461601">
      <w:pPr>
        <w:pStyle w:val="EPBody"/>
      </w:pPr>
      <w:r w:rsidRPr="00DF6683">
        <w:rPr>
          <w:rStyle w:val="HideTWBExt"/>
        </w:rPr>
        <w:t>&lt;</w:t>
      </w:r>
      <w:r w:rsidRPr="00DF6683">
        <w:rPr>
          <w:rStyle w:val="HideTWBExt"/>
          <w:i w:val="0"/>
        </w:rPr>
        <w:t>Commission</w:t>
      </w:r>
      <w:r w:rsidRPr="00DF6683">
        <w:rPr>
          <w:rStyle w:val="HideTWBExt"/>
        </w:rPr>
        <w:t>&gt;</w:t>
      </w:r>
      <w:r w:rsidRPr="00DF6683">
        <w:rPr>
          <w:rStyle w:val="HideTWBInt"/>
          <w:color w:val="auto"/>
        </w:rPr>
        <w:t>{LIBE}</w:t>
      </w:r>
      <w:r w:rsidRPr="00DF6683">
        <w:t>Výbor pre občianske slobody, spravodlivosť a vnútorné veci</w:t>
      </w:r>
      <w:r w:rsidRPr="00DF6683">
        <w:rPr>
          <w:rStyle w:val="HideTWBExt"/>
        </w:rPr>
        <w:t>&lt;/</w:t>
      </w:r>
      <w:r w:rsidRPr="00DF6683">
        <w:rPr>
          <w:rStyle w:val="HideTWBExt"/>
          <w:i w:val="0"/>
        </w:rPr>
        <w:t>Commission</w:t>
      </w:r>
      <w:r w:rsidRPr="00DF6683">
        <w:rPr>
          <w:rStyle w:val="HideTWBExt"/>
        </w:rPr>
        <w:t>&gt;</w:t>
      </w:r>
    </w:p>
    <w:p w:rsidR="00461601" w:rsidRPr="00DF6683" w:rsidRDefault="00461601" w:rsidP="00461601">
      <w:pPr>
        <w:pStyle w:val="LineBottom"/>
      </w:pPr>
    </w:p>
    <w:p w:rsidR="00793EA9" w:rsidRPr="00DF6683" w:rsidRDefault="001E79B1">
      <w:pPr>
        <w:pStyle w:val="CoverReference"/>
      </w:pPr>
      <w:r w:rsidRPr="00DF6683">
        <w:rPr>
          <w:rStyle w:val="HideTWBExt"/>
          <w:b w:val="0"/>
        </w:rPr>
        <w:t>&lt;RefProc&gt;</w:t>
      </w:r>
      <w:r w:rsidRPr="00DF6683">
        <w:t>2023/0371</w:t>
      </w:r>
      <w:r w:rsidRPr="00DF6683">
        <w:rPr>
          <w:rStyle w:val="HideTWBExt"/>
          <w:b w:val="0"/>
        </w:rPr>
        <w:t>&lt;/RefProc&gt;&lt;RefTypeProc&gt;</w:t>
      </w:r>
      <w:r w:rsidRPr="00DF6683">
        <w:t>(COD)</w:t>
      </w:r>
      <w:r w:rsidRPr="00DF6683">
        <w:rPr>
          <w:rStyle w:val="HideTWBExt"/>
          <w:b w:val="0"/>
        </w:rPr>
        <w:t>&lt;/RefTypeProc&gt;</w:t>
      </w:r>
    </w:p>
    <w:p w:rsidR="00793EA9" w:rsidRPr="00DF6683" w:rsidRDefault="001E79B1">
      <w:pPr>
        <w:pStyle w:val="CoverDate"/>
      </w:pPr>
      <w:r w:rsidRPr="00DF6683">
        <w:rPr>
          <w:rStyle w:val="HideTWBExt"/>
        </w:rPr>
        <w:t>&lt;Date&gt;</w:t>
      </w:r>
      <w:r w:rsidRPr="00DF6683">
        <w:rPr>
          <w:rStyle w:val="HideTWBInt"/>
          <w:color w:val="auto"/>
        </w:rPr>
        <w:t>{19/02/2024}</w:t>
      </w:r>
      <w:r w:rsidRPr="00DF6683">
        <w:t>19.2.2024</w:t>
      </w:r>
      <w:r w:rsidRPr="00DF6683">
        <w:rPr>
          <w:rStyle w:val="HideTWBExt"/>
        </w:rPr>
        <w:t>&lt;/Date&gt;</w:t>
      </w:r>
    </w:p>
    <w:p w:rsidR="00793EA9" w:rsidRPr="00DF6683" w:rsidRDefault="001E79B1">
      <w:pPr>
        <w:pStyle w:val="CoverDocType"/>
      </w:pPr>
      <w:r w:rsidRPr="00DF6683">
        <w:rPr>
          <w:rStyle w:val="HideTWBExt"/>
          <w:b w:val="0"/>
        </w:rPr>
        <w:t>&lt;RefProcLect&gt;</w:t>
      </w:r>
      <w:r w:rsidRPr="00DF6683">
        <w:t>***I</w:t>
      </w:r>
      <w:r w:rsidRPr="00DF6683">
        <w:rPr>
          <w:rStyle w:val="HideTWBExt"/>
          <w:b w:val="0"/>
        </w:rPr>
        <w:t>&lt;/RefProcLect&gt;</w:t>
      </w:r>
    </w:p>
    <w:p w:rsidR="00793EA9" w:rsidRPr="00DF6683" w:rsidRDefault="001E79B1">
      <w:pPr>
        <w:pStyle w:val="CoverDocType24a"/>
      </w:pPr>
      <w:r w:rsidRPr="00DF6683">
        <w:rPr>
          <w:rStyle w:val="HideTWBExt"/>
          <w:b w:val="0"/>
        </w:rPr>
        <w:t>&lt;TitreType&gt;</w:t>
      </w:r>
      <w:r w:rsidRPr="00DF6683">
        <w:t>NÁVRH SPRÁVY</w:t>
      </w:r>
      <w:r w:rsidRPr="00DF6683">
        <w:rPr>
          <w:rStyle w:val="HideTWBExt"/>
          <w:b w:val="0"/>
        </w:rPr>
        <w:t>&lt;/TitreType&gt;</w:t>
      </w:r>
    </w:p>
    <w:p w:rsidR="00793EA9" w:rsidRPr="00DF6683" w:rsidRDefault="001E79B1">
      <w:pPr>
        <w:pStyle w:val="CoverNormal"/>
      </w:pPr>
      <w:r w:rsidRPr="00DF6683">
        <w:rPr>
          <w:rStyle w:val="HideTWBExt"/>
        </w:rPr>
        <w:t>&lt;Titre&gt;</w:t>
      </w:r>
      <w:r w:rsidRPr="00DF6683">
        <w:t>o návrhu nariadenia Európskeho parlamentu a Rady, ktorým sa mení nariadenie (EÚ) 2018/1806, pokiaľ ide o revíziu mechanizmu pozastavenia</w:t>
      </w:r>
      <w:r w:rsidRPr="00DF6683">
        <w:rPr>
          <w:rStyle w:val="HideTWBExt"/>
        </w:rPr>
        <w:t>&lt;/Titre&gt;</w:t>
      </w:r>
    </w:p>
    <w:p w:rsidR="00793EA9" w:rsidRPr="00DF6683" w:rsidRDefault="001E79B1">
      <w:pPr>
        <w:pStyle w:val="CoverNormal24a"/>
      </w:pPr>
      <w:r w:rsidRPr="00DF6683">
        <w:rPr>
          <w:rStyle w:val="HideTWBExt"/>
        </w:rPr>
        <w:t>&lt;DocRef&gt;</w:t>
      </w:r>
      <w:r w:rsidRPr="00DF6683">
        <w:t>(COM(2023)0642 – C9</w:t>
      </w:r>
      <w:r w:rsidRPr="00DF6683">
        <w:noBreakHyphen/>
        <w:t>0392/2023 – 2023/0371(COD))</w:t>
      </w:r>
      <w:r w:rsidRPr="00DF6683">
        <w:rPr>
          <w:rStyle w:val="HideTWBExt"/>
        </w:rPr>
        <w:t>&lt;/DocRef&gt;</w:t>
      </w:r>
    </w:p>
    <w:p w:rsidR="00793EA9" w:rsidRPr="00DF6683" w:rsidRDefault="001E79B1">
      <w:pPr>
        <w:pStyle w:val="CoverNormal24a"/>
      </w:pPr>
      <w:r w:rsidRPr="00DF6683">
        <w:rPr>
          <w:rStyle w:val="HideTWBExt"/>
        </w:rPr>
        <w:t>&lt;Co</w:t>
      </w:r>
      <w:r w:rsidRPr="00DF6683">
        <w:rPr>
          <w:rStyle w:val="HideTWBExt"/>
        </w:rPr>
        <w:t>mmission&gt;</w:t>
      </w:r>
      <w:r w:rsidRPr="00DF6683">
        <w:rPr>
          <w:rStyle w:val="HideTWBInt"/>
          <w:color w:val="auto"/>
        </w:rPr>
        <w:t>{LIBE}</w:t>
      </w:r>
      <w:r w:rsidRPr="00DF6683">
        <w:t>Výbor pre občianske slobody, spravodlivosť a vnútorné veci</w:t>
      </w:r>
      <w:r w:rsidRPr="00DF6683">
        <w:rPr>
          <w:rStyle w:val="HideTWBExt"/>
        </w:rPr>
        <w:t>&lt;/Commission&gt;</w:t>
      </w:r>
    </w:p>
    <w:p w:rsidR="00793EA9" w:rsidRPr="00DF6683" w:rsidRDefault="001E79B1">
      <w:pPr>
        <w:pStyle w:val="CoverNormal24a"/>
      </w:pPr>
      <w:r w:rsidRPr="00DF6683">
        <w:t xml:space="preserve">Spravodajca výboru požiadaného o stanovisko: </w:t>
      </w:r>
      <w:r w:rsidRPr="00DF6683">
        <w:rPr>
          <w:rStyle w:val="HideTWBExt"/>
        </w:rPr>
        <w:t>&lt;Depute&gt;</w:t>
      </w:r>
      <w:r w:rsidRPr="00DF6683">
        <w:t>Matjaž Nemec</w:t>
      </w:r>
      <w:r w:rsidRPr="00DF6683">
        <w:rPr>
          <w:rStyle w:val="HideTWBExt"/>
        </w:rPr>
        <w:t>&lt;/Depute&gt;</w:t>
      </w:r>
    </w:p>
    <w:p w:rsidR="001C5B44" w:rsidRPr="00DF6683" w:rsidRDefault="001C5B44" w:rsidP="001C5B44">
      <w:pPr>
        <w:pStyle w:val="CoverNormal"/>
      </w:pPr>
    </w:p>
    <w:p w:rsidR="005F3938" w:rsidRPr="00DF6683" w:rsidRDefault="001E79B1" w:rsidP="00894923">
      <w:r w:rsidRPr="00DF6683">
        <w:br w:type="page"/>
      </w:r>
      <w:fldSimple w:instr=" TITLE  \* MERGEFORMAT ">
        <w:r>
          <w:t>PR_COD_1amCom</w:t>
        </w:r>
      </w:fldSimple>
    </w:p>
    <w:p w:rsidR="005F3938" w:rsidRPr="00DF6683" w:rsidRDefault="005F3938" w:rsidP="00894923"/>
    <w:p w:rsidR="005F3938" w:rsidRPr="00DF6683" w:rsidRDefault="005F393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409D8" w:rsidRPr="00DF6683">
        <w:tc>
          <w:tcPr>
            <w:tcW w:w="5811" w:type="dxa"/>
          </w:tcPr>
          <w:p w:rsidR="005F3938" w:rsidRPr="00DF6683" w:rsidRDefault="001E79B1" w:rsidP="00894923">
            <w:pPr>
              <w:pStyle w:val="Lgendetitre"/>
            </w:pPr>
            <w:r w:rsidRPr="00DF6683">
              <w:t>Označenie postupov</w:t>
            </w:r>
          </w:p>
        </w:tc>
      </w:tr>
      <w:tr w:rsidR="00F409D8" w:rsidRPr="00DF6683" w:rsidTr="007452CB">
        <w:trPr>
          <w:cantSplit/>
          <w:trHeight w:val="1807"/>
        </w:trPr>
        <w:tc>
          <w:tcPr>
            <w:tcW w:w="5811" w:type="dxa"/>
            <w:tcBorders>
              <w:bottom w:val="single" w:sz="4" w:space="0" w:color="auto"/>
            </w:tcBorders>
          </w:tcPr>
          <w:p w:rsidR="005F3938" w:rsidRPr="00DF6683" w:rsidRDefault="001E79B1" w:rsidP="003506ED">
            <w:pPr>
              <w:pStyle w:val="Lgendesigne"/>
            </w:pPr>
            <w:r w:rsidRPr="00DF6683">
              <w:tab/>
              <w:t>*</w:t>
            </w:r>
            <w:r w:rsidRPr="00DF6683">
              <w:tab/>
              <w:t>Konzultácia</w:t>
            </w:r>
          </w:p>
          <w:p w:rsidR="005F3938" w:rsidRPr="00DF6683" w:rsidRDefault="001E79B1" w:rsidP="003506ED">
            <w:pPr>
              <w:pStyle w:val="Lgendesigne"/>
            </w:pPr>
            <w:r w:rsidRPr="00DF6683">
              <w:tab/>
              <w:t>***</w:t>
            </w:r>
            <w:r w:rsidRPr="00DF6683">
              <w:tab/>
              <w:t>Súhlas</w:t>
            </w:r>
          </w:p>
          <w:p w:rsidR="005F3938" w:rsidRPr="00DF6683" w:rsidRDefault="001E79B1" w:rsidP="003506ED">
            <w:pPr>
              <w:pStyle w:val="Lgendesigne"/>
            </w:pPr>
            <w:r w:rsidRPr="00DF6683">
              <w:tab/>
            </w:r>
            <w:r w:rsidRPr="00DF6683">
              <w:t>***I</w:t>
            </w:r>
            <w:r w:rsidRPr="00DF6683">
              <w:tab/>
              <w:t>Riadny legislatívny postup (prvé čítanie)</w:t>
            </w:r>
          </w:p>
          <w:p w:rsidR="005F3938" w:rsidRPr="00DF6683" w:rsidRDefault="001E79B1" w:rsidP="003506ED">
            <w:pPr>
              <w:pStyle w:val="Lgendesigne"/>
            </w:pPr>
            <w:r w:rsidRPr="00DF6683">
              <w:tab/>
              <w:t>***II</w:t>
            </w:r>
            <w:r w:rsidRPr="00DF6683">
              <w:tab/>
              <w:t>Riadny legislatívny postup (druhé čítanie)</w:t>
            </w:r>
          </w:p>
          <w:p w:rsidR="005F3938" w:rsidRPr="00DF6683" w:rsidRDefault="001E79B1" w:rsidP="003506ED">
            <w:pPr>
              <w:pStyle w:val="Lgendesigne"/>
            </w:pPr>
            <w:r w:rsidRPr="00DF6683">
              <w:tab/>
              <w:t>***III</w:t>
            </w:r>
            <w:r w:rsidRPr="00DF6683">
              <w:tab/>
              <w:t>Riadny legislatívny postup (tretie čítanie)</w:t>
            </w:r>
          </w:p>
          <w:p w:rsidR="005F3938" w:rsidRPr="00DF6683" w:rsidRDefault="005F3938" w:rsidP="003506ED">
            <w:pPr>
              <w:pStyle w:val="Lgendestandard"/>
            </w:pPr>
          </w:p>
          <w:p w:rsidR="005F3938" w:rsidRPr="00DF6683" w:rsidRDefault="001E79B1" w:rsidP="003506ED">
            <w:pPr>
              <w:pStyle w:val="Lgendestandard"/>
            </w:pPr>
            <w:r w:rsidRPr="00DF6683">
              <w:t>(Typ postupu závisí od právneho základu navrhnutého v návrhu aktu.)</w:t>
            </w:r>
          </w:p>
          <w:p w:rsidR="005F3938" w:rsidRPr="00DF6683" w:rsidRDefault="005F3938" w:rsidP="00B54EAF">
            <w:pPr>
              <w:pStyle w:val="Lgendestandard"/>
            </w:pPr>
          </w:p>
        </w:tc>
      </w:tr>
    </w:tbl>
    <w:p w:rsidR="005F3938" w:rsidRPr="00DF6683" w:rsidRDefault="005F3938" w:rsidP="00894923"/>
    <w:p w:rsidR="005F3938" w:rsidRPr="00DF6683" w:rsidRDefault="005F3938" w:rsidP="00894923"/>
    <w:p w:rsidR="005F3938" w:rsidRPr="00DF6683" w:rsidRDefault="005F3938" w:rsidP="00894923"/>
    <w:p w:rsidR="005F3938" w:rsidRPr="00DF6683" w:rsidRDefault="005F393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409D8" w:rsidRPr="00DF6683">
        <w:tc>
          <w:tcPr>
            <w:tcW w:w="5811" w:type="dxa"/>
          </w:tcPr>
          <w:p w:rsidR="005F3938" w:rsidRPr="00DF6683" w:rsidRDefault="001E79B1" w:rsidP="00894923">
            <w:pPr>
              <w:pStyle w:val="Lgendetitre"/>
            </w:pPr>
            <w:r w:rsidRPr="00DF6683">
              <w:t>Pozmeňujúce návrhy k návrhu aktu</w:t>
            </w:r>
          </w:p>
        </w:tc>
      </w:tr>
      <w:tr w:rsidR="00F409D8" w:rsidRPr="00DF6683" w:rsidTr="00554250">
        <w:trPr>
          <w:trHeight w:val="4496"/>
        </w:trPr>
        <w:tc>
          <w:tcPr>
            <w:tcW w:w="5811" w:type="dxa"/>
          </w:tcPr>
          <w:p w:rsidR="005F3938" w:rsidRPr="00DF6683" w:rsidRDefault="001E79B1" w:rsidP="003506ED">
            <w:pPr>
              <w:pStyle w:val="Lgendestandard"/>
              <w:rPr>
                <w:szCs w:val="24"/>
              </w:rPr>
            </w:pPr>
            <w:r w:rsidRPr="00DF6683">
              <w:rPr>
                <w:b/>
              </w:rPr>
              <w:t>Pozmeňujúce návrhy Európskeho parlamentu v dvoch stĺpcoch</w:t>
            </w:r>
          </w:p>
          <w:p w:rsidR="005F3938" w:rsidRPr="00DF6683" w:rsidRDefault="005F3938" w:rsidP="003506ED">
            <w:pPr>
              <w:pStyle w:val="Lgendestandard"/>
              <w:rPr>
                <w:szCs w:val="24"/>
              </w:rPr>
            </w:pPr>
          </w:p>
          <w:p w:rsidR="005F3938" w:rsidRPr="00DF6683" w:rsidRDefault="001E79B1" w:rsidP="003506ED">
            <w:pPr>
              <w:pStyle w:val="Lgendestandard"/>
              <w:rPr>
                <w:szCs w:val="24"/>
              </w:rPr>
            </w:pPr>
            <w:r w:rsidRPr="00DF6683">
              <w:t xml:space="preserve">Vypustenia sa označujú </w:t>
            </w:r>
            <w:r w:rsidRPr="00DF6683">
              <w:rPr>
                <w:b/>
                <w:i/>
              </w:rPr>
              <w:t>hrubou kurzívou</w:t>
            </w:r>
            <w:r w:rsidRPr="00DF6683">
              <w:t xml:space="preserve"> v ľavom stĺpci. Nahradenia sa označujú</w:t>
            </w:r>
            <w:r w:rsidRPr="00DF6683">
              <w:rPr>
                <w:b/>
                <w:i/>
              </w:rPr>
              <w:t xml:space="preserve"> hrubou kurzívou</w:t>
            </w:r>
            <w:r w:rsidRPr="00DF6683">
              <w:t xml:space="preserve"> v oboch stĺpcoch. Nový text sa označuje </w:t>
            </w:r>
            <w:r w:rsidRPr="00DF6683">
              <w:rPr>
                <w:b/>
                <w:i/>
              </w:rPr>
              <w:t>hrubou kurzívou</w:t>
            </w:r>
            <w:r w:rsidRPr="00DF6683">
              <w:t xml:space="preserve"> v pravom stĺpci.</w:t>
            </w:r>
          </w:p>
          <w:p w:rsidR="005F3938" w:rsidRPr="00DF6683" w:rsidRDefault="005F3938" w:rsidP="003506ED">
            <w:pPr>
              <w:pStyle w:val="Lgendestandard"/>
              <w:rPr>
                <w:szCs w:val="24"/>
              </w:rPr>
            </w:pPr>
          </w:p>
          <w:p w:rsidR="005F3938" w:rsidRPr="00DF6683" w:rsidRDefault="001E79B1" w:rsidP="003506ED">
            <w:pPr>
              <w:pStyle w:val="Lgendestandard"/>
              <w:rPr>
                <w:szCs w:val="24"/>
              </w:rPr>
            </w:pPr>
            <w:r w:rsidRPr="00DF6683">
              <w:t xml:space="preserve">Prvý a druhý riadok </w:t>
            </w:r>
            <w:r w:rsidRPr="00DF6683">
              <w:t>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w:t>
            </w:r>
            <w:r w:rsidRPr="00DF6683">
              <w:t>dok uvádzajúci príslušné ustanovenie tohto aktu.</w:t>
            </w:r>
          </w:p>
          <w:p w:rsidR="005F3938" w:rsidRPr="00DF6683" w:rsidRDefault="005F3938" w:rsidP="003506ED">
            <w:pPr>
              <w:pStyle w:val="Lgendestandard"/>
              <w:rPr>
                <w:szCs w:val="24"/>
              </w:rPr>
            </w:pPr>
          </w:p>
          <w:p w:rsidR="005F3938" w:rsidRPr="00DF6683" w:rsidRDefault="001E79B1" w:rsidP="003506ED">
            <w:pPr>
              <w:pStyle w:val="Lgendestandard"/>
              <w:rPr>
                <w:b/>
                <w:szCs w:val="24"/>
              </w:rPr>
            </w:pPr>
            <w:r w:rsidRPr="00DF6683">
              <w:rPr>
                <w:b/>
              </w:rPr>
              <w:t>Pozmeňujúce návrhy Európskeho parlamentu v podobe konsolidovaného textu</w:t>
            </w:r>
          </w:p>
          <w:p w:rsidR="005F3938" w:rsidRPr="00DF6683" w:rsidRDefault="005F3938" w:rsidP="003506ED">
            <w:pPr>
              <w:pStyle w:val="Lgendestandard"/>
              <w:rPr>
                <w:szCs w:val="24"/>
              </w:rPr>
            </w:pPr>
          </w:p>
          <w:p w:rsidR="005F3938" w:rsidRPr="00DF6683" w:rsidRDefault="001E79B1" w:rsidP="003506ED">
            <w:pPr>
              <w:pStyle w:val="Lgendestandard"/>
              <w:rPr>
                <w:szCs w:val="24"/>
              </w:rPr>
            </w:pPr>
            <w:r w:rsidRPr="00DF6683">
              <w:t xml:space="preserve">Nové časti textov sa označujú </w:t>
            </w:r>
            <w:r w:rsidRPr="00DF6683">
              <w:rPr>
                <w:b/>
                <w:i/>
              </w:rPr>
              <w:t>hrubou kurzívou</w:t>
            </w:r>
            <w:r w:rsidRPr="00DF6683">
              <w:t>. Vypustené časti textu sa označujú symbolom ▌ alebo sa prečiarkujú. V prípade nahradeni</w:t>
            </w:r>
            <w:r w:rsidRPr="00DF6683">
              <w:t xml:space="preserve">a sa nový text vyznačí </w:t>
            </w:r>
            <w:r w:rsidRPr="00DF6683">
              <w:rPr>
                <w:b/>
                <w:i/>
              </w:rPr>
              <w:t>hrubou kurzívou</w:t>
            </w:r>
            <w:r w:rsidRPr="00DF6683">
              <w:t xml:space="preserve"> a nahradený text sa vymaže alebo sa prečiarkne. </w:t>
            </w:r>
          </w:p>
          <w:p w:rsidR="005F3938" w:rsidRPr="00DF6683" w:rsidRDefault="001E79B1" w:rsidP="003506ED">
            <w:pPr>
              <w:pStyle w:val="Lgendestandard"/>
            </w:pPr>
            <w:r w:rsidRPr="00DF6683">
              <w:t>Čisto technické zmeny, ktoré vykonávajú útvary s cieľom vypracovať konečný text, sa však nevyznačujú.</w:t>
            </w:r>
          </w:p>
          <w:p w:rsidR="005F3938" w:rsidRPr="00DF6683" w:rsidRDefault="005F3938" w:rsidP="0069092A">
            <w:pPr>
              <w:pStyle w:val="Lgendestandard"/>
            </w:pPr>
          </w:p>
        </w:tc>
      </w:tr>
    </w:tbl>
    <w:p w:rsidR="005F3938" w:rsidRPr="00DF6683" w:rsidRDefault="005F3938" w:rsidP="00894923"/>
    <w:p w:rsidR="00793EA9" w:rsidRPr="00DF6683" w:rsidRDefault="00793EA9" w:rsidP="00012351">
      <w:pPr>
        <w:widowControl/>
        <w:tabs>
          <w:tab w:val="center" w:pos="4677"/>
        </w:tabs>
      </w:pPr>
    </w:p>
    <w:p w:rsidR="00793EA9" w:rsidRPr="00DF6683" w:rsidRDefault="001E79B1">
      <w:pPr>
        <w:pStyle w:val="TOCHeading"/>
      </w:pPr>
      <w:r w:rsidRPr="00DF6683">
        <w:br w:type="page"/>
      </w:r>
      <w:r w:rsidRPr="00DF6683">
        <w:lastRenderedPageBreak/>
        <w:t>OBSAH</w:t>
      </w:r>
    </w:p>
    <w:p w:rsidR="00793EA9" w:rsidRPr="00DF6683" w:rsidRDefault="001E79B1">
      <w:pPr>
        <w:pStyle w:val="TOCPage"/>
      </w:pPr>
      <w:r w:rsidRPr="00DF6683">
        <w:t>Strana</w:t>
      </w:r>
    </w:p>
    <w:p w:rsidR="001E79B1" w:rsidRDefault="001E79B1">
      <w:pPr>
        <w:pStyle w:val="TOC1"/>
        <w:tabs>
          <w:tab w:val="right" w:leader="dot" w:pos="9060"/>
        </w:tabs>
        <w:rPr>
          <w:rFonts w:asciiTheme="minorHAnsi" w:eastAsiaTheme="minorEastAsia" w:hAnsiTheme="minorHAnsi" w:cstheme="minorBidi"/>
          <w:noProof/>
          <w:sz w:val="22"/>
          <w:szCs w:val="22"/>
          <w:lang w:val="en-GB"/>
        </w:rPr>
      </w:pPr>
      <w:r w:rsidRPr="00DF6683">
        <w:rPr>
          <w:b/>
        </w:rPr>
        <w:fldChar w:fldCharType="begin"/>
      </w:r>
      <w:r w:rsidRPr="00DF6683">
        <w:rPr>
          <w:b/>
        </w:rPr>
        <w:instrText xml:space="preserve"> TOC \t "PageHeading</w:instrText>
      </w:r>
      <w:r w:rsidR="00374945" w:rsidRPr="00DF6683">
        <w:rPr>
          <w:b/>
        </w:rPr>
        <w:instrText>;</w:instrText>
      </w:r>
      <w:r w:rsidRPr="00DF6683">
        <w:rPr>
          <w:b/>
        </w:rPr>
        <w:instrText xml:space="preserve">1" </w:instrText>
      </w:r>
      <w:r w:rsidRPr="00DF6683">
        <w:rPr>
          <w:b/>
        </w:rPr>
        <w:fldChar w:fldCharType="separate"/>
      </w:r>
      <w:r>
        <w:rPr>
          <w:noProof/>
        </w:rPr>
        <w:t>NÁVRH LEGISLATÍVNEHO UZNESENIA EURÓPSKEHO PARLAMENTU</w:t>
      </w:r>
      <w:r>
        <w:rPr>
          <w:noProof/>
        </w:rPr>
        <w:tab/>
      </w:r>
      <w:r>
        <w:rPr>
          <w:noProof/>
        </w:rPr>
        <w:fldChar w:fldCharType="begin"/>
      </w:r>
      <w:r>
        <w:rPr>
          <w:noProof/>
        </w:rPr>
        <w:instrText xml:space="preserve"> PAGEREF _Toc160097830 \h </w:instrText>
      </w:r>
      <w:r>
        <w:rPr>
          <w:noProof/>
        </w:rPr>
      </w:r>
      <w:r>
        <w:rPr>
          <w:noProof/>
        </w:rPr>
        <w:fldChar w:fldCharType="separate"/>
      </w:r>
      <w:r>
        <w:rPr>
          <w:noProof/>
        </w:rPr>
        <w:t>5</w:t>
      </w:r>
      <w:r>
        <w:rPr>
          <w:noProof/>
        </w:rPr>
        <w:fldChar w:fldCharType="end"/>
      </w:r>
    </w:p>
    <w:p w:rsidR="001E79B1" w:rsidRDefault="001E79B1">
      <w:pPr>
        <w:pStyle w:val="TOC1"/>
        <w:tabs>
          <w:tab w:val="right" w:leader="dot" w:pos="9060"/>
        </w:tabs>
        <w:rPr>
          <w:rFonts w:asciiTheme="minorHAnsi" w:eastAsiaTheme="minorEastAsia" w:hAnsiTheme="minorHAnsi" w:cstheme="minorBidi"/>
          <w:noProof/>
          <w:sz w:val="22"/>
          <w:szCs w:val="22"/>
          <w:lang w:val="en-GB"/>
        </w:rPr>
      </w:pPr>
      <w:r>
        <w:rPr>
          <w:noProof/>
        </w:rPr>
        <w:t>DÔVODOVÁ SPRÁVA</w:t>
      </w:r>
      <w:r>
        <w:rPr>
          <w:noProof/>
        </w:rPr>
        <w:tab/>
      </w:r>
      <w:r>
        <w:rPr>
          <w:noProof/>
        </w:rPr>
        <w:fldChar w:fldCharType="begin"/>
      </w:r>
      <w:r>
        <w:rPr>
          <w:noProof/>
        </w:rPr>
        <w:instrText xml:space="preserve"> PAGEREF _Toc160097831 \h </w:instrText>
      </w:r>
      <w:r>
        <w:rPr>
          <w:noProof/>
        </w:rPr>
      </w:r>
      <w:r>
        <w:rPr>
          <w:noProof/>
        </w:rPr>
        <w:fldChar w:fldCharType="separate"/>
      </w:r>
      <w:r>
        <w:rPr>
          <w:noProof/>
        </w:rPr>
        <w:t>10</w:t>
      </w:r>
      <w:r>
        <w:rPr>
          <w:noProof/>
        </w:rPr>
        <w:fldChar w:fldCharType="end"/>
      </w:r>
    </w:p>
    <w:p w:rsidR="001E79B1" w:rsidRDefault="001E79B1">
      <w:pPr>
        <w:pStyle w:val="TOC1"/>
        <w:tabs>
          <w:tab w:val="right" w:leader="dot" w:pos="9060"/>
        </w:tabs>
        <w:rPr>
          <w:rFonts w:asciiTheme="minorHAnsi" w:eastAsiaTheme="minorEastAsia" w:hAnsiTheme="minorHAnsi" w:cstheme="minorBidi"/>
          <w:noProof/>
          <w:sz w:val="22"/>
          <w:szCs w:val="22"/>
          <w:lang w:val="en-GB"/>
        </w:rPr>
      </w:pPr>
      <w:r>
        <w:rPr>
          <w:noProof/>
        </w:rPr>
        <w:t>PRÍLOHA: SUBJEKTY ALEBO OSOBY, KTORÉ SPRAVODAJCOVI POSKYTLI INFORMÁCIE</w:t>
      </w:r>
      <w:r>
        <w:rPr>
          <w:noProof/>
        </w:rPr>
        <w:tab/>
      </w:r>
      <w:r>
        <w:rPr>
          <w:noProof/>
        </w:rPr>
        <w:fldChar w:fldCharType="begin"/>
      </w:r>
      <w:r>
        <w:rPr>
          <w:noProof/>
        </w:rPr>
        <w:instrText xml:space="preserve"> PAGEREF _Toc160097832 \h </w:instrText>
      </w:r>
      <w:r>
        <w:rPr>
          <w:noProof/>
        </w:rPr>
      </w:r>
      <w:r>
        <w:rPr>
          <w:noProof/>
        </w:rPr>
        <w:fldChar w:fldCharType="separate"/>
      </w:r>
      <w:r>
        <w:rPr>
          <w:noProof/>
        </w:rPr>
        <w:t>13</w:t>
      </w:r>
      <w:r>
        <w:rPr>
          <w:noProof/>
        </w:rPr>
        <w:fldChar w:fldCharType="end"/>
      </w:r>
    </w:p>
    <w:p w:rsidR="002346B0" w:rsidRPr="00DF6683" w:rsidRDefault="001E79B1" w:rsidP="00C23324">
      <w:r w:rsidRPr="00DF6683">
        <w:rPr>
          <w:b/>
        </w:rPr>
        <w:fldChar w:fldCharType="end"/>
      </w:r>
    </w:p>
    <w:p w:rsidR="00793EA9" w:rsidRPr="00DF6683" w:rsidRDefault="001E79B1">
      <w:pPr>
        <w:pStyle w:val="PageHeading"/>
      </w:pPr>
      <w:r w:rsidRPr="00DF6683">
        <w:br w:type="page"/>
      </w:r>
      <w:r w:rsidRPr="00DF6683">
        <w:lastRenderedPageBreak/>
        <w:br w:type="page"/>
      </w:r>
      <w:bookmarkStart w:id="1" w:name="_Toc160097830"/>
      <w:r w:rsidRPr="00DF6683">
        <w:lastRenderedPageBreak/>
        <w:t>NÁVRH LEGISLATÍVN</w:t>
      </w:r>
      <w:r w:rsidRPr="00DF6683">
        <w:t>EHO UZNESENIA EURÓPSKEHO PARLAMENTU</w:t>
      </w:r>
      <w:bookmarkEnd w:id="1"/>
    </w:p>
    <w:p w:rsidR="00793EA9" w:rsidRPr="00DF6683" w:rsidRDefault="001E79B1">
      <w:pPr>
        <w:pStyle w:val="NormalBold"/>
      </w:pPr>
      <w:r w:rsidRPr="00DF6683">
        <w:t>o návrhu nariadenia Európskeho parlamentu a Rady, ktorým sa mení nariadenie (EÚ) 2018/1806, pokiaľ ide o revíziu mechanizmu pozastavenia</w:t>
      </w:r>
    </w:p>
    <w:p w:rsidR="00793EA9" w:rsidRPr="00DF6683" w:rsidRDefault="001E79B1">
      <w:pPr>
        <w:pStyle w:val="NormalBold12a"/>
      </w:pPr>
      <w:r w:rsidRPr="00DF6683">
        <w:t>(COM(2023)0642 – C9</w:t>
      </w:r>
      <w:r w:rsidRPr="00DF6683">
        <w:noBreakHyphen/>
        <w:t>0392/2023 – 2023/0371(COD))</w:t>
      </w:r>
    </w:p>
    <w:p w:rsidR="00793EA9" w:rsidRPr="00DF6683" w:rsidRDefault="001E79B1" w:rsidP="00A910C9">
      <w:pPr>
        <w:pStyle w:val="NormalBold"/>
      </w:pPr>
      <w:r w:rsidRPr="00DF6683">
        <w:t>Riadny legislatívny postup: prvé čí</w:t>
      </w:r>
      <w:r w:rsidRPr="00DF6683">
        <w:t>tanie)</w:t>
      </w:r>
    </w:p>
    <w:p w:rsidR="00793EA9" w:rsidRPr="00DF6683" w:rsidRDefault="001E79B1" w:rsidP="00A910C9">
      <w:pPr>
        <w:pStyle w:val="EPComma"/>
      </w:pPr>
      <w:r w:rsidRPr="00DF6683">
        <w:rPr>
          <w:i/>
        </w:rPr>
        <w:t>Európsky parlament</w:t>
      </w:r>
      <w:r w:rsidRPr="00DF6683">
        <w:t>,</w:t>
      </w:r>
    </w:p>
    <w:p w:rsidR="00793EA9" w:rsidRPr="00DF6683" w:rsidRDefault="001E79B1">
      <w:pPr>
        <w:pStyle w:val="NormalHanging12a"/>
      </w:pPr>
      <w:r w:rsidRPr="00DF6683">
        <w:t>–</w:t>
      </w:r>
      <w:r w:rsidRPr="00DF6683">
        <w:tab/>
        <w:t>so zreteľom na návrh Komisie pre Európsky parlament a Radu [COM(2023)0642],</w:t>
      </w:r>
    </w:p>
    <w:p w:rsidR="00793EA9" w:rsidRPr="00DF6683" w:rsidRDefault="001E79B1">
      <w:pPr>
        <w:pStyle w:val="NormalHanging12a"/>
      </w:pPr>
      <w:r w:rsidRPr="00DF6683">
        <w:t>–</w:t>
      </w:r>
      <w:r w:rsidRPr="00DF6683">
        <w:tab/>
        <w:t>so zreteľom na článok 294 ods. 2 a článok 77 ods. 2 písm. a) Zmluvy o fungovaní Európskej únie, v súlade s ktorými Komisia predložila návrh Európskem</w:t>
      </w:r>
      <w:r w:rsidRPr="00DF6683">
        <w:t>u parlamentu (C9</w:t>
      </w:r>
      <w:r w:rsidRPr="00DF6683">
        <w:noBreakHyphen/>
        <w:t>0392/2023),</w:t>
      </w:r>
    </w:p>
    <w:p w:rsidR="00A26F46" w:rsidRPr="00DF6683" w:rsidRDefault="001E79B1" w:rsidP="00A26F46">
      <w:pPr>
        <w:pStyle w:val="NormalHanging12a"/>
      </w:pPr>
      <w:r w:rsidRPr="00DF6683">
        <w:t>–</w:t>
      </w:r>
      <w:r w:rsidRPr="00DF6683">
        <w:tab/>
        <w:t>so zreteľom na článok 294 ods. 3 Zmluvy o fungovaní Európskej únie,</w:t>
      </w:r>
    </w:p>
    <w:p w:rsidR="00793EA9" w:rsidRPr="00DF6683" w:rsidRDefault="001E79B1">
      <w:pPr>
        <w:pStyle w:val="NormalHanging12a"/>
      </w:pPr>
      <w:r w:rsidRPr="00DF6683">
        <w:t>–</w:t>
      </w:r>
      <w:r w:rsidRPr="00DF6683">
        <w:tab/>
        <w:t>so zreteľom na článok 59 rokovacieho poriadku,</w:t>
      </w:r>
    </w:p>
    <w:p w:rsidR="006A2F5D" w:rsidRPr="00DF6683" w:rsidRDefault="001E79B1" w:rsidP="006A2F5D">
      <w:pPr>
        <w:pStyle w:val="NormalHanging12a"/>
      </w:pPr>
      <w:r w:rsidRPr="00DF6683">
        <w:t>–</w:t>
      </w:r>
      <w:r w:rsidRPr="00DF6683">
        <w:tab/>
        <w:t>so zreteľom na správu Výboru pre občianske slobody, spravodlivosť a vnútorné veci (A9</w:t>
      </w:r>
      <w:r w:rsidRPr="00DF6683">
        <w:noBreakHyphen/>
        <w:t>0000/2024),</w:t>
      </w:r>
    </w:p>
    <w:p w:rsidR="009F6C2F" w:rsidRPr="00DF6683" w:rsidRDefault="001E79B1" w:rsidP="009F6C2F">
      <w:pPr>
        <w:pStyle w:val="NormalHanging12a"/>
      </w:pPr>
      <w:r w:rsidRPr="00DF6683">
        <w:t>1.</w:t>
      </w:r>
      <w:r w:rsidRPr="00DF6683">
        <w:tab/>
        <w:t>prijí</w:t>
      </w:r>
      <w:r w:rsidRPr="00DF6683">
        <w:t>ma nasledujúcu pozíciu v prvom čítaní;</w:t>
      </w:r>
    </w:p>
    <w:p w:rsidR="009F6C2F" w:rsidRPr="00DF6683" w:rsidRDefault="001E79B1" w:rsidP="009F6C2F">
      <w:pPr>
        <w:pStyle w:val="NormalHanging12a"/>
      </w:pPr>
      <w:r w:rsidRPr="00DF6683">
        <w:t>2.</w:t>
      </w:r>
      <w:r w:rsidRPr="00DF6683">
        <w:tab/>
        <w:t>žiada Komisiu, aby mu vec znovu predložila, ak nahrádza, podstatne mení alebo má v</w:t>
      </w:r>
      <w:r>
        <w:t> </w:t>
      </w:r>
      <w:r w:rsidRPr="00DF6683">
        <w:t>úmysle podstatne zmeniť svoj návrh;</w:t>
      </w:r>
    </w:p>
    <w:p w:rsidR="009F6C2F" w:rsidRPr="00DF6683" w:rsidRDefault="001E79B1" w:rsidP="009F6C2F">
      <w:pPr>
        <w:pStyle w:val="NormalHanging12a"/>
      </w:pPr>
      <w:r w:rsidRPr="00DF6683">
        <w:t>3.</w:t>
      </w:r>
      <w:r w:rsidRPr="00DF6683">
        <w:tab/>
        <w:t>poveruje svoje predsedníčku, aby postúpila túto pozíciu Rade, Komisii a národným parlamentom</w:t>
      </w:r>
      <w:r w:rsidRPr="00DF6683">
        <w:t>.</w:t>
      </w:r>
    </w:p>
    <w:p w:rsidR="00D30DE2" w:rsidRPr="00DF6683" w:rsidRDefault="00D30DE2" w:rsidP="00D30DE2"/>
    <w:p w:rsidR="0047621B" w:rsidRPr="00DF6683" w:rsidRDefault="001E79B1" w:rsidP="0047621B">
      <w:pPr>
        <w:pStyle w:val="AMNumberTabs0"/>
        <w:keepNext/>
      </w:pPr>
      <w:r w:rsidRPr="00DF6683">
        <w:rPr>
          <w:rStyle w:val="HideTWBExt"/>
          <w:b w:val="0"/>
        </w:rPr>
        <w:t>&lt;RepeatBlock-Amend&gt;&lt;Amend&gt;</w:t>
      </w:r>
      <w:r w:rsidRPr="00DF6683">
        <w:t>Pozmeňujúci návrh</w:t>
      </w:r>
      <w:r w:rsidRPr="00DF6683">
        <w:tab/>
      </w:r>
      <w:r w:rsidRPr="00DF6683">
        <w:tab/>
      </w:r>
      <w:r w:rsidRPr="00DF6683">
        <w:rPr>
          <w:rStyle w:val="HideTWBExt"/>
          <w:b w:val="0"/>
        </w:rPr>
        <w:t>&lt;NumAm&gt;</w:t>
      </w:r>
      <w:r w:rsidRPr="00DF6683">
        <w:t>1</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Odôvodnenie 2</w:t>
      </w:r>
      <w:r w:rsidRPr="00DF668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1E79B1" w:rsidP="006052B3">
            <w:pPr>
              <w:pStyle w:val="Normal6"/>
            </w:pPr>
            <w:r w:rsidRPr="00DF6683">
              <w:t>(2)</w:t>
            </w:r>
            <w:r w:rsidRPr="00DF6683">
              <w:tab/>
              <w:t xml:space="preserve">Mechanizmus, ktorým sa dočasne pozastavuje oslobodenie štátnych </w:t>
            </w:r>
            <w:r w:rsidRPr="00DF6683">
              <w:t>príslušníkov tretej krajiny uvedenej v zozname v prílohe II k nariadeniu (EÚ) 2018/1806 od vízovej povinnosti (ďalej len „mechanizmus pozastavenia“) by sa mal posilniť, aby mala Únia k dispozícii účinnejšie ochranné opatrenia, ktorých cieľom je zabrániť ce</w:t>
            </w:r>
            <w:r w:rsidRPr="00DF6683">
              <w:t xml:space="preserve">lej škále rizík z hľadiska neregulárnej migrácie, </w:t>
            </w:r>
            <w:r w:rsidRPr="00DF6683">
              <w:lastRenderedPageBreak/>
              <w:t>verejného poriadku a bezpečnosti spojených s tretími krajinami uvedenými v zozname v danej prílohe II, ako aj zneužívaniu oslobodenia od vízovej povinnosti prostredníctvom systémov udeľovania občianstva inv</w:t>
            </w:r>
            <w:r w:rsidRPr="00DF6683">
              <w:t>estorom používaných týmito tretími krajinami.</w:t>
            </w:r>
          </w:p>
        </w:tc>
        <w:tc>
          <w:tcPr>
            <w:tcW w:w="4876" w:type="dxa"/>
          </w:tcPr>
          <w:p w:rsidR="0047621B" w:rsidRPr="00DF6683" w:rsidRDefault="001E79B1" w:rsidP="006052B3">
            <w:pPr>
              <w:pStyle w:val="Normal6"/>
              <w:rPr>
                <w:szCs w:val="24"/>
              </w:rPr>
            </w:pPr>
            <w:r w:rsidRPr="00DF6683">
              <w:lastRenderedPageBreak/>
              <w:t>(2)</w:t>
            </w:r>
            <w:r w:rsidRPr="00DF6683">
              <w:tab/>
              <w:t>Mechanizmus, ktorým sa dočasne pozastavuje oslobodenie štátnych príslušníkov tretej krajiny uvedenej v zozname v prílohe II k nariadeniu (EÚ) 2018/1806 od vízovej povinnosti (ďalej len „mechanizmus pozastav</w:t>
            </w:r>
            <w:r w:rsidRPr="00DF6683">
              <w:t>enia“)</w:t>
            </w:r>
            <w:r w:rsidRPr="00DF6683">
              <w:rPr>
                <w:b/>
                <w:i/>
              </w:rPr>
              <w:t>,</w:t>
            </w:r>
            <w:r w:rsidRPr="00DF6683">
              <w:t xml:space="preserve"> by sa mal posilniť, aby mala Únia k dispozícii účinnejšie ochranné opatrenia, ktorých cieľom je zabrániť celej škále rizík z hľadiska neregulárnej migrácie, </w:t>
            </w:r>
            <w:r w:rsidRPr="00DF6683">
              <w:lastRenderedPageBreak/>
              <w:t xml:space="preserve">verejného poriadku a bezpečnosti spojených s tretími krajinami uvedenými v zozname v danej </w:t>
            </w:r>
            <w:r w:rsidRPr="00DF6683">
              <w:t>prílohe II, ako aj zneužívaniu oslobodenia od vízovej povinnosti prostredníctvom systémov udeľovania občianstva investorom používaných týmito tretími krajinami</w:t>
            </w:r>
            <w:r w:rsidRPr="00DF6683">
              <w:rPr>
                <w:b/>
                <w:i/>
              </w:rPr>
              <w:t xml:space="preserve"> a nedodržaniu osobitných požiadaviek, najmä tých, ktoré sú stanovené v súvislosti s vonkajšími v</w:t>
            </w:r>
            <w:r w:rsidRPr="00DF6683">
              <w:rPr>
                <w:b/>
                <w:i/>
              </w:rPr>
              <w:t>zťahmi Únie s príslušnou treťou krajinou, vrátane hľadísk ľudských práv a základných slobôd</w:t>
            </w:r>
            <w:r w:rsidRPr="00DF6683">
              <w:t>.</w:t>
            </w:r>
          </w:p>
        </w:tc>
      </w:tr>
    </w:tbl>
    <w:p w:rsidR="0047621B" w:rsidRPr="00DF6683" w:rsidRDefault="001E79B1" w:rsidP="0047621B">
      <w:pPr>
        <w:pStyle w:val="Olang"/>
        <w:rPr>
          <w:sz w:val="24"/>
          <w:szCs w:val="24"/>
        </w:rPr>
      </w:pPr>
      <w:r w:rsidRPr="00DF6683">
        <w:rPr>
          <w:sz w:val="24"/>
          <w:szCs w:val="24"/>
        </w:rPr>
        <w:lastRenderedPageBreak/>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r w:rsidRPr="00DF6683">
        <w:rPr>
          <w:rStyle w:val="HideTWBExt"/>
        </w:rPr>
        <w:t>&lt;/Amend&gt;</w:t>
      </w:r>
    </w:p>
    <w:p w:rsidR="0047621B" w:rsidRPr="00DF6683" w:rsidRDefault="001E79B1" w:rsidP="0047621B">
      <w:pPr>
        <w:pStyle w:val="AMNumberTabs0"/>
        <w:keepNext/>
      </w:pPr>
      <w:r w:rsidRPr="00DF6683">
        <w:rPr>
          <w:rStyle w:val="HideTWBExt"/>
          <w:b w:val="0"/>
        </w:rPr>
        <w:t>&lt;Amend&gt;</w:t>
      </w:r>
      <w:r w:rsidRPr="00DF6683">
        <w:t>Pozmeňujúci návrh</w:t>
      </w:r>
      <w:r w:rsidRPr="00DF6683">
        <w:tab/>
      </w:r>
      <w:r w:rsidRPr="00DF6683">
        <w:tab/>
      </w:r>
      <w:r w:rsidRPr="00DF6683">
        <w:rPr>
          <w:rStyle w:val="HideTWBExt"/>
          <w:b w:val="0"/>
        </w:rPr>
        <w:t>&lt;NumAm&gt;</w:t>
      </w:r>
      <w:r w:rsidRPr="00DF6683">
        <w:t>2</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Odôvodnenie 6 a (nové)</w:t>
      </w:r>
      <w:r w:rsidRPr="00DF668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(6a)</w:t>
            </w:r>
            <w:r w:rsidRPr="00DF6683">
              <w:rPr>
                <w:b/>
                <w:i/>
              </w:rPr>
              <w:tab/>
              <w:t xml:space="preserve">Mechanizmus pozastavenia by malo byť možné spustiť v prípadoch týkajúcich sa vonkajších vzťahov Únie s príslušnou treťou krajinou, a to najmä vrátane hľadísk ľudských práv a základných slobôd. </w:t>
            </w:r>
            <w:r w:rsidRPr="00DF6683">
              <w:rPr>
                <w:b/>
                <w:i/>
              </w:rPr>
              <w:t xml:space="preserve">Takéto hľadiská by mali zahŕňať porušenie dvojstranných alebo mnohostranných dohôd uzavretých medzi Úniou alebo medzi Úniou a členskými štátmi na jednej strane a relevantnou treťou krajinou na strane druhej; závažné porušenia medzinárodného práva a noriem </w:t>
            </w:r>
            <w:r w:rsidRPr="00DF6683">
              <w:rPr>
                <w:b/>
                <w:i/>
              </w:rPr>
              <w:t>vrátane medzinárodného práva v oblasti ľudských práv príslušnou treťou krajinou vrátane nedodržania rozhodnutí a rozsudkov medzinárodných súdov; nepriateľské činy alebo agresiu príslušnej tretej krajiny proti jednému alebo viacerým členským štátom alebo Ún</w:t>
            </w:r>
            <w:r w:rsidRPr="00DF6683">
              <w:rPr>
                <w:b/>
                <w:i/>
              </w:rPr>
              <w:t>ii; závažné porušovanie ľudských práv vrátane kriminalizácie umelého prerušenia tehotenstva a osôb LGBTQ+ a zavedenie alebo uplatňovanie trestu smrti príslušnou treťou krajinou; a nedodržanie príslušných sankcií Únie vo vzťahu k príslušnej tretej krajine.</w:t>
            </w:r>
          </w:p>
        </w:tc>
      </w:tr>
    </w:tbl>
    <w:p w:rsidR="0047621B" w:rsidRPr="00DF6683" w:rsidRDefault="001E79B1" w:rsidP="0047621B">
      <w:pPr>
        <w:pStyle w:val="Olang"/>
        <w:rPr>
          <w:sz w:val="24"/>
          <w:szCs w:val="24"/>
        </w:rPr>
      </w:pPr>
      <w:r w:rsidRPr="00DF6683">
        <w:rPr>
          <w:sz w:val="24"/>
          <w:szCs w:val="24"/>
        </w:rPr>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r w:rsidRPr="00DF6683">
        <w:rPr>
          <w:rStyle w:val="HideTWBExt"/>
        </w:rPr>
        <w:lastRenderedPageBreak/>
        <w:t>&lt;/Amend&gt;</w:t>
      </w:r>
    </w:p>
    <w:p w:rsidR="0047621B" w:rsidRPr="00DF6683" w:rsidRDefault="001E79B1" w:rsidP="0047621B">
      <w:pPr>
        <w:pStyle w:val="AMNumberTabs0"/>
        <w:keepNext/>
      </w:pPr>
      <w:r w:rsidRPr="00DF6683">
        <w:rPr>
          <w:rStyle w:val="HideTWBExt"/>
          <w:b w:val="0"/>
        </w:rPr>
        <w:t>&lt;Amend&gt;</w:t>
      </w:r>
      <w:r w:rsidRPr="00DF6683">
        <w:t>Pozmeňujúci návrh</w:t>
      </w:r>
      <w:r w:rsidRPr="00DF6683">
        <w:tab/>
      </w:r>
      <w:r w:rsidRPr="00DF6683">
        <w:tab/>
      </w:r>
      <w:r w:rsidRPr="00DF6683">
        <w:rPr>
          <w:rStyle w:val="HideTWBExt"/>
          <w:b w:val="0"/>
        </w:rPr>
        <w:t>&lt;NumAm&gt;</w:t>
      </w:r>
      <w:r w:rsidRPr="00DF6683">
        <w:t>3</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Článok 1 – odsek 1 – bod 2</w:t>
      </w:r>
      <w:r w:rsidRPr="00DF6683">
        <w:rPr>
          <w:rStyle w:val="HideTWBExt"/>
          <w:b w:val="0"/>
        </w:rPr>
        <w:t>&lt;/Article&gt;</w:t>
      </w:r>
    </w:p>
    <w:p w:rsidR="0047621B" w:rsidRPr="00DF6683" w:rsidRDefault="001E79B1" w:rsidP="0047621B">
      <w:pPr>
        <w:keepNext/>
      </w:pPr>
      <w:r w:rsidRPr="00DF6683">
        <w:rPr>
          <w:rStyle w:val="HideTWBExt"/>
        </w:rPr>
        <w:t>&lt;DocAmend2&gt;</w:t>
      </w:r>
      <w:r w:rsidRPr="00DF6683">
        <w:t>Nariadenie (EÚ) 2018/1806</w:t>
      </w:r>
      <w:r w:rsidRPr="00DF6683">
        <w:rPr>
          <w:rStyle w:val="HideTWBExt"/>
        </w:rPr>
        <w:t>&lt;/DocAmend2&gt;</w:t>
      </w:r>
    </w:p>
    <w:p w:rsidR="0047621B" w:rsidRPr="00DF6683" w:rsidRDefault="001E79B1" w:rsidP="0047621B">
      <w:r w:rsidRPr="00DF6683">
        <w:rPr>
          <w:rStyle w:val="HideTWBExt"/>
        </w:rPr>
        <w:t>&lt;Article2&gt;</w:t>
      </w:r>
      <w:r w:rsidRPr="00DF6683">
        <w:t xml:space="preserve">Článok 8a – odsek 1 – </w:t>
      </w:r>
      <w:r w:rsidRPr="00DF6683">
        <w:t>písmeno d – bod ii</w:t>
      </w:r>
      <w:r w:rsidRPr="00DF668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1E79B1" w:rsidP="006052B3">
            <w:pPr>
              <w:pStyle w:val="Normal6"/>
            </w:pPr>
            <w:r w:rsidRPr="00DF6683">
              <w:rPr>
                <w:b/>
                <w:i/>
              </w:rPr>
              <w:t>ii)</w:t>
            </w:r>
            <w:r w:rsidRPr="00DF6683">
              <w:rPr>
                <w:b/>
                <w:i/>
              </w:rPr>
              <w:tab/>
              <w:t>hybridné hrozby;</w:t>
            </w:r>
          </w:p>
        </w:tc>
        <w:tc>
          <w:tcPr>
            <w:tcW w:w="4876" w:type="dxa"/>
          </w:tcPr>
          <w:p w:rsidR="0047621B" w:rsidRPr="00DF6683" w:rsidRDefault="001E79B1" w:rsidP="006052B3">
            <w:pPr>
              <w:pStyle w:val="Normal6"/>
              <w:rPr>
                <w:szCs w:val="24"/>
              </w:rPr>
            </w:pPr>
            <w:r w:rsidRPr="00DF6683">
              <w:rPr>
                <w:b/>
                <w:i/>
              </w:rPr>
              <w:t>vypúšťa sa</w:t>
            </w:r>
          </w:p>
        </w:tc>
      </w:tr>
    </w:tbl>
    <w:p w:rsidR="0047621B" w:rsidRPr="00DF6683" w:rsidRDefault="001E79B1" w:rsidP="0047621B">
      <w:pPr>
        <w:pStyle w:val="Olang"/>
        <w:rPr>
          <w:sz w:val="24"/>
          <w:szCs w:val="24"/>
        </w:rPr>
      </w:pPr>
      <w:r w:rsidRPr="00DF6683">
        <w:rPr>
          <w:sz w:val="24"/>
          <w:szCs w:val="24"/>
        </w:rPr>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pPr>
        <w:pStyle w:val="JustificationTitle"/>
        <w:rPr>
          <w:noProof w:val="0"/>
        </w:rPr>
      </w:pPr>
      <w:r w:rsidRPr="00DF6683">
        <w:rPr>
          <w:rStyle w:val="HideTWBExt"/>
          <w:i w:val="0"/>
        </w:rPr>
        <w:t>&lt;TitreJust&gt;</w:t>
      </w:r>
      <w:r w:rsidRPr="00DF6683">
        <w:t>Odôvodnenie</w:t>
      </w:r>
      <w:r w:rsidRPr="00DF6683">
        <w:rPr>
          <w:rStyle w:val="HideTWBExt"/>
          <w:i w:val="0"/>
        </w:rPr>
        <w:t>&lt;/TitreJust&gt;</w:t>
      </w:r>
    </w:p>
    <w:p w:rsidR="0047621B" w:rsidRPr="00DF6683" w:rsidRDefault="001E79B1" w:rsidP="0047621B">
      <w:pPr>
        <w:pStyle w:val="Normal12Italic"/>
        <w:rPr>
          <w:noProof w:val="0"/>
        </w:rPr>
      </w:pPr>
      <w:r w:rsidRPr="00DF6683">
        <w:t>Spravodajca sa domnieva, že tento dôvod by mal byť súčasťou prerokovania dôvodov</w:t>
      </w:r>
      <w:r w:rsidRPr="00DF6683">
        <w:t xml:space="preserve"> v rámci vonkajších vzťahov Únie s príslušnou treťou krajinou, ako sa navrhuje v písmene ga).</w:t>
      </w:r>
    </w:p>
    <w:p w:rsidR="0047621B" w:rsidRPr="00DF6683" w:rsidRDefault="001E79B1" w:rsidP="0047621B">
      <w:r w:rsidRPr="00DF6683">
        <w:rPr>
          <w:rStyle w:val="HideTWBExt"/>
        </w:rPr>
        <w:t>&lt;/Amend&gt;</w:t>
      </w:r>
    </w:p>
    <w:p w:rsidR="0047621B" w:rsidRPr="00DF6683" w:rsidRDefault="001E79B1" w:rsidP="0047621B">
      <w:pPr>
        <w:pStyle w:val="AMNumberTabs0"/>
        <w:keepNext/>
      </w:pPr>
      <w:r w:rsidRPr="00DF6683">
        <w:rPr>
          <w:rStyle w:val="HideTWBExt"/>
          <w:b w:val="0"/>
        </w:rPr>
        <w:t>&lt;Amend&gt;</w:t>
      </w:r>
      <w:r w:rsidRPr="00DF6683">
        <w:t>Pozmeňujúci návrh</w:t>
      </w:r>
      <w:r w:rsidRPr="00DF6683">
        <w:tab/>
      </w:r>
      <w:r w:rsidRPr="00DF6683">
        <w:tab/>
      </w:r>
      <w:r w:rsidRPr="00DF6683">
        <w:rPr>
          <w:rStyle w:val="HideTWBExt"/>
          <w:b w:val="0"/>
        </w:rPr>
        <w:t>&lt;NumAm&gt;</w:t>
      </w:r>
      <w:r w:rsidRPr="00DF6683">
        <w:t>4</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Článok 1 – odsek 1 – bod 2</w:t>
      </w:r>
      <w:r w:rsidRPr="00DF6683">
        <w:rPr>
          <w:rStyle w:val="HideTWBExt"/>
          <w:b w:val="0"/>
        </w:rPr>
        <w:t>&lt;/Article&gt;</w:t>
      </w:r>
    </w:p>
    <w:p w:rsidR="0047621B" w:rsidRPr="00DF6683" w:rsidRDefault="001E79B1" w:rsidP="0047621B">
      <w:pPr>
        <w:keepNext/>
      </w:pPr>
      <w:r w:rsidRPr="00DF6683">
        <w:rPr>
          <w:rStyle w:val="HideTWBExt"/>
        </w:rPr>
        <w:t>&lt;DocAmend2&gt;</w:t>
      </w:r>
      <w:r w:rsidRPr="00DF6683">
        <w:t>Nariadenie (EÚ)</w:t>
      </w:r>
      <w:r w:rsidRPr="00DF6683">
        <w:t xml:space="preserve"> 2018/1806</w:t>
      </w:r>
      <w:r w:rsidRPr="00DF6683">
        <w:rPr>
          <w:rStyle w:val="HideTWBExt"/>
        </w:rPr>
        <w:t>&lt;/DocAmend2&gt;</w:t>
      </w:r>
    </w:p>
    <w:p w:rsidR="0047621B" w:rsidRPr="00DF6683" w:rsidRDefault="001E79B1" w:rsidP="0047621B">
      <w:r w:rsidRPr="00DF6683">
        <w:rPr>
          <w:rStyle w:val="HideTWBExt"/>
        </w:rPr>
        <w:t>&lt;Article2&gt;</w:t>
      </w:r>
      <w:r w:rsidRPr="00DF6683">
        <w:t xml:space="preserve">Článok 8a – odsek 1 – písmeno g a (nové) </w:t>
      </w:r>
      <w:r w:rsidRPr="00DF668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ga)</w:t>
            </w:r>
            <w:r w:rsidRPr="00DF6683">
              <w:rPr>
                <w:b/>
                <w:i/>
              </w:rPr>
              <w:tab/>
              <w:t xml:space="preserve">nedodržanie osobitných požiadaviek, ktoré sú založené na článku 1, najmä pokiaľ ide o vonkajšie vzťahy Únie </w:t>
            </w:r>
            <w:r w:rsidRPr="00DF6683">
              <w:rPr>
                <w:b/>
                <w:i/>
              </w:rPr>
              <w:t>s príslušnou treťou krajinou vrátane hľadísk ľudských práv a základných slobôd, vyplývajúce z ktorejkoľvek z týchto skutočností:</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i)</w:t>
            </w:r>
            <w:r w:rsidRPr="00DF6683">
              <w:rPr>
                <w:b/>
                <w:i/>
              </w:rPr>
              <w:tab/>
              <w:t xml:space="preserve"> porušenie dvojstranných a mnohostranných dohôd medzi Úniou alebo Úniou a členskými štátmi na jednej strane a príslušnou t</w:t>
            </w:r>
            <w:r w:rsidRPr="00DF6683">
              <w:rPr>
                <w:b/>
                <w:i/>
              </w:rPr>
              <w:t>reťou krajinou na strane druhej;</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ii)</w:t>
            </w:r>
            <w:r w:rsidRPr="00DF6683">
              <w:rPr>
                <w:b/>
                <w:i/>
              </w:rPr>
              <w:tab/>
              <w:t xml:space="preserve"> závažné porušenie medzinárodného práva a noriem vrátane medzinárodného práva v oblasti ľudských práv príslušnou treťou krajinou vrátane nedodržania rozhodnutí a rozhodnutí medzinárodných súdov;</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iii)</w:t>
            </w:r>
            <w:r w:rsidRPr="00DF6683">
              <w:rPr>
                <w:b/>
                <w:i/>
              </w:rPr>
              <w:tab/>
              <w:t xml:space="preserve"> nepriateľské č</w:t>
            </w:r>
            <w:r w:rsidRPr="00DF6683">
              <w:rPr>
                <w:b/>
                <w:i/>
              </w:rPr>
              <w:t xml:space="preserve">iny alebo agresia </w:t>
            </w:r>
            <w:r w:rsidRPr="00DF6683">
              <w:rPr>
                <w:b/>
                <w:i/>
              </w:rPr>
              <w:lastRenderedPageBreak/>
              <w:t>príslušnej tretej krajiny proti jednému alebo viacerým členským štátom alebo Únii;</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iv)</w:t>
            </w:r>
            <w:r w:rsidRPr="00DF6683">
              <w:rPr>
                <w:b/>
                <w:i/>
              </w:rPr>
              <w:tab/>
              <w:t xml:space="preserve"> závažné porušenie ľudských práv vrátane kriminalizácie umelého prerušenia tehotenstva a osôb LGBTQ+ a zavedenie alebo uplatňovanie trestu smrti prís</w:t>
            </w:r>
            <w:r w:rsidRPr="00DF6683">
              <w:rPr>
                <w:b/>
                <w:i/>
              </w:rPr>
              <w:t>lušnou treťou krajinou;</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v)</w:t>
            </w:r>
            <w:r w:rsidRPr="00DF6683">
              <w:rPr>
                <w:b/>
                <w:i/>
              </w:rPr>
              <w:tab/>
              <w:t xml:space="preserve"> nedodržanie príslušných sankcií Únie vo vzťahu k príslušnej tretej krajine.</w:t>
            </w:r>
          </w:p>
        </w:tc>
      </w:tr>
    </w:tbl>
    <w:p w:rsidR="0047621B" w:rsidRPr="00DF6683" w:rsidRDefault="001E79B1" w:rsidP="0047621B">
      <w:pPr>
        <w:pStyle w:val="Olang"/>
        <w:rPr>
          <w:sz w:val="24"/>
          <w:szCs w:val="24"/>
        </w:rPr>
      </w:pPr>
      <w:r w:rsidRPr="00DF6683">
        <w:rPr>
          <w:sz w:val="24"/>
          <w:szCs w:val="24"/>
        </w:rPr>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pPr>
        <w:pStyle w:val="JustificationTitle"/>
        <w:rPr>
          <w:noProof w:val="0"/>
        </w:rPr>
      </w:pPr>
      <w:r w:rsidRPr="00DF6683">
        <w:rPr>
          <w:rStyle w:val="HideTWBExt"/>
          <w:i w:val="0"/>
        </w:rPr>
        <w:t>&lt;TitreJust&gt;</w:t>
      </w:r>
      <w:r w:rsidRPr="00DF6683">
        <w:t>Odôvodnenie</w:t>
      </w:r>
      <w:r w:rsidRPr="00DF6683">
        <w:rPr>
          <w:rStyle w:val="HideTWBExt"/>
          <w:i w:val="0"/>
        </w:rPr>
        <w:t>&lt;/TitreJust&gt;</w:t>
      </w:r>
    </w:p>
    <w:p w:rsidR="0047621B" w:rsidRPr="00DF6683" w:rsidRDefault="001E79B1" w:rsidP="0047621B">
      <w:pPr>
        <w:pStyle w:val="Normal12Italic"/>
        <w:rPr>
          <w:noProof w:val="0"/>
        </w:rPr>
      </w:pPr>
      <w:r w:rsidRPr="00DF6683">
        <w:t xml:space="preserve">Article 1 determines the basis for the exemption from visa requirements for the </w:t>
      </w:r>
      <w:r w:rsidRPr="00DF6683">
        <w:t xml:space="preserve">nationals of the third countries when travelling to the territory of the Member States, which are based on a case-by-case assessment of a variety of criteria, and article 8 provides grounds for the suspension of the said exemption. There is however, a gap </w:t>
      </w:r>
      <w:r w:rsidRPr="00DF6683">
        <w:t>between the conditions for visa exemption and the grounds for its suspension, in particular in relation to the Union's external relations with the relevant third country, including, in particular, considerations of human rights and fundamental freedoms. Th</w:t>
      </w:r>
      <w:r w:rsidRPr="00DF6683">
        <w:t>e Rapporteur wishes to close this gap by extending the grounds for suspension in Article 8 as set out.</w:t>
      </w:r>
    </w:p>
    <w:p w:rsidR="0047621B" w:rsidRPr="00DF6683" w:rsidRDefault="001E79B1" w:rsidP="0047621B">
      <w:r w:rsidRPr="00DF6683">
        <w:rPr>
          <w:rStyle w:val="HideTWBExt"/>
        </w:rPr>
        <w:t>&lt;/Amend&gt;</w:t>
      </w:r>
    </w:p>
    <w:p w:rsidR="0047621B" w:rsidRPr="00DF6683" w:rsidRDefault="001E79B1" w:rsidP="0047621B">
      <w:pPr>
        <w:pStyle w:val="AMNumberTabs0"/>
        <w:keepNext/>
      </w:pPr>
      <w:r w:rsidRPr="00DF6683">
        <w:rPr>
          <w:rStyle w:val="HideTWBExt"/>
          <w:b w:val="0"/>
        </w:rPr>
        <w:t>&lt;Amend&gt;</w:t>
      </w:r>
      <w:r w:rsidRPr="00DF6683">
        <w:t>Pozmeňujúci návrh</w:t>
      </w:r>
      <w:r w:rsidRPr="00DF6683">
        <w:tab/>
      </w:r>
      <w:r w:rsidRPr="00DF6683">
        <w:tab/>
      </w:r>
      <w:r w:rsidRPr="00DF6683">
        <w:rPr>
          <w:rStyle w:val="HideTWBExt"/>
          <w:b w:val="0"/>
        </w:rPr>
        <w:t>&lt;NumAm&gt;</w:t>
      </w:r>
      <w:r w:rsidRPr="00DF6683">
        <w:t>5</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Článok 1 – odsek 1 – bod 2</w:t>
      </w:r>
      <w:r w:rsidRPr="00DF6683">
        <w:rPr>
          <w:rStyle w:val="HideTWBExt"/>
          <w:b w:val="0"/>
        </w:rPr>
        <w:t>&lt;/Article&gt;</w:t>
      </w:r>
    </w:p>
    <w:p w:rsidR="0047621B" w:rsidRPr="00DF6683" w:rsidRDefault="001E79B1" w:rsidP="0047621B">
      <w:pPr>
        <w:keepNext/>
      </w:pPr>
      <w:r w:rsidRPr="00DF6683">
        <w:rPr>
          <w:rStyle w:val="HideTWBExt"/>
        </w:rPr>
        <w:t>&lt;DocAmend2&gt;</w:t>
      </w:r>
      <w:r w:rsidRPr="00DF6683">
        <w:t>Nariadenie (EÚ) 2018/1806</w:t>
      </w:r>
      <w:r w:rsidRPr="00DF6683">
        <w:rPr>
          <w:rStyle w:val="HideTWBExt"/>
        </w:rPr>
        <w:t>&lt;/DocAmend2&gt;</w:t>
      </w:r>
    </w:p>
    <w:p w:rsidR="0047621B" w:rsidRPr="00DF6683" w:rsidRDefault="001E79B1" w:rsidP="0047621B">
      <w:r w:rsidRPr="00DF6683">
        <w:rPr>
          <w:rStyle w:val="HideTWBExt"/>
        </w:rPr>
        <w:t>&lt;Article2&gt;</w:t>
      </w:r>
      <w:r w:rsidRPr="00DF6683">
        <w:t>Článok 8c – odsek 1 – pododsek 2 a (nový)</w:t>
      </w:r>
      <w:r w:rsidRPr="00DF668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47621B" w:rsidP="006052B3">
            <w:pPr>
              <w:pStyle w:val="Normal6"/>
            </w:pPr>
          </w:p>
        </w:tc>
        <w:tc>
          <w:tcPr>
            <w:tcW w:w="4876" w:type="dxa"/>
          </w:tcPr>
          <w:p w:rsidR="0047621B" w:rsidRPr="00DF6683" w:rsidRDefault="001E79B1" w:rsidP="006052B3">
            <w:pPr>
              <w:pStyle w:val="Normal6"/>
              <w:rPr>
                <w:szCs w:val="24"/>
              </w:rPr>
            </w:pPr>
            <w:r w:rsidRPr="00DF6683">
              <w:rPr>
                <w:b/>
                <w:i/>
              </w:rPr>
              <w:t xml:space="preserve">Komisia monitoruje trvalé nedodržiavanie osobitných požiadaviek, ktoré sú založené na článku 1, najmä </w:t>
            </w:r>
            <w:r w:rsidRPr="00DF6683">
              <w:rPr>
                <w:b/>
                <w:i/>
              </w:rPr>
              <w:t>v rámci vonkajších vzťahov Únie s príslušnou treťou krajinou a vo vzťahu k tretím krajinám uvedeným v prílohe II, ktoré využívajú výhody liberalizácie vízového režimu, dôvody pozastavenia podľa článku 8a ods. 1 písm. ga).</w:t>
            </w:r>
          </w:p>
        </w:tc>
      </w:tr>
    </w:tbl>
    <w:p w:rsidR="0047621B" w:rsidRPr="00DF6683" w:rsidRDefault="001E79B1" w:rsidP="0047621B">
      <w:pPr>
        <w:pStyle w:val="Olang"/>
        <w:rPr>
          <w:sz w:val="24"/>
          <w:szCs w:val="24"/>
        </w:rPr>
      </w:pPr>
      <w:r w:rsidRPr="00DF6683">
        <w:rPr>
          <w:sz w:val="24"/>
          <w:szCs w:val="24"/>
        </w:rPr>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r w:rsidRPr="00DF6683">
        <w:rPr>
          <w:rStyle w:val="HideTWBExt"/>
        </w:rPr>
        <w:t>&lt;</w:t>
      </w:r>
      <w:r w:rsidRPr="00DF6683">
        <w:rPr>
          <w:rStyle w:val="HideTWBExt"/>
        </w:rPr>
        <w:t>/Amend&gt;</w:t>
      </w:r>
    </w:p>
    <w:p w:rsidR="0047621B" w:rsidRPr="00DF6683" w:rsidRDefault="001E79B1" w:rsidP="0047621B">
      <w:pPr>
        <w:pStyle w:val="AMNumberTabs0"/>
        <w:keepNext/>
      </w:pPr>
      <w:r w:rsidRPr="00DF6683">
        <w:rPr>
          <w:rStyle w:val="HideTWBExt"/>
          <w:b w:val="0"/>
        </w:rPr>
        <w:lastRenderedPageBreak/>
        <w:t>&lt;Amend&gt;</w:t>
      </w:r>
      <w:r w:rsidRPr="00DF6683">
        <w:t>Pozmeňujúci návrh</w:t>
      </w:r>
      <w:r w:rsidRPr="00DF6683">
        <w:tab/>
      </w:r>
      <w:r w:rsidRPr="00DF6683">
        <w:tab/>
      </w:r>
      <w:r w:rsidRPr="00DF6683">
        <w:rPr>
          <w:rStyle w:val="HideTWBExt"/>
          <w:b w:val="0"/>
        </w:rPr>
        <w:t>&lt;NumAm&gt;</w:t>
      </w:r>
      <w:r w:rsidRPr="00DF6683">
        <w:t>6</w:t>
      </w:r>
      <w:r w:rsidRPr="00DF6683">
        <w:rPr>
          <w:rStyle w:val="HideTWBExt"/>
          <w:b w:val="0"/>
        </w:rPr>
        <w:t>&lt;/NumAm&gt;</w:t>
      </w:r>
    </w:p>
    <w:p w:rsidR="0047621B" w:rsidRPr="00DF6683" w:rsidRDefault="001E79B1" w:rsidP="0047621B">
      <w:pPr>
        <w:pStyle w:val="NormalBold12b"/>
        <w:keepNext/>
      </w:pPr>
      <w:r w:rsidRPr="00DF6683">
        <w:rPr>
          <w:rStyle w:val="HideTWBExt"/>
          <w:b w:val="0"/>
        </w:rPr>
        <w:t>&lt;DocAmend&gt;</w:t>
      </w:r>
      <w:r w:rsidRPr="00DF6683">
        <w:t>Návrh nariadenia</w:t>
      </w:r>
      <w:r w:rsidRPr="00DF6683">
        <w:rPr>
          <w:rStyle w:val="HideTWBExt"/>
          <w:b w:val="0"/>
        </w:rPr>
        <w:t>&lt;/DocAmend&gt;</w:t>
      </w:r>
    </w:p>
    <w:p w:rsidR="0047621B" w:rsidRPr="00DF6683" w:rsidRDefault="001E79B1" w:rsidP="0047621B">
      <w:pPr>
        <w:pStyle w:val="NormalBold"/>
      </w:pPr>
      <w:r w:rsidRPr="00DF6683">
        <w:rPr>
          <w:rStyle w:val="HideTWBExt"/>
          <w:b w:val="0"/>
        </w:rPr>
        <w:t>&lt;Article&gt;</w:t>
      </w:r>
      <w:r w:rsidRPr="00DF6683">
        <w:t>Článok 1 – odsek 1 – bod 2</w:t>
      </w:r>
      <w:r w:rsidRPr="00DF6683">
        <w:rPr>
          <w:rStyle w:val="HideTWBExt"/>
          <w:b w:val="0"/>
        </w:rPr>
        <w:t>&lt;/Article&gt;</w:t>
      </w:r>
    </w:p>
    <w:p w:rsidR="0047621B" w:rsidRPr="00DF6683" w:rsidRDefault="001E79B1" w:rsidP="0047621B">
      <w:pPr>
        <w:keepNext/>
      </w:pPr>
      <w:r w:rsidRPr="00DF6683">
        <w:rPr>
          <w:rStyle w:val="HideTWBExt"/>
        </w:rPr>
        <w:t>&lt;DocAmend2&gt;</w:t>
      </w:r>
      <w:r w:rsidRPr="00DF6683">
        <w:t>Nariadenie (EÚ) 2018/1806</w:t>
      </w:r>
      <w:r w:rsidRPr="00DF6683">
        <w:rPr>
          <w:rStyle w:val="HideTWBExt"/>
        </w:rPr>
        <w:t>&lt;/DocAmend2&gt;</w:t>
      </w:r>
    </w:p>
    <w:p w:rsidR="0047621B" w:rsidRPr="00DF6683" w:rsidRDefault="001E79B1" w:rsidP="0047621B">
      <w:r w:rsidRPr="00DF6683">
        <w:rPr>
          <w:rStyle w:val="HideTWBExt"/>
        </w:rPr>
        <w:t>&lt;Article2&gt;</w:t>
      </w:r>
      <w:r w:rsidRPr="00DF6683">
        <w:t>Článok 8d – odsek 1</w:t>
      </w:r>
      <w:r w:rsidRPr="00DF668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09D8" w:rsidRPr="00DF6683" w:rsidTr="006052B3">
        <w:trPr>
          <w:jc w:val="center"/>
        </w:trPr>
        <w:tc>
          <w:tcPr>
            <w:tcW w:w="9752" w:type="dxa"/>
            <w:gridSpan w:val="2"/>
          </w:tcPr>
          <w:p w:rsidR="0047621B" w:rsidRPr="00DF6683" w:rsidRDefault="0047621B" w:rsidP="006052B3">
            <w:pPr>
              <w:keepNext/>
            </w:pPr>
          </w:p>
        </w:tc>
      </w:tr>
      <w:tr w:rsidR="00F409D8" w:rsidRPr="00DF6683" w:rsidTr="006052B3">
        <w:trPr>
          <w:jc w:val="center"/>
        </w:trPr>
        <w:tc>
          <w:tcPr>
            <w:tcW w:w="4876" w:type="dxa"/>
          </w:tcPr>
          <w:p w:rsidR="0047621B" w:rsidRPr="00DF6683" w:rsidRDefault="001E79B1" w:rsidP="006052B3">
            <w:pPr>
              <w:pStyle w:val="ColumnHeading"/>
              <w:keepNext/>
            </w:pPr>
            <w:r w:rsidRPr="00DF6683">
              <w:t>Text predložený Komisiou</w:t>
            </w:r>
          </w:p>
        </w:tc>
        <w:tc>
          <w:tcPr>
            <w:tcW w:w="4876" w:type="dxa"/>
          </w:tcPr>
          <w:p w:rsidR="0047621B" w:rsidRPr="00DF6683" w:rsidRDefault="001E79B1" w:rsidP="006052B3">
            <w:pPr>
              <w:pStyle w:val="ColumnHeading"/>
              <w:keepNext/>
            </w:pPr>
            <w:r w:rsidRPr="00DF6683">
              <w:t>Pozmeňujúci návrh</w:t>
            </w:r>
          </w:p>
        </w:tc>
      </w:tr>
      <w:tr w:rsidR="00F409D8" w:rsidRPr="00DF6683" w:rsidTr="006052B3">
        <w:trPr>
          <w:jc w:val="center"/>
        </w:trPr>
        <w:tc>
          <w:tcPr>
            <w:tcW w:w="4876" w:type="dxa"/>
          </w:tcPr>
          <w:p w:rsidR="0047621B" w:rsidRPr="00DF6683" w:rsidRDefault="001E79B1" w:rsidP="006052B3">
            <w:pPr>
              <w:pStyle w:val="Normal6"/>
            </w:pPr>
            <w:r w:rsidRPr="00DF6683">
              <w:t>1.</w:t>
            </w:r>
            <w:r w:rsidRPr="00DF6683">
              <w:tab/>
              <w:t xml:space="preserve">Správu o monitorovaní vykonávanom v súlade s článkom 8c ods. 1 </w:t>
            </w:r>
            <w:r w:rsidRPr="00DF6683">
              <w:rPr>
                <w:b/>
                <w:i/>
              </w:rPr>
              <w:t>v súvislosti s tretími krajinami, ktoré boli zahrnuté do zoznamu v prílohe II v dôsledku úspešného ukončenia dialógu o liberalizácii vízového režimu medzi Úniou</w:t>
            </w:r>
            <w:r w:rsidRPr="00DF6683">
              <w:t xml:space="preserve"> a</w:t>
            </w:r>
            <w:r w:rsidRPr="00DF6683">
              <w:rPr>
                <w:b/>
                <w:i/>
              </w:rPr>
              <w:t> danou tr</w:t>
            </w:r>
            <w:r w:rsidRPr="00DF6683">
              <w:rPr>
                <w:b/>
                <w:i/>
              </w:rPr>
              <w:t>eťou krajinou, predkladá Komisia Európskemu parlamentu a Rade aspoň raz ročne počas siedmich rokov od dátumu nadobudnutia účinnosti liberalizácie vízového režimu pre tieto tretie krajiny, a následne</w:t>
            </w:r>
            <w:r w:rsidRPr="00DF6683">
              <w:t xml:space="preserve"> vždy, keď to Komisia považuje za potrebné, resp. na žiado</w:t>
            </w:r>
            <w:r w:rsidRPr="00DF6683">
              <w:t>sť Európskeho parlamentu alebo Rady. Správa sa zameria na tretie krajiny, o ktorých sa Komisia na základe konkrétnych a spoľahlivých informácií domnieva, že prestali spĺňať určité osobitné požiadavky založené na článku 1, ktoré boli použité pri posudzovaní</w:t>
            </w:r>
            <w:r w:rsidRPr="00DF6683">
              <w:t xml:space="preserve"> vhodnosti liberalizácie vízového režimu.</w:t>
            </w:r>
          </w:p>
        </w:tc>
        <w:tc>
          <w:tcPr>
            <w:tcW w:w="4876" w:type="dxa"/>
          </w:tcPr>
          <w:p w:rsidR="0047621B" w:rsidRPr="00DF6683" w:rsidRDefault="001E79B1" w:rsidP="006052B3">
            <w:pPr>
              <w:pStyle w:val="Normal6"/>
              <w:rPr>
                <w:szCs w:val="24"/>
              </w:rPr>
            </w:pPr>
            <w:r w:rsidRPr="00DF6683">
              <w:t>1.</w:t>
            </w:r>
            <w:r w:rsidRPr="00DF6683">
              <w:tab/>
            </w:r>
            <w:r w:rsidRPr="00DF6683">
              <w:rPr>
                <w:b/>
                <w:i/>
              </w:rPr>
              <w:t>Komisia na ročnom základe predkladá Európskemu parlamentu a Rade</w:t>
            </w:r>
            <w:r w:rsidRPr="00DF6683">
              <w:t xml:space="preserve"> správu o monitorovaní vykonávanom v súlade s článkom 8c ods. 1, </w:t>
            </w:r>
            <w:r w:rsidRPr="00DF6683">
              <w:rPr>
                <w:b/>
                <w:i/>
              </w:rPr>
              <w:t>a predovšetkým</w:t>
            </w:r>
            <w:r w:rsidRPr="00DF6683">
              <w:t xml:space="preserve"> vždy, keď to Komisia považuje za potrebné, resp. na žiadosť Európsk</w:t>
            </w:r>
            <w:r w:rsidRPr="00DF6683">
              <w:t>eho parlamentu alebo Rady. Správa sa zameria na tretie krajiny, o ktorých sa Komisia na základe konkrétnych a spoľahlivých informácií domnieva, že prestali spĺňať určité osobitné požiadavky založené na článku 1, ktoré boli použité pri posudzovaní vhodnosti</w:t>
            </w:r>
            <w:r w:rsidRPr="00DF6683">
              <w:t xml:space="preserve"> liberalizácie vízového režimu.</w:t>
            </w:r>
          </w:p>
        </w:tc>
      </w:tr>
    </w:tbl>
    <w:p w:rsidR="0047621B" w:rsidRPr="00DF6683" w:rsidRDefault="001E79B1" w:rsidP="0047621B">
      <w:pPr>
        <w:pStyle w:val="Olang"/>
        <w:rPr>
          <w:sz w:val="24"/>
          <w:szCs w:val="24"/>
        </w:rPr>
      </w:pPr>
      <w:r w:rsidRPr="00DF6683">
        <w:rPr>
          <w:sz w:val="24"/>
          <w:szCs w:val="24"/>
        </w:rPr>
        <w:t xml:space="preserve">Or. </w:t>
      </w:r>
      <w:r w:rsidRPr="00DF6683">
        <w:rPr>
          <w:rStyle w:val="HideTWBExt"/>
        </w:rPr>
        <w:t>&lt;Original&gt;</w:t>
      </w:r>
      <w:r w:rsidRPr="00DF6683">
        <w:rPr>
          <w:rStyle w:val="HideTWBInt"/>
          <w:sz w:val="24"/>
          <w:szCs w:val="24"/>
        </w:rPr>
        <w:t>{EN}</w:t>
      </w:r>
      <w:r w:rsidRPr="00DF6683">
        <w:rPr>
          <w:sz w:val="24"/>
          <w:szCs w:val="24"/>
        </w:rPr>
        <w:t>en</w:t>
      </w:r>
      <w:r w:rsidRPr="00DF6683">
        <w:rPr>
          <w:rStyle w:val="HideTWBExt"/>
        </w:rPr>
        <w:t>&lt;/Original&gt;</w:t>
      </w:r>
    </w:p>
    <w:p w:rsidR="0047621B" w:rsidRPr="00DF6683" w:rsidRDefault="001E79B1" w:rsidP="0047621B">
      <w:r w:rsidRPr="00DF6683">
        <w:rPr>
          <w:rStyle w:val="HideTWBExt"/>
        </w:rPr>
        <w:t>&lt;/Amend&gt;&lt;/RepeatBlock-Amend&gt;</w:t>
      </w:r>
    </w:p>
    <w:p w:rsidR="00DA6E19" w:rsidRPr="00DF6683" w:rsidRDefault="00DA6E19" w:rsidP="00DA6E19"/>
    <w:p w:rsidR="00DA6E19" w:rsidRPr="00DF6683" w:rsidRDefault="00DA6E19" w:rsidP="00DA6E19"/>
    <w:p w:rsidR="008200DF" w:rsidRPr="00DF6683" w:rsidRDefault="008200DF" w:rsidP="002669B6">
      <w:pPr>
        <w:sectPr w:rsidR="008200DF" w:rsidRPr="00DF6683" w:rsidSect="00DF66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DF6683" w:rsidRDefault="001E79B1" w:rsidP="008200DF">
      <w:pPr>
        <w:pStyle w:val="PageHeading"/>
      </w:pPr>
      <w:bookmarkStart w:id="2" w:name="_Toc160097831"/>
      <w:r w:rsidRPr="00DF6683">
        <w:lastRenderedPageBreak/>
        <w:t>DÔVODOVÁ SPRÁVA</w:t>
      </w:r>
      <w:bookmarkEnd w:id="2"/>
    </w:p>
    <w:p w:rsidR="008200DF" w:rsidRPr="00DF6683" w:rsidRDefault="001E79B1" w:rsidP="008200DF">
      <w:pPr>
        <w:rPr>
          <w:sz w:val="22"/>
          <w:szCs w:val="22"/>
        </w:rPr>
      </w:pPr>
      <w:r w:rsidRPr="00DF6683">
        <w:rPr>
          <w:b/>
        </w:rPr>
        <w:t>1. Súvislosti</w:t>
      </w:r>
      <w:r w:rsidRPr="00DF6683">
        <w:rPr>
          <w:sz w:val="22"/>
        </w:rPr>
        <w:t xml:space="preserve"> </w:t>
      </w:r>
    </w:p>
    <w:p w:rsidR="008200DF" w:rsidRPr="00DF6683" w:rsidRDefault="008200DF" w:rsidP="008200DF"/>
    <w:p w:rsidR="008200DF" w:rsidRPr="00DF6683" w:rsidRDefault="001E79B1" w:rsidP="008200DF">
      <w:r w:rsidRPr="00DF6683">
        <w:t>Jedným z pilierov vízovej politiky EÚ je nariadenie Európskeho parlamentu a Rady (EÚ) 2018/1806 uvádzajúce zoznam tr</w:t>
      </w:r>
      <w:r w:rsidRPr="00DF6683">
        <w:t>etích krajín, ktorých štátni príslušníci musia mať pri prekračovaní vonkajších hraníc členských štátov víza, a krajín, ktorých štátni príslušníci sú od</w:t>
      </w:r>
      <w:r>
        <w:t> </w:t>
      </w:r>
      <w:r w:rsidRPr="00DF6683">
        <w:t>tejto povinnosti oslobodení pri pobytoch nepresahujúcich 90 dní v rámci akéhokoľvek 180-dňového obdobia.</w:t>
      </w:r>
    </w:p>
    <w:p w:rsidR="008200DF" w:rsidRPr="00DF6683" w:rsidRDefault="008200DF" w:rsidP="008200DF"/>
    <w:p w:rsidR="008200DF" w:rsidRPr="00DF6683" w:rsidRDefault="001E79B1" w:rsidP="008200DF">
      <w:r w:rsidRPr="00DF6683">
        <w:t>Stanovujú sa v ňom základné zásady liberalizácie vízového režimu, určujú sa v ňom „pozitívne“ tretie krajiny alebo tretie krajiny oslobodené od vízovej povinnosti a zoznamy „negatívnych“ tretích krajín, resp. tretích krajín, pre ktoré platí vízová povinn</w:t>
      </w:r>
      <w:r w:rsidRPr="00DF6683">
        <w:t>osť, a stanovujú sa v ňom záruky, keď by sa bezvízový režim mohol pozastaviť na základe dvoch základných mechanizmov, mechanizmu reciprocity a mechanizmu pozastavenia, ako aj postupy na ich aktivovanie.</w:t>
      </w:r>
    </w:p>
    <w:p w:rsidR="008200DF" w:rsidRPr="00DF6683" w:rsidRDefault="008200DF" w:rsidP="008200DF"/>
    <w:p w:rsidR="008200DF" w:rsidRPr="00DF6683" w:rsidRDefault="001E79B1" w:rsidP="008200DF">
      <w:pPr>
        <w:rPr>
          <w:noProof/>
        </w:rPr>
      </w:pPr>
      <w:r w:rsidRPr="00DF6683">
        <w:t xml:space="preserve">V nadväznosti na výzvy oboch spoluzákonodarcov na </w:t>
      </w:r>
      <w:r w:rsidRPr="00DF6683">
        <w:t xml:space="preserve">potrebu revízie mechanizmu pozastavenia s cieľom lepšie sa prispôsobiť vznikajúcim výzvam predložila Európska komisia v októbri 2023 cielený návrh revízie mechanizmu pozastavenia, aby sa niektoré jeho prvky posilnili a zlepšili. Navrhovaná revízia sa týka </w:t>
      </w:r>
      <w:r w:rsidRPr="00DF6683">
        <w:t xml:space="preserve">revízie článku 8 a zahŕňa niekoľko podstatných zmien týkajúcich sa možných dôvodov na pozastavenie, ako aj postupov. </w:t>
      </w:r>
    </w:p>
    <w:p w:rsidR="008200DF" w:rsidRPr="00DF6683" w:rsidRDefault="008200DF" w:rsidP="008200DF">
      <w:pPr>
        <w:rPr>
          <w:noProof/>
        </w:rPr>
      </w:pPr>
    </w:p>
    <w:p w:rsidR="008200DF" w:rsidRPr="00DF6683" w:rsidRDefault="001E79B1" w:rsidP="008200DF">
      <w:pPr>
        <w:rPr>
          <w:noProof/>
        </w:rPr>
      </w:pPr>
      <w:r w:rsidRPr="00DF6683">
        <w:t>Tento mechanizmus pozastavenia bol prvýkrát zavedený v roku 2013</w:t>
      </w:r>
      <w:r w:rsidRPr="00DF6683">
        <w:rPr>
          <w:rStyle w:val="FootnoteReference"/>
          <w:noProof/>
        </w:rPr>
        <w:footnoteReference w:id="1"/>
      </w:r>
      <w:r w:rsidRPr="00DF6683">
        <w:t>, pričom jeho hlavným cieľom bolo umožniť dočasné pozastavenie osloboden</w:t>
      </w:r>
      <w:r w:rsidRPr="00DF6683">
        <w:t>ia od vízovej povinnosti v prípade náhleho a výrazného zvýšenia neregulárnej migrácie. Mechanizmus sa následne zrevidoval v roku 2017</w:t>
      </w:r>
      <w:r w:rsidRPr="00DF6683">
        <w:rPr>
          <w:rStyle w:val="FootnoteReference"/>
          <w:noProof/>
        </w:rPr>
        <w:footnoteReference w:id="2"/>
      </w:r>
      <w:r w:rsidRPr="00DF6683">
        <w:t xml:space="preserve"> tak, že sa členským štátom uľahčilo oznamovanie okolností vedúcich k prípadnému pozastaveniu a Komisii sa umožnilo aktivo</w:t>
      </w:r>
      <w:r w:rsidRPr="00DF6683">
        <w:t>vať mechanizmus pozastavenia z vlastnej iniciatívy.</w:t>
      </w:r>
    </w:p>
    <w:p w:rsidR="008200DF" w:rsidRPr="00DF6683" w:rsidRDefault="008200DF" w:rsidP="008200DF">
      <w:pPr>
        <w:rPr>
          <w:noProof/>
        </w:rPr>
      </w:pPr>
    </w:p>
    <w:p w:rsidR="008200DF" w:rsidRPr="00DF6683" w:rsidRDefault="001E79B1" w:rsidP="008200DF">
      <w:pPr>
        <w:rPr>
          <w:rFonts w:eastAsia="Arial Unicode MS"/>
          <w:b/>
          <w:noProof/>
          <w:color w:val="000000"/>
          <w:u w:color="000000"/>
          <w:bdr w:val="nil"/>
        </w:rPr>
      </w:pPr>
      <w:r w:rsidRPr="00DF6683">
        <w:rPr>
          <w:b/>
        </w:rPr>
        <w:t xml:space="preserve">2. </w:t>
      </w:r>
      <w:r w:rsidRPr="00DF6683">
        <w:rPr>
          <w:b/>
          <w:color w:val="000000"/>
          <w:u w:color="000000"/>
        </w:rPr>
        <w:t>Navrhované zmeny mechanizmu pozastavenia</w:t>
      </w:r>
    </w:p>
    <w:p w:rsidR="008200DF" w:rsidRPr="00DF6683" w:rsidRDefault="008200DF" w:rsidP="008200DF">
      <w:pPr>
        <w:rPr>
          <w:noProof/>
        </w:rPr>
      </w:pPr>
    </w:p>
    <w:p w:rsidR="008200DF" w:rsidRPr="00DF6683" w:rsidRDefault="001E79B1" w:rsidP="008200DF">
      <w:pPr>
        <w:rPr>
          <w:rFonts w:eastAsia="Arial Unicode MS"/>
          <w:noProof/>
        </w:rPr>
      </w:pPr>
      <w:r w:rsidRPr="00DF6683">
        <w:t>Vo svojom najnovšom návrhu Komisia zavádza niekoľko zmien súčasného mechanizmu. Navrhujú sa nové dôvody pozastavenia súvisiace s hybridnými hrozbami, ako sú s</w:t>
      </w:r>
      <w:r w:rsidRPr="00DF6683">
        <w:t>ituácie štátom podporovanej inštrumentalizácie migrantov s cieľom destabilizovať alebo oslabiť spoločnosť a kľúčové inštitúcie, ako aj nové dôvody, ktoré sa osobitne zaoberajú systémami udeľovania občianstva investorom, ktoré v súčasnosti používa viacero t</w:t>
      </w:r>
      <w:r w:rsidRPr="00DF6683">
        <w:t xml:space="preserve">retích krajín oslobodených od vízovej povinnosti. </w:t>
      </w:r>
    </w:p>
    <w:p w:rsidR="008200DF" w:rsidRPr="00DF6683" w:rsidRDefault="008200DF" w:rsidP="008200DF">
      <w:pPr>
        <w:rPr>
          <w:rFonts w:eastAsia="Arial Unicode MS"/>
          <w:noProof/>
        </w:rPr>
      </w:pPr>
    </w:p>
    <w:p w:rsidR="008200DF" w:rsidRPr="00DF6683" w:rsidRDefault="001E79B1" w:rsidP="008200DF">
      <w:pPr>
        <w:rPr>
          <w:rFonts w:eastAsia="Arial Unicode MS"/>
          <w:noProof/>
        </w:rPr>
      </w:pPr>
      <w:r w:rsidRPr="00DF6683">
        <w:t>Dopĺňa sa aj nový dôvod na pozastavenie vzťahujúci sa na tie prípady, keď by nedostatočné zosúladenie vízovej politiky tretej krajiny uvedenej v prílohe II s vízovou politikou Únie mohlo viesť k situáciám</w:t>
      </w:r>
      <w:r w:rsidRPr="00DF6683">
        <w:t xml:space="preserve">, keď štátni príslušníci tretích krajín, ktorí nie sú štátnymi </w:t>
      </w:r>
      <w:r w:rsidRPr="00DF6683">
        <w:lastRenderedPageBreak/>
        <w:t xml:space="preserve">príslušníkmi danej tretej krajiny, legálne prichádzajú na územie danej tretej krajiny a následne neregulárne vstupujú na územie členských štátov. </w:t>
      </w:r>
    </w:p>
    <w:p w:rsidR="008200DF" w:rsidRPr="00DF6683" w:rsidRDefault="008200DF" w:rsidP="008200DF">
      <w:pPr>
        <w:rPr>
          <w:rFonts w:eastAsia="Arial Unicode MS"/>
          <w:noProof/>
        </w:rPr>
      </w:pPr>
    </w:p>
    <w:p w:rsidR="008200DF" w:rsidRPr="00DF6683" w:rsidRDefault="001E79B1" w:rsidP="008200DF">
      <w:pPr>
        <w:rPr>
          <w:noProof/>
        </w:rPr>
      </w:pPr>
      <w:r w:rsidRPr="00DF6683">
        <w:t>Týmto návrhom taktiež zavádza nový prvok, kto</w:t>
      </w:r>
      <w:r w:rsidRPr="00DF6683">
        <w:t xml:space="preserve">rým je možnosť Komisie zvážiť rôzne prahové hodnoty pri rozhodovaní o tom, či pozastaviť oslobodenie od vízovej povinnosti v prípadoch výrazného zvýšenia neregulárnej migrácie, počtu neopodstatnených žiadostí o azyl alebo nárastu závažných trestných činov </w:t>
      </w:r>
      <w:r w:rsidRPr="00DF6683">
        <w:t xml:space="preserve">spojených so štátnymi príslušníkmi danej tretej krajiny, a to na základe individuálneho posúdenia. </w:t>
      </w:r>
    </w:p>
    <w:p w:rsidR="008200DF" w:rsidRPr="00DF6683" w:rsidRDefault="008200DF" w:rsidP="008200DF">
      <w:pPr>
        <w:rPr>
          <w:noProof/>
        </w:rPr>
      </w:pPr>
    </w:p>
    <w:p w:rsidR="008200DF" w:rsidRPr="00DF6683" w:rsidRDefault="001E79B1" w:rsidP="008200DF">
      <w:pPr>
        <w:rPr>
          <w:noProof/>
        </w:rPr>
      </w:pPr>
      <w:r w:rsidRPr="00DF6683">
        <w:t xml:space="preserve">V návrhu sa zavádzajú aj zmeny týkajúce sa postupu a podmienok oznámenia členského štátu Komisii, ak čelí jednej alebo viacerým okolnostiam, </w:t>
      </w:r>
      <w:bookmarkStart w:id="3" w:name="_Hlk139556772"/>
      <w:r w:rsidRPr="00DF6683">
        <w:t xml:space="preserve">ktoré </w:t>
      </w:r>
      <w:r w:rsidRPr="00DF6683">
        <w:t>predstavujú dôvod na pozastavenie</w:t>
      </w:r>
      <w:bookmarkEnd w:id="3"/>
      <w:r w:rsidRPr="00DF6683">
        <w:t xml:space="preserve">, a ako aj postupu preskúmania takéhoto oznámenia Komisiou. Rovnako sa ním mení referenčné obdobie na určenie existencie okolností, ktoré môžu viesť k pozastaveniu. </w:t>
      </w:r>
    </w:p>
    <w:p w:rsidR="008200DF" w:rsidRPr="00DF6683" w:rsidRDefault="008200DF" w:rsidP="008200DF">
      <w:pPr>
        <w:rPr>
          <w:noProof/>
        </w:rPr>
      </w:pPr>
    </w:p>
    <w:p w:rsidR="008200DF" w:rsidRPr="00DF6683" w:rsidRDefault="001E79B1" w:rsidP="008200DF">
      <w:pPr>
        <w:rPr>
          <w:noProof/>
        </w:rPr>
      </w:pPr>
      <w:r w:rsidRPr="00DF6683">
        <w:t>Komisia bude mať tiež povinnosť pravidelne monitorovať e</w:t>
      </w:r>
      <w:r w:rsidRPr="00DF6683">
        <w:t>xistenciu dôvodov na</w:t>
      </w:r>
      <w:r>
        <w:t> </w:t>
      </w:r>
      <w:r w:rsidRPr="00DF6683">
        <w:t xml:space="preserve">pozastavenie, pokiaľ ide o všetky tretie krajiny uvedené v prílohe II, a postup na aktiváciu mechanizmu pozastavenia na základe vlastnej analýzy Komisie týkajúcej sa existencie takýchto dôvodov. </w:t>
      </w:r>
    </w:p>
    <w:p w:rsidR="008200DF" w:rsidRPr="00DF6683" w:rsidRDefault="008200DF" w:rsidP="008200DF">
      <w:pPr>
        <w:rPr>
          <w:noProof/>
        </w:rPr>
      </w:pPr>
    </w:p>
    <w:p w:rsidR="008200DF" w:rsidRPr="00DF6683" w:rsidRDefault="001E79B1" w:rsidP="008200DF">
      <w:pPr>
        <w:rPr>
          <w:bCs/>
          <w:noProof/>
        </w:rPr>
      </w:pPr>
      <w:r w:rsidRPr="00DF6683">
        <w:t xml:space="preserve">Tento postup sa ďalej mení predĺžením </w:t>
      </w:r>
      <w:r w:rsidRPr="00DF6683">
        <w:t>trvania dočasného pozastavenia oslobodenia od</w:t>
      </w:r>
      <w:r>
        <w:t> </w:t>
      </w:r>
      <w:r w:rsidRPr="00DF6683">
        <w:t>vízovej povinnosti z deviatich mesiacov na 12 mesiacov (pre prvú fázu) a z 18 mesiacov na 24 mesiacov (pre druhú fázu), pričom sa tiež zavádza nový zrýchlený postup, keď si situácia vyžaduje okamžitý zásah Komi</w:t>
      </w:r>
      <w:r w:rsidRPr="00DF6683">
        <w:t>sie.</w:t>
      </w:r>
    </w:p>
    <w:p w:rsidR="008200DF" w:rsidRPr="00DF6683" w:rsidRDefault="008200DF" w:rsidP="008200DF">
      <w:pPr>
        <w:rPr>
          <w:bCs/>
          <w:noProof/>
        </w:rPr>
      </w:pPr>
    </w:p>
    <w:p w:rsidR="008200DF" w:rsidRPr="00DF6683" w:rsidRDefault="001E79B1" w:rsidP="008200DF">
      <w:r w:rsidRPr="00DF6683">
        <w:rPr>
          <w:b/>
        </w:rPr>
        <w:t>3. Stanovisko spravodajcu</w:t>
      </w:r>
    </w:p>
    <w:p w:rsidR="008200DF" w:rsidRPr="00DF6683" w:rsidRDefault="008200DF" w:rsidP="008200DF"/>
    <w:p w:rsidR="008200DF" w:rsidRPr="00DF6683" w:rsidRDefault="001E79B1" w:rsidP="008200DF">
      <w:r w:rsidRPr="00DF6683">
        <w:t>Vzhľadom na rozšírenie bezvízového styku do niekoľkých nových tretích krajín v nedávnych rokoch, ako aj na neustále sa objavujúce výzvy a krízy na celom svete sa spravodajca domnieva, že Európska únia potrebuje účinné a dos</w:t>
      </w:r>
      <w:r w:rsidRPr="00DF6683">
        <w:t>tatočné nástroje, aby mohla reagovať na</w:t>
      </w:r>
      <w:r>
        <w:t> </w:t>
      </w:r>
      <w:r w:rsidRPr="00DF6683">
        <w:t xml:space="preserve">takéto výzvy, a to aj v oblasti vízovej politiky.  </w:t>
      </w:r>
    </w:p>
    <w:p w:rsidR="008200DF" w:rsidRPr="00DF6683" w:rsidRDefault="008200DF" w:rsidP="008200DF"/>
    <w:p w:rsidR="008200DF" w:rsidRPr="00DF6683" w:rsidRDefault="001E79B1" w:rsidP="008200DF">
      <w:r w:rsidRPr="00DF6683">
        <w:t>Spravodajca preto vo veľkej miere podporuje cieľ Komisie a potrebu posilniť a zlepšiť mechanizmus pozastavenia víz. Stojí za zmienku, že mechanizmus pozastavenia b</w:t>
      </w:r>
      <w:r w:rsidRPr="00DF6683">
        <w:t>ol od</w:t>
      </w:r>
      <w:r>
        <w:t> </w:t>
      </w:r>
      <w:r w:rsidRPr="00DF6683">
        <w:t>zavedenia v roku 2013 aktivovaný len raz. Konkrétne v prípade Vanuatu pre obavy EÚ týkajúce sa fungovania systémov udeľovania občianstva investorom, v súvislosti s čím Rada v</w:t>
      </w:r>
      <w:r>
        <w:t> </w:t>
      </w:r>
      <w:r w:rsidRPr="00DF6683">
        <w:t>marci 2022 prijala čiastočné pozastavenie, na čo nadviazalo úplné pozastave</w:t>
      </w:r>
      <w:r w:rsidRPr="00DF6683">
        <w:t xml:space="preserve">nie v októbri 2022, ktoré je stále v platnosti. </w:t>
      </w:r>
    </w:p>
    <w:p w:rsidR="008200DF" w:rsidRPr="00DF6683" w:rsidRDefault="008200DF" w:rsidP="008200DF"/>
    <w:p w:rsidR="008200DF" w:rsidRPr="00DF6683" w:rsidRDefault="001E79B1" w:rsidP="008200DF">
      <w:r w:rsidRPr="00DF6683">
        <w:t>Vzhľadom na neustále sa meniaci svet, vývoj politík EÚ a aj bezvízový režim sa spravodajca domnieva, že revízia mechanizmu pozastavenia by sa mala zaoberať vízovou politikou EÚ tak, že sa holisticky zohľadn</w:t>
      </w:r>
      <w:r w:rsidRPr="00DF6683">
        <w:t xml:space="preserve">ia všetky aspekty.  </w:t>
      </w:r>
    </w:p>
    <w:p w:rsidR="008200DF" w:rsidRPr="00DF6683" w:rsidRDefault="008200DF" w:rsidP="008200DF"/>
    <w:p w:rsidR="008200DF" w:rsidRPr="00DF6683" w:rsidRDefault="001E79B1" w:rsidP="008200DF">
      <w:r w:rsidRPr="00DF6683">
        <w:t>Spravodajca sa preto domnieva, že existuje prirodzený rozdiel medzi podmienkami oslobodenia od vízovej povinnosti EÚ, ktoré vychádzajú z individuálneho posúdenia rôznych kritérií, a dôvodmi, ktoré umožňujú pozastavenie uplatňovania uv</w:t>
      </w:r>
      <w:r w:rsidRPr="00DF6683">
        <w:t xml:space="preserve">edenej výnimky. Spravodajca sa tiež domnieva, že existuje nesúlad, najmä pokiaľ ide o vonkajšie vzťahy Únie s príslušnými tretími krajinami, a to vrátane hľadísk ľudských práv a základných slobôd. </w:t>
      </w:r>
    </w:p>
    <w:p w:rsidR="008200DF" w:rsidRPr="00DF6683" w:rsidRDefault="008200DF" w:rsidP="008200DF"/>
    <w:p w:rsidR="008200DF" w:rsidRPr="00DF6683" w:rsidRDefault="001E79B1" w:rsidP="008200DF">
      <w:r w:rsidRPr="00DF6683">
        <w:t>V tejto súvislosti spravodajca zastáva názor, že dôvody n</w:t>
      </w:r>
      <w:r w:rsidRPr="00DF6683">
        <w:t>a pozastavenie bezvízového režimu s treťou krajinou musia zahŕňať hľadiská týkajúce sa vonkajších vzťahov Únie alebo, v</w:t>
      </w:r>
      <w:r>
        <w:t> </w:t>
      </w:r>
      <w:r w:rsidRPr="00DF6683">
        <w:t xml:space="preserve">určitých prípadoch, členských štátov s príslušnou treťou krajinou. </w:t>
      </w:r>
    </w:p>
    <w:p w:rsidR="008200DF" w:rsidRPr="00DF6683" w:rsidRDefault="008200DF" w:rsidP="008200DF"/>
    <w:p w:rsidR="008200DF" w:rsidRPr="00DF6683" w:rsidRDefault="001E79B1" w:rsidP="008200DF">
      <w:r w:rsidRPr="00DF6683">
        <w:t xml:space="preserve">Tieto dôvody na pozastavenie by mali okrem iného zahŕňať: </w:t>
      </w:r>
      <w:r w:rsidRPr="00DF6683">
        <w:rPr>
          <w:b/>
        </w:rPr>
        <w:t>a)</w:t>
      </w:r>
      <w:r w:rsidRPr="00DF6683">
        <w:t xml:space="preserve"> poruše</w:t>
      </w:r>
      <w:r w:rsidRPr="00DF6683">
        <w:t>nie dvojstranných a</w:t>
      </w:r>
      <w:r>
        <w:t> </w:t>
      </w:r>
      <w:r w:rsidRPr="00DF6683">
        <w:t xml:space="preserve">mnohostranných dohôd medzi Európskou úniou alebo Európskou úniou a jej členskými štátmi na jednej strane a príslušnými tretími krajinami na strane druhej alebo pozastavenie ich platnosti; </w:t>
      </w:r>
      <w:r w:rsidRPr="00DF6683">
        <w:rPr>
          <w:b/>
        </w:rPr>
        <w:t>b)</w:t>
      </w:r>
      <w:r w:rsidRPr="00DF6683">
        <w:t xml:space="preserve"> závažné porušenia medzinárodného práva a nori</w:t>
      </w:r>
      <w:r w:rsidRPr="00DF6683">
        <w:t xml:space="preserve">em vrátane medzinárodného humanitárneho práva príslušnou treťou krajinou vrátane nedodržania rozhodnutí a rozsudkov medzinárodných súdov; </w:t>
      </w:r>
      <w:r w:rsidRPr="00DF6683">
        <w:rPr>
          <w:b/>
        </w:rPr>
        <w:t>c)</w:t>
      </w:r>
      <w:r w:rsidRPr="00DF6683">
        <w:t xml:space="preserve"> nepriateľské činy alebo agresiu príslušnej tretej krajiny proti jednému alebo viacerým členským štátom alebo Únii; </w:t>
      </w:r>
      <w:r w:rsidRPr="00DF6683">
        <w:t xml:space="preserve">d) závažné porušenie ľudských práv vrátane kriminalizácie umelého prerušenia tehotenstva a osôb LGBTQ+, ako aj zavedenie alebo uplatňovanie trestu smrti príslušnou treťou krajinou; a </w:t>
      </w:r>
      <w:r w:rsidRPr="00DF6683">
        <w:rPr>
          <w:b/>
        </w:rPr>
        <w:t>e)</w:t>
      </w:r>
      <w:r w:rsidRPr="00DF6683">
        <w:t xml:space="preserve"> nedodržanie príslušných sankcií EÚ. </w:t>
      </w:r>
    </w:p>
    <w:p w:rsidR="008200DF" w:rsidRPr="00DF6683" w:rsidRDefault="008200DF" w:rsidP="008200DF"/>
    <w:p w:rsidR="008200DF" w:rsidRPr="00DF6683" w:rsidRDefault="001E79B1" w:rsidP="008200DF">
      <w:r w:rsidRPr="00DF6683">
        <w:t>Spravodajca sa tiež domnieva, že</w:t>
      </w:r>
      <w:r w:rsidRPr="00DF6683">
        <w:t xml:space="preserve"> treba pravidelne hodnotiť ďalšie plnenie základných dôvodov v prípade tretích krajín, ktoré využívajú výhody liberalizácie vízového režimu, čo nebolo výsledkom úspešného ukončenia dialógu o liberalizácii vízového režimu. V tejto súvislosti spravodajca pod</w:t>
      </w:r>
      <w:r w:rsidRPr="00DF6683">
        <w:t>poruje návrh Komisie, pokiaľ ide o monitorovanie existencie dôvodov na pozastavenie v prípade všetkých tretích krajín, ich posúdenie však musí nepochybne zahŕňať hľadiská týkajúce sa vonkajších vzťahov Únie alebo, v určitých prípadoch, členských štátov s p</w:t>
      </w:r>
      <w:r w:rsidRPr="00DF6683">
        <w:t>ríslušnou treťou krajinou.</w:t>
      </w:r>
    </w:p>
    <w:p w:rsidR="008200DF" w:rsidRPr="00DF6683" w:rsidRDefault="008200DF" w:rsidP="008200DF"/>
    <w:p w:rsidR="008200DF" w:rsidRPr="00DF6683" w:rsidRDefault="001E79B1" w:rsidP="008200DF">
      <w:r w:rsidRPr="00DF6683">
        <w:t>Keďže súčasné volebné obdobie sa rýchlo končí, spravodajca chce urýchlene pristúpiť k</w:t>
      </w:r>
      <w:r>
        <w:t> </w:t>
      </w:r>
      <w:r w:rsidRPr="00DF6683">
        <w:t>prijatiu mandátu Európskeho parlamentu na rokovanie s cieľom zabezpečiť progresívne znenie, ktoré by sa malo odzrkadliť aj v budúcej vízovej p</w:t>
      </w:r>
      <w:r w:rsidRPr="00DF6683">
        <w:t>olitike EÚ.</w:t>
      </w:r>
    </w:p>
    <w:p w:rsidR="00AF66BC" w:rsidRPr="00DF6683" w:rsidRDefault="00AF66BC" w:rsidP="008200DF"/>
    <w:p w:rsidR="00AF66BC" w:rsidRPr="00DF6683" w:rsidRDefault="00AF66BC">
      <w:pPr>
        <w:widowControl/>
        <w:sectPr w:rsidR="00AF66BC" w:rsidRPr="00DF6683" w:rsidSect="00AF66B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F66BC" w:rsidRPr="00DF6683" w:rsidRDefault="00AF66BC">
      <w:pPr>
        <w:widowControl/>
      </w:pPr>
    </w:p>
    <w:p w:rsidR="00AF66BC" w:rsidRPr="00DF6683" w:rsidRDefault="001E79B1" w:rsidP="000A0FF0">
      <w:pPr>
        <w:pStyle w:val="PageHeading"/>
        <w:rPr>
          <w:noProof/>
        </w:rPr>
      </w:pPr>
      <w:bookmarkStart w:id="4" w:name="FootprintPageRR"/>
      <w:bookmarkStart w:id="5" w:name="_Toc160097832"/>
      <w:r w:rsidRPr="00DF6683">
        <w:t>PRÍLOHA: SUBJEKTY ALEBO OSOBY,</w:t>
      </w:r>
      <w:r w:rsidRPr="00DF6683">
        <w:br/>
        <w:t>KTORÉ SPRAVODAJCOVI POSKYTLI INFORMÁCIE</w:t>
      </w:r>
      <w:bookmarkEnd w:id="5"/>
    </w:p>
    <w:p w:rsidR="00E726D9" w:rsidRPr="00DF6683" w:rsidRDefault="001E79B1" w:rsidP="00E726D9">
      <w:pPr>
        <w:pStyle w:val="NormalWeb"/>
        <w:rPr>
          <w:rFonts w:ascii="Times" w:hAnsi="Times" w:cs="Times"/>
          <w:i/>
          <w:iCs/>
        </w:rPr>
      </w:pPr>
      <w:r w:rsidRPr="00DF6683">
        <w:rPr>
          <w:rStyle w:val="HideTWBExt"/>
        </w:rPr>
        <w:t>&lt;FootprintIntro&gt;</w:t>
      </w:r>
      <w:r w:rsidRPr="00DF6683">
        <w:rPr>
          <w:rFonts w:ascii="Times" w:hAnsi="Times"/>
          <w:i/>
        </w:rPr>
        <w:t xml:space="preserve"> </w:t>
      </w:r>
      <w:r w:rsidRPr="00DF6683">
        <w:t xml:space="preserve">V súlade s článkom 8 prílohy I k rokovaciemu poriadku spravodajca vyhlasuje, že počas prípravy návrhu správy mu poskytli </w:t>
      </w:r>
      <w:r w:rsidRPr="00DF6683">
        <w:t>informácie tieto subjekty alebo osoby:</w:t>
      </w:r>
      <w:r w:rsidRPr="00DF6683">
        <w:rPr>
          <w:rFonts w:ascii="Times" w:hAnsi="Times"/>
        </w:rPr>
        <w:t xml:space="preserve"> </w:t>
      </w:r>
      <w:r w:rsidRPr="00DF668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409D8" w:rsidRPr="00DF6683" w:rsidTr="006052B3">
        <w:tc>
          <w:tcPr>
            <w:tcW w:w="9060" w:type="dxa"/>
            <w:shd w:val="clear" w:color="auto" w:fill="auto"/>
          </w:tcPr>
          <w:p w:rsidR="00E726D9" w:rsidRPr="00DF6683" w:rsidRDefault="001E79B1" w:rsidP="006052B3">
            <w:pPr>
              <w:pStyle w:val="NormalBoldCenter"/>
            </w:pPr>
            <w:r w:rsidRPr="00DF6683">
              <w:t>Subjekt a/alebo osoba</w:t>
            </w:r>
          </w:p>
        </w:tc>
      </w:tr>
      <w:tr w:rsidR="00F409D8" w:rsidRPr="00DF6683" w:rsidTr="006052B3">
        <w:tc>
          <w:tcPr>
            <w:tcW w:w="9060" w:type="dxa"/>
            <w:shd w:val="clear" w:color="auto" w:fill="auto"/>
          </w:tcPr>
          <w:p w:rsidR="00E726D9" w:rsidRPr="00DF6683" w:rsidRDefault="001E79B1" w:rsidP="006052B3">
            <w:pPr>
              <w:rPr>
                <w:b/>
              </w:rPr>
            </w:pPr>
            <w:r w:rsidRPr="00DF6683">
              <w:rPr>
                <w:rFonts w:ascii="Calibri" w:hAnsi="Calibri"/>
                <w:color w:val="000000"/>
              </w:rPr>
              <w:t>College Green Group Ltd</w:t>
            </w:r>
          </w:p>
        </w:tc>
      </w:tr>
    </w:tbl>
    <w:p w:rsidR="00E726D9" w:rsidRPr="00DF6683" w:rsidRDefault="00E726D9" w:rsidP="00E726D9"/>
    <w:p w:rsidR="00AF66BC" w:rsidRPr="00DF6683" w:rsidRDefault="001E79B1" w:rsidP="00837211">
      <w:r w:rsidRPr="00DF6683">
        <w:rPr>
          <w:snapToGrid w:val="0"/>
          <w:sz w:val="22"/>
        </w:rPr>
        <w:t>Vypracovanie uvedeného zoznamu je vo výlučnej zodpovednosti spravodajcu.</w:t>
      </w:r>
    </w:p>
    <w:p w:rsidR="00AF66BC" w:rsidRPr="00DF6683" w:rsidRDefault="00AF66BC" w:rsidP="00AF66BC"/>
    <w:bookmarkEnd w:id="4"/>
    <w:p w:rsidR="00AF66BC" w:rsidRPr="00DF6683" w:rsidRDefault="00AF66BC" w:rsidP="008200DF"/>
    <w:sectPr w:rsidR="00AF66BC" w:rsidRPr="00DF6683" w:rsidSect="00AF66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F6683" w:rsidRDefault="001E79B1">
      <w:r w:rsidRPr="00DF6683">
        <w:separator/>
      </w:r>
    </w:p>
  </w:endnote>
  <w:endnote w:type="continuationSeparator" w:id="0">
    <w:p w:rsidR="00000000" w:rsidRPr="00DF6683" w:rsidRDefault="001E79B1">
      <w:r w:rsidRPr="00DF66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683" w:rsidRPr="00DF6683" w:rsidRDefault="00DF6683" w:rsidP="00DF6683">
    <w:pPr>
      <w:pStyle w:val="EPFooter"/>
    </w:pPr>
    <w:r w:rsidRPr="00DF6683">
      <w:t>PE</w:t>
    </w:r>
    <w:r w:rsidRPr="00DF6683">
      <w:rPr>
        <w:rStyle w:val="HideTWBExt"/>
      </w:rPr>
      <w:t>&lt;NoPE&gt;</w:t>
    </w:r>
    <w:r w:rsidRPr="00DF6683">
      <w:t>759.070</w:t>
    </w:r>
    <w:r w:rsidRPr="00DF6683">
      <w:rPr>
        <w:rStyle w:val="HideTWBExt"/>
      </w:rPr>
      <w:t>&lt;/NoPE&gt;&lt;Version&gt;</w:t>
    </w:r>
    <w:r w:rsidRPr="00DF6683">
      <w:t>v01-00</w:t>
    </w:r>
    <w:r w:rsidRPr="00DF6683">
      <w:rPr>
        <w:rStyle w:val="HideTWBExt"/>
      </w:rPr>
      <w:t>&lt;/Version&gt;</w:t>
    </w:r>
    <w:r w:rsidRPr="00DF6683">
      <w:tab/>
    </w:r>
    <w:r w:rsidRPr="00DF6683">
      <w:fldChar w:fldCharType="begin"/>
    </w:r>
    <w:r w:rsidRPr="00DF6683">
      <w:instrText xml:space="preserve"> PAGE  \* MERGEFORMAT </w:instrText>
    </w:r>
    <w:r w:rsidRPr="00DF6683">
      <w:fldChar w:fldCharType="separate"/>
    </w:r>
    <w:r w:rsidR="001E79B1">
      <w:rPr>
        <w:noProof/>
      </w:rPr>
      <w:t>8</w:t>
    </w:r>
    <w:r w:rsidRPr="00DF6683">
      <w:fldChar w:fldCharType="end"/>
    </w:r>
    <w:r w:rsidRPr="00DF6683">
      <w:t>/</w:t>
    </w:r>
    <w:fldSimple w:instr=" NUMPAGES  \* MERGEFORMAT ">
      <w:r w:rsidR="001E79B1">
        <w:rPr>
          <w:noProof/>
        </w:rPr>
        <w:t>13</w:t>
      </w:r>
    </w:fldSimple>
    <w:r w:rsidRPr="00DF6683">
      <w:tab/>
    </w:r>
    <w:r w:rsidRPr="00DF6683">
      <w:rPr>
        <w:rStyle w:val="HideTWBExt"/>
      </w:rPr>
      <w:t>&lt;PathFdR&gt;</w:t>
    </w:r>
    <w:r w:rsidRPr="00DF6683">
      <w:t>PR\1296979SK.docx</w:t>
    </w:r>
    <w:r w:rsidRPr="00DF6683">
      <w:rPr>
        <w:rStyle w:val="HideTWBExt"/>
      </w:rPr>
      <w:t>&lt;/PathFdR&gt;</w:t>
    </w:r>
  </w:p>
  <w:p w:rsidR="00FB52FE" w:rsidRPr="00DF6683" w:rsidRDefault="00DF6683" w:rsidP="00DF6683">
    <w:pPr>
      <w:pStyle w:val="EPFooter2"/>
    </w:pPr>
    <w:r w:rsidRPr="00DF6683">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683" w:rsidRPr="00DF6683" w:rsidRDefault="00DF6683" w:rsidP="00DF6683">
    <w:pPr>
      <w:pStyle w:val="EPFooter"/>
    </w:pPr>
    <w:r w:rsidRPr="00DF6683">
      <w:rPr>
        <w:rStyle w:val="HideTWBExt"/>
      </w:rPr>
      <w:t>&lt;PathFdR&gt;</w:t>
    </w:r>
    <w:r w:rsidRPr="00DF6683">
      <w:t>PR\1296979SK.docx</w:t>
    </w:r>
    <w:r w:rsidRPr="00DF6683">
      <w:rPr>
        <w:rStyle w:val="HideTWBExt"/>
      </w:rPr>
      <w:t>&lt;/PathFdR&gt;</w:t>
    </w:r>
    <w:r w:rsidRPr="00DF6683">
      <w:tab/>
    </w:r>
    <w:r w:rsidRPr="00DF6683">
      <w:fldChar w:fldCharType="begin"/>
    </w:r>
    <w:r w:rsidRPr="00DF6683">
      <w:instrText xml:space="preserve"> PAGE  \* MERGEFORMAT </w:instrText>
    </w:r>
    <w:r w:rsidRPr="00DF6683">
      <w:fldChar w:fldCharType="separate"/>
    </w:r>
    <w:r w:rsidR="001E79B1">
      <w:rPr>
        <w:noProof/>
      </w:rPr>
      <w:t>9</w:t>
    </w:r>
    <w:r w:rsidRPr="00DF6683">
      <w:fldChar w:fldCharType="end"/>
    </w:r>
    <w:r w:rsidRPr="00DF6683">
      <w:t>/</w:t>
    </w:r>
    <w:fldSimple w:instr=" NUMPAGES  \* MERGEFORMAT ">
      <w:r w:rsidR="001E79B1">
        <w:rPr>
          <w:noProof/>
        </w:rPr>
        <w:t>13</w:t>
      </w:r>
    </w:fldSimple>
    <w:r w:rsidRPr="00DF6683">
      <w:tab/>
      <w:t>PE</w:t>
    </w:r>
    <w:r w:rsidRPr="00DF6683">
      <w:rPr>
        <w:rStyle w:val="HideTWBExt"/>
      </w:rPr>
      <w:t>&lt;NoPE&gt;</w:t>
    </w:r>
    <w:r w:rsidRPr="00DF6683">
      <w:t>759.070</w:t>
    </w:r>
    <w:r w:rsidRPr="00DF6683">
      <w:rPr>
        <w:rStyle w:val="HideTWBExt"/>
      </w:rPr>
      <w:t>&lt;/NoPE&gt;&lt;Version&gt;</w:t>
    </w:r>
    <w:r w:rsidRPr="00DF6683">
      <w:t>v01-00</w:t>
    </w:r>
    <w:r w:rsidRPr="00DF6683">
      <w:rPr>
        <w:rStyle w:val="HideTWBExt"/>
      </w:rPr>
      <w:t>&lt;/Version&gt;</w:t>
    </w:r>
  </w:p>
  <w:p w:rsidR="00FB52FE" w:rsidRPr="00DF6683" w:rsidRDefault="00DF6683" w:rsidP="00DF6683">
    <w:pPr>
      <w:pStyle w:val="EPFooter2"/>
    </w:pPr>
    <w:r w:rsidRPr="00DF6683">
      <w:tab/>
    </w:r>
    <w:r w:rsidRPr="00DF6683">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683" w:rsidRPr="00DF6683" w:rsidRDefault="00DF6683" w:rsidP="00DF6683">
    <w:pPr>
      <w:pStyle w:val="EPFooter"/>
    </w:pPr>
    <w:r w:rsidRPr="00DF6683">
      <w:rPr>
        <w:rStyle w:val="HideTWBExt"/>
      </w:rPr>
      <w:t>&lt;PathFdR&gt;</w:t>
    </w:r>
    <w:r w:rsidRPr="00DF6683">
      <w:t>PR\1296979SK.docx</w:t>
    </w:r>
    <w:r w:rsidRPr="00DF6683">
      <w:rPr>
        <w:rStyle w:val="HideTWBExt"/>
      </w:rPr>
      <w:t>&lt;/PathFdR&gt;</w:t>
    </w:r>
    <w:r w:rsidRPr="00DF6683">
      <w:tab/>
    </w:r>
    <w:r w:rsidRPr="00DF6683">
      <w:tab/>
      <w:t>PE</w:t>
    </w:r>
    <w:r w:rsidRPr="00DF6683">
      <w:rPr>
        <w:rStyle w:val="HideTWBExt"/>
      </w:rPr>
      <w:t>&lt;NoPE&gt;</w:t>
    </w:r>
    <w:r w:rsidRPr="00DF6683">
      <w:t>759.070</w:t>
    </w:r>
    <w:r w:rsidRPr="00DF6683">
      <w:rPr>
        <w:rStyle w:val="HideTWBExt"/>
      </w:rPr>
      <w:t>&lt;/NoPE&gt;&lt;Version&gt;</w:t>
    </w:r>
    <w:r w:rsidRPr="00DF6683">
      <w:t>v01-00</w:t>
    </w:r>
    <w:r w:rsidRPr="00DF6683">
      <w:rPr>
        <w:rStyle w:val="HideTWBExt"/>
      </w:rPr>
      <w:t>&lt;/Version&gt;</w:t>
    </w:r>
  </w:p>
  <w:p w:rsidR="00FB52FE" w:rsidRPr="00DF6683" w:rsidRDefault="00DF6683" w:rsidP="00DF6683">
    <w:pPr>
      <w:pStyle w:val="EPFooter2"/>
    </w:pPr>
    <w:r w:rsidRPr="00DF6683">
      <w:t>SK</w:t>
    </w:r>
    <w:r w:rsidRPr="00DF6683">
      <w:tab/>
    </w:r>
    <w:r w:rsidRPr="00DF6683">
      <w:rPr>
        <w:b w:val="0"/>
        <w:i/>
        <w:color w:val="C0C0C0"/>
        <w:sz w:val="22"/>
      </w:rPr>
      <w:t>Zjednotení v rozmanitosti</w:t>
    </w:r>
    <w:r w:rsidRPr="00DF6683">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574" w:rsidRPr="00DF6683" w:rsidRDefault="001E79B1">
      <w:r w:rsidRPr="00DF6683">
        <w:separator/>
      </w:r>
    </w:p>
  </w:footnote>
  <w:footnote w:type="continuationSeparator" w:id="0">
    <w:p w:rsidR="005E6574" w:rsidRPr="00DF6683" w:rsidRDefault="001E79B1">
      <w:r w:rsidRPr="00DF6683">
        <w:continuationSeparator/>
      </w:r>
    </w:p>
  </w:footnote>
  <w:footnote w:id="1">
    <w:p w:rsidR="008200DF" w:rsidRPr="00DF6683" w:rsidRDefault="001E79B1" w:rsidP="008200DF">
      <w:pPr>
        <w:pStyle w:val="FootnoteText"/>
        <w:ind w:left="284" w:hanging="284"/>
        <w:rPr>
          <w:sz w:val="18"/>
        </w:rPr>
      </w:pPr>
      <w:r w:rsidRPr="00DF6683">
        <w:rPr>
          <w:rStyle w:val="FootnoteReference"/>
          <w:sz w:val="18"/>
        </w:rPr>
        <w:footnoteRef/>
      </w:r>
      <w:r w:rsidRPr="00DF6683">
        <w:rPr>
          <w:sz w:val="18"/>
        </w:rPr>
        <w:tab/>
        <w:t>Nariadenie Európskeho parlamentu a Rady (EÚ) č. 1289/2013 z 11. decem</w:t>
      </w:r>
      <w:r w:rsidRPr="00DF6683">
        <w:rPr>
          <w:sz w:val="18"/>
        </w:rPr>
        <w:t>bra 2013, ktorým sa mení nariadenie Rady (ES) č. 539/2001 uvádzajúce zoznam tretích krajín, ktorých štátni príslušníci musia mať víza pri prekračovaní vonkajších hraníc členských štátov, a krajín, ktorých štátni príslušníci sú oslobodení od tejto povinnost</w:t>
      </w:r>
      <w:r w:rsidRPr="00DF6683">
        <w:rPr>
          <w:sz w:val="18"/>
        </w:rPr>
        <w:t>i (Ú. v. EÚ L 347, 20.12.2013, s. 74 – 80).</w:t>
      </w:r>
    </w:p>
  </w:footnote>
  <w:footnote w:id="2">
    <w:p w:rsidR="008200DF" w:rsidRPr="00DF6683" w:rsidRDefault="001E79B1" w:rsidP="008200DF">
      <w:pPr>
        <w:pStyle w:val="FootnoteText"/>
        <w:ind w:left="284" w:hanging="284"/>
      </w:pPr>
      <w:r w:rsidRPr="00DF6683">
        <w:rPr>
          <w:rStyle w:val="FootnoteReference"/>
          <w:sz w:val="18"/>
        </w:rPr>
        <w:footnoteRef/>
      </w:r>
      <w:r w:rsidRPr="00DF6683">
        <w:rPr>
          <w:sz w:val="18"/>
        </w:rPr>
        <w:tab/>
        <w:t>Nariadenie Európskeho parlamentu a Rady (EÚ) 2017/371 z 1. marca 2017, ktorým sa mení nariadenie Rady (ES) č. 539/2001 uvádzajúce zoznam tretích krajín, ktorých štátni príslušníci musia mať víza pri prekračovan</w:t>
      </w:r>
      <w:r w:rsidRPr="00DF6683">
        <w:rPr>
          <w:sz w:val="18"/>
        </w:rPr>
        <w:t>í vonkajších hraníc členských štátov, a krajín, ktorých štátni príslušníci sú oslobodení od tejto povinnosti (revízia mechanizmu pozastavenia) (Ú. v. EÚ L 61, 8.3.2017, s. 1 –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9B1" w:rsidRDefault="001E7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9B1" w:rsidRDefault="001E7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9B1" w:rsidRDefault="001E7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1"/>
    <w:docVar w:name="CJMNU" w:val="1"/>
    <w:docVar w:name="COMKEY" w:val="LIBE"/>
    <w:docVar w:name="CONTRIBUTIONMNU" w:val=" 2"/>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4649 HideTWBExt;}{\*\cs18 \additive \v\f1\fs20\cf15 _x000d__x000a_\spriority0 \styrsid4864649 HideTWBInt;}{\s19\ql \li0\ri0\sa120\nowidctlpar\wrapdefault\aspalpha\aspnum\faauto\adjustright\rin0\lin0\itap0 \rtlch\fcs1 \af0\afs20\alang1025 \ltrch\fcs0 \fs24\lang2057\langfe2057\cgrid\langnp2057\langfenp2057 _x000d__x000a_\sbasedon0 \snext19 \spriority0 \styrsid4864649 Normal6a;}{\s20\ql \li0\ri0\nowidctlpar\wrapdefault\aspalpha\aspnum\faauto\adjustright\rin0\lin0\itap0 \rtlch\fcs1 \af0\afs20\alang1025 \ltrch\fcs0 \b\fs24\lang2057\langfe2057\cgrid\langnp2057\langfenp2057 _x000d__x000a_\sbasedon0 \snext20 \spriority0 \styrsid4864649 NormalBold;}{\s21\ql \li0\ri0\sa240\nowidctlpar\wrapdefault\aspalpha\aspnum\faauto\adjustright\rin0\lin0\itap0 \rtlch\fcs1 \af0\afs20\alang1025 \ltrch\fcs0 _x000d__x000a_\i\fs24\lang2057\langfe2057\cgrid\langnp2057\langfenp2057 \sbasedon0 \snext21 \spriority0 \styrsid4864649 AmJustText;}{\s22\qc \li0\ri0\sb240\sa240\nowidctlpar\wrapdefault\aspalpha\aspnum\faauto\adjustright\rin0\lin0\itap0 \rtlch\fcs1 _x000d__x000a_\af0\afs20\alang1025 \ltrch\fcs0 \i\fs24\lang2057\langfe2057\cgrid\langnp2057\langfenp2057 \sbasedon0 \snext22 \spriority0 \styrsid4864649 AmCrossRef;}{_x000d__x000a_\s23\qc \li0\ri0\sb240\sa240\keepn\nowidctlpar\wrapdefault\aspalpha\aspnum\faauto\adjustright\rin0\lin0\itap0 \rtlch\fcs1 \af0\afs20\alang1025 \ltrch\fcs0 \i\fs24\lang2057\langfe2057\cgrid\langnp2057\langfenp2057 _x000d__x000a_\sbasedon0 \snext21 \spriority0 \styrsid4864649 AmJustTitle;}{\s24\qr \li0\ri0\sb240\sa240\nowidctlpar\wrapdefault\aspalpha\aspnum\faauto\adjustright\rin0\lin0\itap0 \rtlch\fcs1 \af0\afs20\alang1025 \ltrch\fcs0 _x000d__x000a_\fs24\lang2057\langfe2057\cgrid\langnp2057\langfenp2057 \sbasedon0 \snext24 \spriority0 \styrsid4864649 AmOrLang;}{\s25\qc \li0\ri0\sa240\nowidctlpar\wrapdefault\aspalpha\aspnum\faauto\adjustright\rin0\lin0\itap0 \rtlch\fcs1 \af0\afs20\alang1025 _x000d__x000a_\ltrch\fcs0 \i\fs24\lang2057\langfe2057\cgrid\langnp2057\langfenp2057 \sbasedon0 \snext25 \spriority0 \styrsid48646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64649 AmNumberTabs;}{\s27\ql \li0\ri0\sb240\nowidctlpar\wrapdefault\aspalpha\aspnum\faauto\adjustright\rin0\lin0\itap0 \rtlch\fcs1 _x000d__x000a_\af0\afs20\alang1025 \ltrch\fcs0 \b\fs24\lang2057\langfe2057\cgrid\langnp2057\langfenp2057 \sbasedon0 \snext27 \spriority0 \styrsid4864649 NormalBold12b;}}{\*\rsidtbl \rsid24658\rsid223860\rsid735077\rsid1718133\rsid2892074\rsid3498550\rsid3565327_x000d__x000a_\rsid4666813\rsid486464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ERNANDEZ PLAZA Remedios}{\operator FERNANDEZ PLAZA Remedios}{\creatim\yr2024\mo2\dy15\hr15\min55}{\revtim\yr2024\mo2\dy15\hr15\min55}{\version1}_x000d__x000a_{\edmins0}{\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64649\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3498550 \chftnsep _x000d__x000a_\par }}{\*\ftnsepc \ltrpar \pard\plain \ltrpar\ql \li0\ri0\widctlpar\wrapdefault\aspalpha\aspnum\faauto\adjustright\rin0\lin0\itap0 \rtlch\fcs1 \af0\afs20\alang1025 \ltrch\fcs0 \fs24\lang2057\langfe2057\cgrid\langnp2057\langfenp2057 {\rtlch\fcs1 \af0 _x000d__x000a_\ltrch\fcs0 \insrsid3498550 \chftnsepc _x000d__x000a_\par }}{\*\aftnsep \ltrpar \pard\plain \ltrpar\ql \li0\ri0\widctlpar\wrapdefault\aspalpha\aspnum\faauto\adjustright\rin0\lin0\itap0 \rtlch\fcs1 \af0\afs20\alang1025 \ltrch\fcs0 \fs24\lang2057\langfe2057\cgrid\langnp2057\langfenp2057 {\rtlch\fcs1 \af0 _x000d__x000a_\ltrch\fcs0 \insrsid3498550 \chftnsep _x000d__x000a_\par }}{\*\aftnsepc \ltrpar \pard\plain \ltrpar\ql \li0\ri0\widctlpar\wrapdefault\aspalpha\aspnum\faauto\adjustright\rin0\lin0\itap0 \rtlch\fcs1 \af0\afs20\alang1025 \ltrch\fcs0 \fs24\lang2057\langfe2057\cgrid\langnp2057\langfenp2057 {\rtlch\fcs1 \af0 _x000d__x000a_\ltrch\fcs0 \insrsid3498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864649 \rtlch\fcs1 _x000d__x000a_\af0\afs20\alang1025 \ltrch\fcs0 \b\fs24\lang2057\langfe2057\cgrid\langnp2057\langfenp2057 {\rtlch\fcs1 \af0 \ltrch\fcs0 \cs17\b0\v\fs20\cf9\lang1024\langfe1024\loch\af1\hich\af1\dbch\af31501\noproof\insrsid4864649\charrsid6186356 {\*\bkmkstart restart}_x000d__x000a_\hich\af1\dbch\af31501\loch\f1 &lt;Amend&gt;}{\rtlch\fcs1 \af0 \ltrch\fcs0 \insrsid4864649\charrsid6186356 Amendment\tab \tab }{\rtlch\fcs1 \af0 \ltrch\fcs0 _x000d__x000a_\cs17\b0\v\fs20\cf9\lang1024\langfe1024\loch\af1\hich\af1\dbch\af31501\noproof\insrsid4864649\charrsid6186356 \hich\af1\dbch\af31501\loch\f1 &lt;NumAm&gt;}{\rtlch\fcs1 \af0 \ltrch\fcs0 \insrsid4864649\charrsid6186356 #}{\rtlch\fcs1 \af1 \ltrch\fcs0 _x000d__x000a_\cs18\v\f1\fs20\cf15\insrsid4864649\charrsid6186356 ENMIENDA@NRAM@}{\rtlch\fcs1 \af0 \ltrch\fcs0 \insrsid4864649\charrsid6186356 #}{\rtlch\fcs1 \af0 \ltrch\fcs0 _x000d__x000a_\cs17\b0\v\fs20\cf9\lang1024\langfe1024\loch\af1\hich\af1\dbch\af31501\noproof\insrsid4864649\charrsid6186356 \hich\af1\dbch\af31501\loch\f1 &lt;/NumAm&gt;}{\rtlch\fcs1 \af0 \ltrch\fcs0 \insrsid4864649\charrsid6186356 _x000d__x000a_\par }\pard\plain \ltrpar\s27\ql \li0\ri0\sb240\keepn\nowidctlpar\wrapdefault\aspalpha\aspnum\faauto\adjustright\rin0\lin0\itap0\pararsid4864649 \rtlch\fcs1 \af0\afs20\alang1025 \ltrch\fcs0 \b\fs24\lang2057\langfe2057\cgrid\langnp2057\langfenp2057 {_x000d__x000a_\rtlch\fcs1 \af0 \ltrch\fcs0 \cs17\b0\v\fs20\cf9\lang1024\langfe1024\loch\af1\hich\af1\dbch\af31501\noproof\insrsid4864649\charrsid6186356 \hich\af1\dbch\af31501\loch\f1 &lt;DocAmend&gt;}{\rtlch\fcs1 \af0 \ltrch\fcs0 \insrsid4864649\charrsid6186356 _x000d__x000a_Proposal for a #}{\rtlch\fcs1 \af1 \ltrch\fcs0 \cs18\v\f1\fs20\cf15\insrsid4864649\charrsid6186356 MNU[DOC1][DOC2][DOC3]@DOCMSG@DOCMNU}{\rtlch\fcs1 \af0 \ltrch\fcs0 \insrsid4864649\charrsid6186356 ##}{\rtlch\fcs1 \af1 \ltrch\fcs0 _x000d__x000a_\cs18\v\f1\fs20\cf15\insrsid4864649\charrsid6186356 MNU[AMACTYES][NOTAPP]@CHOICE@AMACTMNU}{\rtlch\fcs1 \af0 \ltrch\fcs0 \insrsid4864649\charrsid6186356 #}{\rtlch\fcs1 \af0 \ltrch\fcs0 _x000d__x000a_\cs17\b0\v\fs20\cf9\lang1024\langfe1024\loch\af1\hich\af1\dbch\af31501\noproof\insrsid4864649\charrsid6186356 \hich\af1\dbch\af31501\loch\f1 &lt;/DocAmend&gt;}{\rtlch\fcs1 \af0 \ltrch\fcs0 \insrsid4864649\charrsid6186356 _x000d__x000a_\par }\pard\plain \ltrpar\s20\ql \li0\ri0\keepn\nowidctlpar\wrapdefault\aspalpha\aspnum\faauto\adjustright\rin0\lin0\itap0\pararsid4864649 \rtlch\fcs1 \af0\afs20\alang1025 \ltrch\fcs0 \b\fs24\lang2057\langfe2057\cgrid\langnp2057\langfenp2057 {\rtlch\fcs1 \af0 _x000d__x000a_\ltrch\fcs0 \cs17\b0\v\fs20\cf9\lang1024\langfe1024\loch\af1\hich\af1\dbch\af31501\noproof\insrsid4864649\charrsid6186356 \hich\af1\dbch\af31501\loch\f1 &lt;Article&gt;}{\rtlch\fcs1 \af0 \ltrch\fcs0 \insrsid4864649\charrsid6186356 #}{\rtlch\fcs1 \af1 _x000d__x000a_\ltrch\fcs0 \cs18\v\f1\fs20\cf15\insrsid4864649\charrsid6186356 MNU[AMACTPARTYES][AMACTPARTNO]@CHOICE@AMACTMNU}{\rtlch\fcs1 \af0 \ltrch\fcs0 \insrsid4864649\charrsid6186356 #}{\rtlch\fcs1 \af0 \ltrch\fcs0 _x000d__x000a_\cs17\b0\v\fs20\cf9\lang1024\langfe1024\loch\af1\hich\af1\dbch\af31501\noproof\insrsid4864649\charrsid6186356 \hich\af1\dbch\af31501\loch\f1 &lt;/Article&gt;}{\rtlch\fcs1 \af0 \ltrch\fcs0 \insrsid4864649\charrsid6186356 _x000d__x000a_\par }\pard\plain \ltrpar\ql \li0\ri0\keepn\widctlpar\wrapdefault\aspalpha\aspnum\faauto\adjustright\rin0\lin0\itap0\pararsid4864649 \rtlch\fcs1 \af0\afs20\alang1025 \ltrch\fcs0 \fs24\lang2057\langfe2057\cgrid\langnp2057\langfenp2057 {\rtlch\fcs1 \af0 _x000d__x000a_\ltrch\fcs0 \cs17\v\fs20\cf9\lang1024\langfe1024\loch\af1\hich\af1\dbch\af31501\noproof\insrsid4864649\charrsid6186356 \hich\af1\dbch\af31501\loch\f1 &lt;DocAmend2&gt;&lt;OptDel&gt;}{\rtlch\fcs1 \af0 \ltrch\fcs0 \insrsid4864649\charrsid6186356 #}{\rtlch\fcs1 \af1 _x000d__x000a_\ltrch\fcs0 \cs18\v\f1\fs20\cf15\insrsid4864649\charrsid6186356 MNU[OPTNRACTYES][NOTAPP]@CHOICE@AMACTMNU}{\rtlch\fcs1 \af0 \ltrch\fcs0 \insrsid4864649\charrsid6186356 #}{\rtlch\fcs1 \af0 \ltrch\fcs0 _x000d__x000a_\cs17\v\fs20\cf9\lang1024\langfe1024\loch\af1\hich\af1\dbch\af31501\noproof\insrsid4864649\charrsid6186356 \hich\af1\dbch\af31501\loch\f1 &lt;/OptDel&gt;&lt;/DocAmend2&gt;}{\rtlch\fcs1 \af0 \ltrch\fcs0 \insrsid4864649\charrsid6186356 _x000d__x000a_\par }\pard \ltrpar\ql \li0\ri0\widctlpar\wrapdefault\aspalpha\aspnum\faauto\adjustright\rin0\lin0\itap0\pararsid4864649 {\rtlch\fcs1 \af0 \ltrch\fcs0 \cs17\v\fs20\cf9\lang1024\langfe1024\loch\af1\hich\af1\dbch\af31501\noproof\insrsid4864649\charrsid6186356 _x000d__x000a_\hich\af1\dbch\af31501\loch\f1 &lt;Article2&gt;&lt;OptDel&gt;}{\rtlch\fcs1 \af0 \ltrch\fcs0 \insrsid4864649\charrsid6186356 #}{\rtlch\fcs1 \af1 \ltrch\fcs0 \cs18\v\f1\fs20\cf15\insrsid4864649\charrsid6186356 MNU[OPTACTPARTYES][NOTAPP]@CHOICE@AMACTMNU}{\rtlch\fcs1 _x000d__x000a_\af0 \ltrch\fcs0 \insrsid4864649\charrsid6186356 #}{\rtlch\fcs1 \af0 \ltrch\fcs0 \cs17\v\fs20\cf9\lang1024\langfe1024\loch\af1\hich\af1\dbch\af31501\noproof\insrsid4864649\charrsid6186356 \hich\af1\dbch\af31501\loch\f1 &lt;/OptDel&gt;&lt;/Article2&gt;}{\rtlch\fcs1 _x000d__x000a_\af0 \ltrch\fcs0 \insrsid4864649\charrsid61863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4864649\charrsid6186356 #}{\rtlch\fcs1 \af1 \ltrch\fcs0 \cs18\v\f1\fs20\cf15\insrsid4864649\charrsid6186356 MNU[OPTLEFTAMACT][LEFTPROP]@CHOICE@AMACTMNU}{\rtlch\fcs1 \af0 \ltrch\fcs0 \insrsid4864649\charrsid6186356 #\cell Amendment\cell _x000d__x000a_}\pard\plain \ltrpar\ql \li0\ri0\widctlpar\intbl\wrapdefault\aspalpha\aspnum\faauto\adjustright\rin0\lin0 \rtlch\fcs1 \af0\afs20\alang1025 \ltrch\fcs0 \fs24\lang2057\langfe2057\cgrid\langnp2057\langfenp2057 {\rtlch\fcs1 \af0 \ltrch\fcs0 _x000d__x000a_\insrsid4864649\charrsid6186356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4864649\charrsid6186356 ##\cell ##}{\rtlch\fcs1 \af0\afs24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864649 \rtlch\fcs1 \af0\afs20\alang1025 \ltrch\fcs0 \fs24\lang2057\langfe2057\cgrid\langnp2057\langfenp2057 {\rtlch\fcs1 \af0 \ltrch\fcs0 _x000d__x000a_\insrsid4864649\charrsid6186356 Or. }{\rtlch\fcs1 \af0 \ltrch\fcs0 \cs17\v\fs20\cf9\lang1024\langfe1024\loch\af1\hich\af1\dbch\af31501\noproof\insrsid4864649\charrsid6186356 \hich\af1\dbch\af31501\loch\f1 &lt;Original&gt;}{\rtlch\fcs1 \af0 \ltrch\fcs0 _x000d__x000a_\insrsid4864649\charrsid6186356 #}{\rtlch\fcs1 \af1 \ltrch\fcs0 \cs18\v\f1\fs20\cf15\insrsid4864649\charrsid6186356 MNU[ORLANGONE][ORLANGMORE]@CHOICE@ORLANGMNU}{\rtlch\fcs1 \af0 \ltrch\fcs0 \insrsid4864649\charrsid6186356 #}{\rtlch\fcs1 \af0 \ltrch\fcs0 _x000d__x000a_\cs17\v\fs20\cf9\lang1024\langfe1024\loch\af1\hich\af1\dbch\af31501\noproof\insrsid4864649\charrsid6186356 \hich\af1\dbch\af31501\loch\f1 &lt;/Original&gt;}{\rtlch\fcs1 \af0 \ltrch\fcs0 \insrsid4864649\charrsid6186356 _x000d__x000a_\par }\pard\plain \ltrpar\s22\qc \li0\ri0\sb240\sa240\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OptDel&gt;}{\rtlch\fcs1 \af0 \ltrch\fcs0 \insrsid4864649\charrsid6186356 #}{_x000d__x000a_\rtlch\fcs1 \af1 \ltrch\fcs0 \cs18\v\f1\fs20\cf15\insrsid4864649\charrsid6186356 MNU[CROSSREFNO][CROSSREFYES]@CHOICE@}{\rtlch\fcs1 \af0 \ltrch\fcs0 \insrsid4864649\charrsid6186356 #}{\rtlch\fcs1 \af0 \ltrch\fcs0 _x000d__x000a_\cs17\i0\v\fs20\cf9\lang1024\langfe1024\loch\af1\hich\af1\dbch\af31501\noproof\insrsid4864649\charrsid6186356 \hich\af1\dbch\af31501\loch\f1 &lt;/OptDel&gt;}{\rtlch\fcs1 \af0 \ltrch\fcs0 \insrsid4864649\charrsid6186356 _x000d__x000a_\par }\pard\plain \ltrpar\s23\qc \li0\ri0\sb240\sa240\keepn\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TitreJust&gt;}{\rtlch\fcs1 \af0 \ltrch\fcs0 \insrsid4864649\charrsid6186356 _x000d__x000a_Justification}{\rtlch\fcs1 \af0 \ltrch\fcs0 \cs17\i0\v\fs20\cf9\lang1024\langfe1024\loch\af1\hich\af1\dbch\af31501\noproof\insrsid4864649\charrsid6186356 \hich\af1\dbch\af31501\loch\f1 &lt;/TitreJust&gt;}{\rtlch\fcs1 \af0 \ltrch\fcs0 _x000d__x000a_\insrsid4864649\charrsid6186356 _x000d__x000a_\par }\pard\plain \ltrpar\s21\ql \li0\ri0\sa240\nowidctlpar\wrapdefault\aspalpha\aspnum\faauto\adjustright\rin0\lin0\itap0\pararsid4864649 \rtlch\fcs1 \af0\afs20\alang1025 \ltrch\fcs0 \i\fs24\lang2057\langfe2057\cgrid\langnp2057\langfenp2057 {\rtlch\fcs1 \af0 _x000d__x000a_\ltrch\fcs0 \cs17\i0\v\fs20\cf9\lang1024\langfe1024\loch\af1\hich\af1\dbch\af31501\noproof\insrsid4864649\charrsid6186356 \hich\af1\dbch\af31501\loch\f1 &lt;OptDelPrev&gt;}{\rtlch\fcs1 \af0 \ltrch\fcs0 \insrsid4864649\charrsid6186356 #}{\rtlch\fcs1 \af1 _x000d__x000a_\ltrch\fcs0 \cs18\v\f1\fs20\cf15\insrsid4864649\charrsid6186356 MNU[TEXTJUSTYES][TEXTJUSTNO]@CHOICE@}{\rtlch\fcs1 \af0 \ltrch\fcs0 \insrsid4864649\charrsid6186356 #}{\rtlch\fcs1 \af0 \ltrch\fcs0 _x000d__x000a_\cs17\i0\v\fs20\cf9\lang1024\langfe1024\loch\af1\hich\af1\dbch\af31501\noproof\insrsid4864649\charrsid6186356 \hich\af1\dbch\af31501\loch\f1 &lt;/OptDelPrev&gt;}{\rtlch\fcs1 \af0 \ltrch\fcs0 \insrsid4864649\charrsid6186356 _x000d__x000a_\par }\pard\plain \ltrpar\ql \li0\ri0\widctlpar\wrapdefault\aspalpha\aspnum\faauto\adjustright\rin0\lin0\itap0\pararsid4864649 \rtlch\fcs1 \af0\afs20\alang1025 \ltrch\fcs0 \fs24\lang2057\langfe2057\cgrid\langnp2057\langfenp2057 {\rtlch\fcs1 \af0 \ltrch\fcs0 _x000d__x000a_\cs17\v\fs20\cf9\lang1024\langfe1024\loch\af1\hich\af1\dbch\af31501\noproof\insrsid4864649\charrsid61863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5_x000d__x000a_77131f6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6"/>
    <w:docVar w:name="TVTAMPART" w:val="X"/>
    <w:docVar w:name="TXTAUTHOR" w:val="Matjaž Nemec"/>
    <w:docVar w:name="TXTLANGUE" w:val="EN"/>
    <w:docVar w:name="TXTLANGUEMIN" w:val="en"/>
    <w:docVar w:name="TXTNRC" w:val="0392/2023"/>
    <w:docVar w:name="TXTNRCOD" w:val="2023/0371"/>
    <w:docVar w:name="TXTNRCOM" w:val="(2023)0642"/>
    <w:docVar w:name="TXTNRFIRSTAM" w:val="1"/>
    <w:docVar w:name="TXTNRLASTAM" w:val="1"/>
    <w:docVar w:name="TXTNRPE" w:val="759.070"/>
    <w:docVar w:name="TXTPEorAP" w:val="PE"/>
    <w:docVar w:name="TXTROUTE" w:val="PR\1296979EN.docx"/>
    <w:docVar w:name="TXTTITLE" w:val="of the European Parliament and of the Council amending Regulation (EU) 2018/1806 as regards the revision of the suspension mechanism"/>
    <w:docVar w:name="TXTVERSION" w:val="01-00"/>
  </w:docVars>
  <w:rsids>
    <w:rsidRoot w:val="005E6574"/>
    <w:rsid w:val="00011AAB"/>
    <w:rsid w:val="00012351"/>
    <w:rsid w:val="000139E5"/>
    <w:rsid w:val="00084DD2"/>
    <w:rsid w:val="00084E89"/>
    <w:rsid w:val="000A0FF0"/>
    <w:rsid w:val="000B7489"/>
    <w:rsid w:val="000F1096"/>
    <w:rsid w:val="00120948"/>
    <w:rsid w:val="00123DD5"/>
    <w:rsid w:val="001277AE"/>
    <w:rsid w:val="00142215"/>
    <w:rsid w:val="001767E2"/>
    <w:rsid w:val="00187008"/>
    <w:rsid w:val="001B3829"/>
    <w:rsid w:val="001C5592"/>
    <w:rsid w:val="001C5B44"/>
    <w:rsid w:val="001C6FFC"/>
    <w:rsid w:val="001E79B1"/>
    <w:rsid w:val="001F7C7C"/>
    <w:rsid w:val="00212B84"/>
    <w:rsid w:val="002346B0"/>
    <w:rsid w:val="002667C3"/>
    <w:rsid w:val="002669B6"/>
    <w:rsid w:val="00290BED"/>
    <w:rsid w:val="002D13EE"/>
    <w:rsid w:val="002E33EE"/>
    <w:rsid w:val="002F40BB"/>
    <w:rsid w:val="002F4B02"/>
    <w:rsid w:val="00323EF8"/>
    <w:rsid w:val="003316DD"/>
    <w:rsid w:val="003506ED"/>
    <w:rsid w:val="00366A46"/>
    <w:rsid w:val="00370AC3"/>
    <w:rsid w:val="00374945"/>
    <w:rsid w:val="003824EE"/>
    <w:rsid w:val="003B4689"/>
    <w:rsid w:val="003C2068"/>
    <w:rsid w:val="003C37CF"/>
    <w:rsid w:val="004100B1"/>
    <w:rsid w:val="00426E47"/>
    <w:rsid w:val="00450998"/>
    <w:rsid w:val="00455743"/>
    <w:rsid w:val="00461601"/>
    <w:rsid w:val="0047621B"/>
    <w:rsid w:val="004C0915"/>
    <w:rsid w:val="004D424E"/>
    <w:rsid w:val="004E42C8"/>
    <w:rsid w:val="004E733D"/>
    <w:rsid w:val="004F3FA5"/>
    <w:rsid w:val="0051271F"/>
    <w:rsid w:val="00521F46"/>
    <w:rsid w:val="00530F98"/>
    <w:rsid w:val="00551111"/>
    <w:rsid w:val="00551123"/>
    <w:rsid w:val="00570A6A"/>
    <w:rsid w:val="00586E50"/>
    <w:rsid w:val="0059583D"/>
    <w:rsid w:val="005A42D9"/>
    <w:rsid w:val="005C2BEF"/>
    <w:rsid w:val="005D1A99"/>
    <w:rsid w:val="005D7609"/>
    <w:rsid w:val="005D7EE8"/>
    <w:rsid w:val="005E6574"/>
    <w:rsid w:val="005F3938"/>
    <w:rsid w:val="006052B3"/>
    <w:rsid w:val="00640EBD"/>
    <w:rsid w:val="00642325"/>
    <w:rsid w:val="00673935"/>
    <w:rsid w:val="0069092A"/>
    <w:rsid w:val="006A2F5D"/>
    <w:rsid w:val="006A2F7C"/>
    <w:rsid w:val="006F47BA"/>
    <w:rsid w:val="006F7907"/>
    <w:rsid w:val="007049C4"/>
    <w:rsid w:val="00743189"/>
    <w:rsid w:val="00743D33"/>
    <w:rsid w:val="00792D74"/>
    <w:rsid w:val="007932B3"/>
    <w:rsid w:val="00793EA9"/>
    <w:rsid w:val="007D6F68"/>
    <w:rsid w:val="008200DF"/>
    <w:rsid w:val="0082020D"/>
    <w:rsid w:val="00823E6B"/>
    <w:rsid w:val="00826780"/>
    <w:rsid w:val="00837211"/>
    <w:rsid w:val="00837CCD"/>
    <w:rsid w:val="00840AAA"/>
    <w:rsid w:val="008633CC"/>
    <w:rsid w:val="00865190"/>
    <w:rsid w:val="008719B9"/>
    <w:rsid w:val="00894923"/>
    <w:rsid w:val="00894ECE"/>
    <w:rsid w:val="00896BB4"/>
    <w:rsid w:val="008A7FB8"/>
    <w:rsid w:val="009022B8"/>
    <w:rsid w:val="00914537"/>
    <w:rsid w:val="00917CC4"/>
    <w:rsid w:val="009625D7"/>
    <w:rsid w:val="00963F29"/>
    <w:rsid w:val="00965AC0"/>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E24"/>
    <w:rsid w:val="00AD18C8"/>
    <w:rsid w:val="00AD7FA6"/>
    <w:rsid w:val="00AE4643"/>
    <w:rsid w:val="00AF0416"/>
    <w:rsid w:val="00AF66BC"/>
    <w:rsid w:val="00B10CB4"/>
    <w:rsid w:val="00B13D6F"/>
    <w:rsid w:val="00B23B72"/>
    <w:rsid w:val="00B42702"/>
    <w:rsid w:val="00B54EAF"/>
    <w:rsid w:val="00B57B8B"/>
    <w:rsid w:val="00B85407"/>
    <w:rsid w:val="00B95702"/>
    <w:rsid w:val="00BC6489"/>
    <w:rsid w:val="00BD480C"/>
    <w:rsid w:val="00C20954"/>
    <w:rsid w:val="00C23324"/>
    <w:rsid w:val="00C42A41"/>
    <w:rsid w:val="00C47E74"/>
    <w:rsid w:val="00C57A72"/>
    <w:rsid w:val="00C73602"/>
    <w:rsid w:val="00C805DF"/>
    <w:rsid w:val="00C85D0F"/>
    <w:rsid w:val="00CF60C8"/>
    <w:rsid w:val="00D30DE2"/>
    <w:rsid w:val="00D32924"/>
    <w:rsid w:val="00D503A3"/>
    <w:rsid w:val="00DA6E19"/>
    <w:rsid w:val="00DA6ED0"/>
    <w:rsid w:val="00DC5011"/>
    <w:rsid w:val="00DF6683"/>
    <w:rsid w:val="00E171B6"/>
    <w:rsid w:val="00E331DD"/>
    <w:rsid w:val="00E72695"/>
    <w:rsid w:val="00E726D9"/>
    <w:rsid w:val="00EB1753"/>
    <w:rsid w:val="00EB6CFF"/>
    <w:rsid w:val="00EE3996"/>
    <w:rsid w:val="00F07062"/>
    <w:rsid w:val="00F23CFC"/>
    <w:rsid w:val="00F409D8"/>
    <w:rsid w:val="00F433E2"/>
    <w:rsid w:val="00F67134"/>
    <w:rsid w:val="00F8428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A2F5A"/>
  <w15:chartTrackingRefBased/>
  <w15:docId w15:val="{70544A93-5B69-46B1-A714-0AE54FEBC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F3938"/>
    <w:pPr>
      <w:tabs>
        <w:tab w:val="right" w:pos="454"/>
        <w:tab w:val="left" w:pos="737"/>
      </w:tabs>
      <w:ind w:left="737" w:hanging="737"/>
    </w:pPr>
    <w:rPr>
      <w:snapToGrid w:val="0"/>
      <w:sz w:val="18"/>
      <w:lang w:eastAsia="en-US"/>
    </w:rPr>
  </w:style>
  <w:style w:type="paragraph" w:customStyle="1" w:styleId="Lgendetitre">
    <w:name w:val="Légende titre"/>
    <w:basedOn w:val="Normal"/>
    <w:rsid w:val="005F3938"/>
    <w:pPr>
      <w:spacing w:before="240" w:after="240"/>
    </w:pPr>
    <w:rPr>
      <w:b/>
      <w:i/>
      <w:snapToGrid w:val="0"/>
      <w:lang w:eastAsia="en-US"/>
    </w:rPr>
  </w:style>
  <w:style w:type="paragraph" w:customStyle="1" w:styleId="Lgendestandard">
    <w:name w:val="Légende standard"/>
    <w:basedOn w:val="Normal"/>
    <w:rsid w:val="005F3938"/>
    <w:rPr>
      <w:sz w:val="18"/>
    </w:rPr>
  </w:style>
  <w:style w:type="paragraph" w:styleId="FootnoteText">
    <w:name w:val="footnote text"/>
    <w:basedOn w:val="Normal"/>
    <w:link w:val="FootnoteTextChar"/>
    <w:uiPriority w:val="99"/>
    <w:unhideWhenUsed/>
    <w:rsid w:val="008200DF"/>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8200DF"/>
    <w:rPr>
      <w:rFonts w:eastAsiaTheme="minorHAnsi"/>
      <w:lang w:eastAsia="en-US"/>
    </w:rPr>
  </w:style>
  <w:style w:type="character" w:styleId="FootnoteReference">
    <w:name w:val="footnote reference"/>
    <w:basedOn w:val="DefaultParagraphFont"/>
    <w:uiPriority w:val="99"/>
    <w:unhideWhenUsed/>
    <w:rsid w:val="008200DF"/>
    <w:rPr>
      <w:shd w:val="clear" w:color="auto" w:fill="auto"/>
      <w:vertAlign w:val="superscript"/>
    </w:rPr>
  </w:style>
  <w:style w:type="paragraph" w:customStyle="1" w:styleId="Normal24a">
    <w:name w:val="Normal24a"/>
    <w:basedOn w:val="Normal"/>
    <w:rsid w:val="00AF66BC"/>
    <w:pPr>
      <w:spacing w:after="480"/>
    </w:pPr>
  </w:style>
  <w:style w:type="paragraph" w:customStyle="1" w:styleId="NormalBoldCenter">
    <w:name w:val="NormalBoldCenter"/>
    <w:basedOn w:val="Normal"/>
    <w:rsid w:val="00AF66BC"/>
    <w:pPr>
      <w:jc w:val="center"/>
    </w:pPr>
    <w:rPr>
      <w:b/>
    </w:rPr>
  </w:style>
  <w:style w:type="paragraph" w:styleId="NormalWeb">
    <w:name w:val="Normal (Web)"/>
    <w:basedOn w:val="Normal"/>
    <w:uiPriority w:val="99"/>
    <w:unhideWhenUsed/>
    <w:rsid w:val="00E726D9"/>
    <w:pPr>
      <w:widowControl/>
      <w:spacing w:before="100" w:beforeAutospacing="1" w:after="100" w:afterAutospacing="1"/>
    </w:pPr>
    <w:rPr>
      <w:szCs w:val="24"/>
    </w:rPr>
  </w:style>
  <w:style w:type="paragraph" w:customStyle="1" w:styleId="Normal6">
    <w:name w:val="Normal6"/>
    <w:basedOn w:val="Normal"/>
    <w:link w:val="Normal6Char"/>
    <w:rsid w:val="00DA6E19"/>
    <w:pPr>
      <w:spacing w:after="120"/>
    </w:pPr>
  </w:style>
  <w:style w:type="paragraph" w:customStyle="1" w:styleId="Normal12Italic">
    <w:name w:val="Normal12Italic"/>
    <w:basedOn w:val="Normal"/>
    <w:rsid w:val="00DA6E19"/>
    <w:pPr>
      <w:spacing w:after="240"/>
    </w:pPr>
    <w:rPr>
      <w:i/>
      <w:noProof/>
    </w:rPr>
  </w:style>
  <w:style w:type="character" w:customStyle="1" w:styleId="NormalBoldChar">
    <w:name w:val="NormalBold Char"/>
    <w:basedOn w:val="DefaultParagraphFont"/>
    <w:link w:val="NormalBold"/>
    <w:rsid w:val="00DA6E19"/>
    <w:rPr>
      <w:b/>
      <w:sz w:val="24"/>
    </w:rPr>
  </w:style>
  <w:style w:type="paragraph" w:customStyle="1" w:styleId="JustificationTitle">
    <w:name w:val="JustificationTitle"/>
    <w:basedOn w:val="Normal"/>
    <w:next w:val="Normal"/>
    <w:rsid w:val="00DA6E19"/>
    <w:pPr>
      <w:keepNext/>
      <w:spacing w:before="240" w:after="240"/>
      <w:jc w:val="center"/>
    </w:pPr>
    <w:rPr>
      <w:i/>
      <w:noProof/>
    </w:rPr>
  </w:style>
  <w:style w:type="character" w:customStyle="1" w:styleId="Normal6Char">
    <w:name w:val="Normal6 Char"/>
    <w:basedOn w:val="DefaultParagraphFont"/>
    <w:link w:val="Normal6"/>
    <w:rsid w:val="00DA6E19"/>
    <w:rPr>
      <w:sz w:val="24"/>
      <w:lang w:val="sk-SK"/>
    </w:rPr>
  </w:style>
  <w:style w:type="paragraph" w:customStyle="1" w:styleId="ColumnHeading">
    <w:name w:val="ColumnHeading"/>
    <w:basedOn w:val="Normal"/>
    <w:rsid w:val="00DA6E19"/>
    <w:pPr>
      <w:spacing w:after="240"/>
      <w:jc w:val="center"/>
    </w:pPr>
    <w:rPr>
      <w:i/>
    </w:rPr>
  </w:style>
  <w:style w:type="paragraph" w:customStyle="1" w:styleId="AMNumberTabs0">
    <w:name w:val="AMNumberTabs"/>
    <w:basedOn w:val="Normal"/>
    <w:rsid w:val="00DA6E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6E19"/>
    <w:pPr>
      <w:jc w:val="right"/>
    </w:pPr>
  </w:style>
  <w:style w:type="paragraph" w:styleId="Footer">
    <w:name w:val="footer"/>
    <w:basedOn w:val="Normal"/>
    <w:link w:val="FooterChar"/>
    <w:semiHidden/>
    <w:rsid w:val="009625D7"/>
    <w:pPr>
      <w:tabs>
        <w:tab w:val="center" w:pos="4513"/>
        <w:tab w:val="right" w:pos="9026"/>
      </w:tabs>
    </w:pPr>
  </w:style>
  <w:style w:type="character" w:customStyle="1" w:styleId="FooterChar">
    <w:name w:val="Footer Char"/>
    <w:basedOn w:val="DefaultParagraphFont"/>
    <w:link w:val="Footer"/>
    <w:semiHidden/>
    <w:rsid w:val="009625D7"/>
    <w:rPr>
      <w:sz w:val="24"/>
    </w:rPr>
  </w:style>
  <w:style w:type="paragraph" w:styleId="BalloonText">
    <w:name w:val="Balloon Text"/>
    <w:basedOn w:val="Normal"/>
    <w:link w:val="BalloonTextChar"/>
    <w:semiHidden/>
    <w:unhideWhenUsed/>
    <w:rsid w:val="006A2F7C"/>
    <w:rPr>
      <w:rFonts w:ascii="Segoe UI" w:hAnsi="Segoe UI" w:cs="Segoe UI"/>
      <w:sz w:val="18"/>
      <w:szCs w:val="18"/>
    </w:rPr>
  </w:style>
  <w:style w:type="character" w:customStyle="1" w:styleId="BalloonTextChar">
    <w:name w:val="Balloon Text Char"/>
    <w:basedOn w:val="DefaultParagraphFont"/>
    <w:link w:val="BalloonText"/>
    <w:semiHidden/>
    <w:rsid w:val="006A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393EC-19AF-4647-83F8-FB28DDD26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2609</Words>
  <Characters>16127</Characters>
  <Application>Microsoft Office Word</Application>
  <DocSecurity>0</DocSecurity>
  <Lines>474</Lines>
  <Paragraphs>165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FERNANDEZ PLAZA Remedios</dc:creator>
  <cp:lastModifiedBy>KNOLLOVA Maria</cp:lastModifiedBy>
  <cp:revision>2</cp:revision>
  <cp:lastPrinted>2004-11-04T09:41:00Z</cp:lastPrinted>
  <dcterms:created xsi:type="dcterms:W3CDTF">2024-02-29T10:17:00Z</dcterms:created>
  <dcterms:modified xsi:type="dcterms:W3CDTF">2024-02-29T10:17:00Z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1296979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[20240120]</vt:lpwstr>
  </property>
  <property fmtid="{D5CDD505-2E9C-101B-9397-08002B2CF9AE}" pid="9" name="FooterPath">
    <vt:lpwstr>PR\1296979SK.docx</vt:lpwstr>
  </property>
  <property fmtid="{D5CDD505-2E9C-101B-9397-08002B2CF9AE}" pid="10" name="LastEdited with">
    <vt:lpwstr>9.17.1 Build [20240120]</vt:lpwstr>
  </property>
  <property fmtid="{D5CDD505-2E9C-101B-9397-08002B2CF9AE}" pid="11" name="PE number">
    <vt:lpwstr>759.070</vt:lpwstr>
  </property>
  <property fmtid="{D5CDD505-2E9C-101B-9397-08002B2CF9AE}" pid="12" name="SDLStudio">
    <vt:lpwstr/>
  </property>
  <property fmtid="{D5CDD505-2E9C-101B-9397-08002B2CF9AE}" pid="13" name="SendToEpades">
    <vt:lpwstr>OK(TC/TCON) - 2024/02/19 12:47</vt:lpwstr>
  </property>
  <property fmtid="{D5CDD505-2E9C-101B-9397-08002B2CF9AE}" pid="14" name="Bookout">
    <vt:lpwstr>OK - 2024/02/29 11:16</vt:lpwstr>
  </property>
</Properties>
</file>