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723CC" w:rsidRPr="00B4723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B47233" w:rsidRDefault="00380913" w:rsidP="00C85D0F">
            <w:pPr>
              <w:pStyle w:val="EPName"/>
            </w:pPr>
            <w:r w:rsidRPr="00B47233">
              <w:t>Европейски парламент</w:t>
            </w:r>
          </w:p>
          <w:p w:rsidR="008B5034" w:rsidRPr="00B47233" w:rsidRDefault="00380913" w:rsidP="00A83E46">
            <w:pPr>
              <w:pStyle w:val="EPTerm"/>
            </w:pPr>
            <w:r w:rsidRPr="00B4723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B47233" w:rsidRDefault="00380913" w:rsidP="00C85D0F">
            <w:pPr>
              <w:pStyle w:val="EPLogo"/>
            </w:pPr>
            <w:r w:rsidRPr="00B4723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B47233" w:rsidRDefault="00C71A3C" w:rsidP="00C71A3C">
      <w:pPr>
        <w:pStyle w:val="LineTop"/>
      </w:pPr>
    </w:p>
    <w:p w:rsidR="00C71A3C" w:rsidRPr="00B47233" w:rsidRDefault="00380913" w:rsidP="00C71A3C">
      <w:pPr>
        <w:pStyle w:val="EPBody"/>
      </w:pPr>
      <w:r w:rsidRPr="00B47233">
        <w:rPr>
          <w:rStyle w:val="HideTWBExt"/>
        </w:rPr>
        <w:t>&lt;</w:t>
      </w:r>
      <w:r w:rsidRPr="00B47233">
        <w:rPr>
          <w:rStyle w:val="HideTWBExt"/>
          <w:i w:val="0"/>
        </w:rPr>
        <w:t>Commission</w:t>
      </w:r>
      <w:r w:rsidRPr="00B47233">
        <w:rPr>
          <w:rStyle w:val="HideTWBExt"/>
        </w:rPr>
        <w:t>&gt;</w:t>
      </w:r>
      <w:r w:rsidRPr="00B47233">
        <w:rPr>
          <w:rStyle w:val="HideTWBInt"/>
          <w:color w:val="auto"/>
        </w:rPr>
        <w:t>{LIBE}</w:t>
      </w:r>
      <w:r w:rsidRPr="00B47233">
        <w:t>Комисия по граждански свободи, правосъдие и вътрешни работи</w:t>
      </w:r>
      <w:r w:rsidRPr="00B47233">
        <w:rPr>
          <w:rStyle w:val="HideTWBExt"/>
        </w:rPr>
        <w:t>&lt;/</w:t>
      </w:r>
      <w:r w:rsidRPr="00B47233">
        <w:rPr>
          <w:rStyle w:val="HideTWBExt"/>
          <w:i w:val="0"/>
        </w:rPr>
        <w:t>Commission</w:t>
      </w:r>
      <w:r w:rsidRPr="00B47233">
        <w:rPr>
          <w:rStyle w:val="HideTWBExt"/>
        </w:rPr>
        <w:t>&gt;</w:t>
      </w:r>
    </w:p>
    <w:p w:rsidR="00C71A3C" w:rsidRPr="00B47233" w:rsidRDefault="00C71A3C" w:rsidP="00C71A3C">
      <w:pPr>
        <w:pStyle w:val="LineBottom"/>
      </w:pPr>
    </w:p>
    <w:p w:rsidR="00ED0821" w:rsidRPr="00B47233" w:rsidRDefault="00380913">
      <w:pPr>
        <w:pStyle w:val="CoverReference"/>
      </w:pPr>
      <w:r w:rsidRPr="00B47233">
        <w:rPr>
          <w:rStyle w:val="HideTWBExt"/>
          <w:b w:val="0"/>
        </w:rPr>
        <w:t>&lt;RefProc&gt;</w:t>
      </w:r>
      <w:r w:rsidRPr="00B47233">
        <w:t>2023/0418</w:t>
      </w:r>
      <w:r w:rsidRPr="00B47233">
        <w:rPr>
          <w:rStyle w:val="HideTWBExt"/>
          <w:b w:val="0"/>
        </w:rPr>
        <w:t>&lt;/RefProc&gt;&lt;RefTypeProc&gt;</w:t>
      </w:r>
      <w:r w:rsidRPr="00B47233">
        <w:t>(COD)</w:t>
      </w:r>
      <w:r w:rsidRPr="00B47233">
        <w:rPr>
          <w:rStyle w:val="HideTWBExt"/>
          <w:b w:val="0"/>
        </w:rPr>
        <w:t>&lt;/RefTypeProc&gt;</w:t>
      </w:r>
    </w:p>
    <w:p w:rsidR="00ED0821" w:rsidRPr="00B47233" w:rsidRDefault="00380913">
      <w:pPr>
        <w:pStyle w:val="CoverDate"/>
      </w:pPr>
      <w:r w:rsidRPr="00B47233">
        <w:rPr>
          <w:rStyle w:val="HideTWBExt"/>
        </w:rPr>
        <w:t>&lt;Date&gt;</w:t>
      </w:r>
      <w:r w:rsidRPr="00B47233">
        <w:rPr>
          <w:rStyle w:val="HideTWBInt"/>
          <w:color w:val="auto"/>
        </w:rPr>
        <w:t>{05/03/2024}</w:t>
      </w:r>
      <w:r w:rsidRPr="00B47233">
        <w:t>5.3.2024</w:t>
      </w:r>
      <w:r w:rsidRPr="00B47233">
        <w:rPr>
          <w:rStyle w:val="HideTWBExt"/>
        </w:rPr>
        <w:t>&lt;/Date&gt;</w:t>
      </w:r>
    </w:p>
    <w:p w:rsidR="00ED0821" w:rsidRPr="00B47233" w:rsidRDefault="00380913">
      <w:pPr>
        <w:pStyle w:val="CoverDocType"/>
      </w:pPr>
      <w:r w:rsidRPr="00B47233">
        <w:rPr>
          <w:rStyle w:val="HideTWBExt"/>
          <w:b w:val="0"/>
        </w:rPr>
        <w:t>&lt;RefProcLect&gt;</w:t>
      </w:r>
      <w:r w:rsidRPr="00B47233">
        <w:t>***I</w:t>
      </w:r>
      <w:r w:rsidRPr="00B47233">
        <w:rPr>
          <w:rStyle w:val="HideTWBExt"/>
          <w:b w:val="0"/>
        </w:rPr>
        <w:t>&lt;/RefProcLect&gt;</w:t>
      </w:r>
    </w:p>
    <w:p w:rsidR="00ED0821" w:rsidRPr="00B47233" w:rsidRDefault="00380913">
      <w:pPr>
        <w:pStyle w:val="CoverDocType24a"/>
      </w:pPr>
      <w:r w:rsidRPr="00B47233">
        <w:rPr>
          <w:rStyle w:val="HideTWBExt"/>
          <w:b w:val="0"/>
        </w:rPr>
        <w:t>&lt;TitreType&gt;</w:t>
      </w:r>
      <w:r w:rsidRPr="00B47233">
        <w:t>ПРОЕКТ НА ДОКЛАД</w:t>
      </w:r>
      <w:r w:rsidRPr="00B47233">
        <w:rPr>
          <w:rStyle w:val="HideTWBExt"/>
          <w:b w:val="0"/>
        </w:rPr>
        <w:t>&lt;/TitreType&gt;</w:t>
      </w:r>
    </w:p>
    <w:p w:rsidR="00ED0821" w:rsidRPr="00B47233" w:rsidRDefault="00380913">
      <w:pPr>
        <w:pStyle w:val="CoverNormal"/>
      </w:pPr>
      <w:r w:rsidRPr="00B47233">
        <w:rPr>
          <w:rStyle w:val="HideTWBExt"/>
        </w:rPr>
        <w:t>&lt;Titre&gt;</w:t>
      </w:r>
      <w:r w:rsidRPr="00B47233">
        <w:t>относно предложението за регламент на Европейския парламент и на Съвета за изменение на Регламент (ЕС) 2018/1806 по отношение на притежателите на сръбски паспорти, издадени от сръбския координационен отдел (на</w:t>
      </w:r>
      <w:r w:rsidRPr="00B47233">
        <w:t xml:space="preserve"> сръбски: Координациона управа)</w:t>
      </w:r>
      <w:r w:rsidRPr="00B47233">
        <w:rPr>
          <w:rStyle w:val="HideTWBExt"/>
        </w:rPr>
        <w:t>&lt;/Titre&gt;</w:t>
      </w:r>
    </w:p>
    <w:p w:rsidR="00ED0821" w:rsidRPr="00B47233" w:rsidRDefault="00380913">
      <w:pPr>
        <w:pStyle w:val="CoverNormal24a"/>
      </w:pPr>
      <w:r w:rsidRPr="00B47233">
        <w:rPr>
          <w:rStyle w:val="HideTWBExt"/>
        </w:rPr>
        <w:t>&lt;DocRef&gt;</w:t>
      </w:r>
      <w:r w:rsidRPr="00B47233">
        <w:t>(COM(2023)0733 – C9</w:t>
      </w:r>
      <w:r w:rsidRPr="00B47233">
        <w:noBreakHyphen/>
        <w:t>0412/2023 – 2023/0418(COD))</w:t>
      </w:r>
      <w:r w:rsidRPr="00B47233">
        <w:rPr>
          <w:rStyle w:val="HideTWBExt"/>
        </w:rPr>
        <w:t>&lt;/DocRef&gt;</w:t>
      </w:r>
    </w:p>
    <w:p w:rsidR="00ED0821" w:rsidRPr="00B47233" w:rsidRDefault="00380913">
      <w:pPr>
        <w:pStyle w:val="CoverNormal24a"/>
      </w:pPr>
      <w:r w:rsidRPr="00B47233">
        <w:rPr>
          <w:rStyle w:val="HideTWBExt"/>
        </w:rPr>
        <w:t>&lt;Commission&gt;</w:t>
      </w:r>
      <w:r w:rsidRPr="00B47233">
        <w:rPr>
          <w:rStyle w:val="HideTWBInt"/>
          <w:color w:val="auto"/>
        </w:rPr>
        <w:t>{LIBE}</w:t>
      </w:r>
      <w:r w:rsidRPr="00B47233">
        <w:t>Комисия по граждански свободи, правосъдие и вътрешни работи</w:t>
      </w:r>
      <w:r w:rsidRPr="00B47233">
        <w:rPr>
          <w:rStyle w:val="HideTWBExt"/>
        </w:rPr>
        <w:t>&lt;/Commission&gt;</w:t>
      </w:r>
    </w:p>
    <w:p w:rsidR="00ED0821" w:rsidRPr="00B47233" w:rsidRDefault="00380913">
      <w:pPr>
        <w:pStyle w:val="CoverNormal24a"/>
      </w:pPr>
      <w:r w:rsidRPr="00B47233">
        <w:t xml:space="preserve">Докладчик: </w:t>
      </w:r>
      <w:r w:rsidRPr="00B47233">
        <w:rPr>
          <w:rStyle w:val="HideTWBExt"/>
        </w:rPr>
        <w:t>&lt;Depute&gt;</w:t>
      </w:r>
      <w:r w:rsidRPr="00B47233">
        <w:t>Матяж Немец</w:t>
      </w:r>
      <w:r w:rsidRPr="00B47233">
        <w:rPr>
          <w:rStyle w:val="HideTWBExt"/>
        </w:rPr>
        <w:t>&lt;/Depute&gt;</w:t>
      </w:r>
    </w:p>
    <w:p w:rsidR="00BE4EC7" w:rsidRPr="00B47233" w:rsidRDefault="00BE4EC7" w:rsidP="00BE4EC7">
      <w:pPr>
        <w:pStyle w:val="CoverNormal"/>
      </w:pPr>
    </w:p>
    <w:p w:rsidR="00A83E46" w:rsidRPr="00B47233" w:rsidRDefault="00380913" w:rsidP="00894923">
      <w:r w:rsidRPr="00B47233">
        <w:br w:type="page"/>
      </w:r>
      <w:r w:rsidRPr="00B47233">
        <w:lastRenderedPageBreak/>
        <w:fldChar w:fldCharType="begin"/>
      </w:r>
      <w:r w:rsidRPr="00B47233">
        <w:instrText xml:space="preserve"> TITLE  \* MERGEFORMAT </w:instrText>
      </w:r>
      <w:r w:rsidRPr="00B47233">
        <w:fldChar w:fldCharType="separate"/>
      </w:r>
      <w:r>
        <w:t>PR_COD_1app</w:t>
      </w:r>
      <w:r w:rsidRPr="00B47233">
        <w:fldChar w:fldCharType="end"/>
      </w:r>
    </w:p>
    <w:p w:rsidR="00A83E46" w:rsidRPr="00B47233" w:rsidRDefault="00A83E46" w:rsidP="00894923"/>
    <w:p w:rsidR="00A83E46" w:rsidRPr="00B47233" w:rsidRDefault="00A83E46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723CC" w:rsidRPr="00B47233">
        <w:tc>
          <w:tcPr>
            <w:tcW w:w="5811" w:type="dxa"/>
          </w:tcPr>
          <w:p w:rsidR="00A83E46" w:rsidRPr="00B47233" w:rsidRDefault="00380913" w:rsidP="00894923">
            <w:pPr>
              <w:pStyle w:val="Lgendetitre"/>
            </w:pPr>
            <w:r w:rsidRPr="00B47233">
              <w:t>Легенда на използваните знаци</w:t>
            </w:r>
          </w:p>
        </w:tc>
      </w:tr>
      <w:tr w:rsidR="004723CC" w:rsidRPr="00B47233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83E46" w:rsidRPr="00B47233" w:rsidRDefault="00380913" w:rsidP="003506ED">
            <w:pPr>
              <w:pStyle w:val="Lgendesigne"/>
            </w:pPr>
            <w:r w:rsidRPr="00B47233">
              <w:tab/>
              <w:t>*</w:t>
            </w:r>
            <w:r w:rsidRPr="00B47233">
              <w:tab/>
              <w:t>Процедура на консултация</w:t>
            </w:r>
          </w:p>
          <w:p w:rsidR="00A83E46" w:rsidRPr="00B47233" w:rsidRDefault="00380913" w:rsidP="003506ED">
            <w:pPr>
              <w:pStyle w:val="Lgendesigne"/>
            </w:pPr>
            <w:r w:rsidRPr="00B47233">
              <w:tab/>
              <w:t>***</w:t>
            </w:r>
            <w:r w:rsidRPr="00B47233">
              <w:tab/>
              <w:t>Процедура на одобрение</w:t>
            </w:r>
          </w:p>
          <w:p w:rsidR="00A83E46" w:rsidRPr="00B47233" w:rsidRDefault="00380913" w:rsidP="003506ED">
            <w:pPr>
              <w:pStyle w:val="Lgendesigne"/>
            </w:pPr>
            <w:r w:rsidRPr="00B47233">
              <w:tab/>
              <w:t>***I</w:t>
            </w:r>
            <w:r w:rsidRPr="00B47233">
              <w:tab/>
              <w:t>Обикновена законодателна процедура (първо четене)</w:t>
            </w:r>
          </w:p>
          <w:p w:rsidR="00A83E46" w:rsidRPr="00B47233" w:rsidRDefault="00380913" w:rsidP="003506ED">
            <w:pPr>
              <w:pStyle w:val="Lgendesigne"/>
            </w:pPr>
            <w:r w:rsidRPr="00B47233">
              <w:tab/>
              <w:t>***II</w:t>
            </w:r>
            <w:r w:rsidRPr="00B47233">
              <w:tab/>
              <w:t>Обикновена законодателна процедура (второ четене)</w:t>
            </w:r>
          </w:p>
          <w:p w:rsidR="00A83E46" w:rsidRPr="00B47233" w:rsidRDefault="00380913" w:rsidP="003506ED">
            <w:pPr>
              <w:pStyle w:val="Lgendesigne"/>
            </w:pPr>
            <w:r w:rsidRPr="00B47233">
              <w:tab/>
              <w:t>***III</w:t>
            </w:r>
            <w:r w:rsidRPr="00B47233">
              <w:tab/>
            </w:r>
            <w:r w:rsidRPr="00B47233">
              <w:t>Обикновена законодателна процедура (трето четене)</w:t>
            </w:r>
          </w:p>
          <w:p w:rsidR="00A83E46" w:rsidRPr="00B47233" w:rsidRDefault="00A83E46" w:rsidP="003506ED">
            <w:pPr>
              <w:pStyle w:val="Lgendestandard"/>
            </w:pPr>
          </w:p>
          <w:p w:rsidR="00A83E46" w:rsidRPr="00B47233" w:rsidRDefault="00380913" w:rsidP="003506ED">
            <w:pPr>
              <w:pStyle w:val="Lgendestandard"/>
            </w:pPr>
            <w:r w:rsidRPr="00B47233">
              <w:t>(Посочената процедура се базира на правното основание, предложено в проекта на акт.)</w:t>
            </w:r>
          </w:p>
          <w:p w:rsidR="00A83E46" w:rsidRPr="00B47233" w:rsidRDefault="00A83E46" w:rsidP="00B54EAF">
            <w:pPr>
              <w:pStyle w:val="Lgendestandard"/>
            </w:pPr>
          </w:p>
        </w:tc>
      </w:tr>
    </w:tbl>
    <w:p w:rsidR="00A83E46" w:rsidRPr="00B47233" w:rsidRDefault="00A83E46" w:rsidP="00894923"/>
    <w:p w:rsidR="00A83E46" w:rsidRPr="00B47233" w:rsidRDefault="00A83E46" w:rsidP="00894923"/>
    <w:p w:rsidR="00A83E46" w:rsidRPr="00B47233" w:rsidRDefault="00A83E46" w:rsidP="00894923"/>
    <w:p w:rsidR="00A83E46" w:rsidRPr="00B47233" w:rsidRDefault="00A83E46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723CC" w:rsidRPr="00B47233">
        <w:tc>
          <w:tcPr>
            <w:tcW w:w="5811" w:type="dxa"/>
          </w:tcPr>
          <w:p w:rsidR="00A83E46" w:rsidRPr="00B47233" w:rsidRDefault="00380913" w:rsidP="00894923">
            <w:pPr>
              <w:pStyle w:val="Lgendetitre"/>
            </w:pPr>
            <w:r w:rsidRPr="00B47233">
              <w:t>Изменения към проект на акт</w:t>
            </w:r>
          </w:p>
        </w:tc>
      </w:tr>
      <w:tr w:rsidR="004723CC" w:rsidRPr="00B47233" w:rsidTr="00554250">
        <w:trPr>
          <w:trHeight w:val="4496"/>
        </w:trPr>
        <w:tc>
          <w:tcPr>
            <w:tcW w:w="5811" w:type="dxa"/>
          </w:tcPr>
          <w:p w:rsidR="00A83E46" w:rsidRPr="00B47233" w:rsidRDefault="00380913" w:rsidP="003506ED">
            <w:pPr>
              <w:pStyle w:val="Lgendestandard"/>
              <w:rPr>
                <w:szCs w:val="24"/>
              </w:rPr>
            </w:pPr>
            <w:r w:rsidRPr="00B47233">
              <w:rPr>
                <w:b/>
              </w:rPr>
              <w:t>Изменения в две колони, внесени от Парламента</w:t>
            </w:r>
          </w:p>
          <w:p w:rsidR="00A83E46" w:rsidRPr="00B47233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B47233" w:rsidRDefault="00380913" w:rsidP="003506ED">
            <w:pPr>
              <w:pStyle w:val="Lgendestandard"/>
              <w:rPr>
                <w:szCs w:val="24"/>
              </w:rPr>
            </w:pPr>
            <w:r w:rsidRPr="00B47233">
              <w:t xml:space="preserve">Заличаванията се обозначават с </w:t>
            </w:r>
            <w:r w:rsidRPr="00B47233">
              <w:rPr>
                <w:b/>
                <w:bCs/>
                <w:i/>
                <w:iCs/>
              </w:rPr>
              <w:t>получер</w:t>
            </w:r>
            <w:r w:rsidRPr="00B47233">
              <w:rPr>
                <w:b/>
                <w:bCs/>
                <w:i/>
                <w:iCs/>
              </w:rPr>
              <w:t xml:space="preserve"> курсив</w:t>
            </w:r>
            <w:r w:rsidRPr="00B47233">
              <w:t xml:space="preserve"> в лявата колона. Заместванията се обозначават с </w:t>
            </w:r>
            <w:r w:rsidRPr="00B47233">
              <w:rPr>
                <w:b/>
                <w:bCs/>
                <w:i/>
                <w:iCs/>
              </w:rPr>
              <w:t>получер курсив</w:t>
            </w:r>
            <w:r w:rsidRPr="00B47233">
              <w:t xml:space="preserve"> в двете колони. Новият текст се обозначава с </w:t>
            </w:r>
            <w:r w:rsidRPr="00B47233">
              <w:rPr>
                <w:b/>
                <w:bCs/>
                <w:i/>
                <w:iCs/>
              </w:rPr>
              <w:t>получер курсив</w:t>
            </w:r>
            <w:r w:rsidRPr="00B47233">
              <w:t xml:space="preserve"> в дясната колона.</w:t>
            </w:r>
          </w:p>
          <w:p w:rsidR="00A83E46" w:rsidRPr="00B47233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B47233" w:rsidRDefault="00380913" w:rsidP="003506ED">
            <w:pPr>
              <w:pStyle w:val="Lgendestandard"/>
              <w:rPr>
                <w:szCs w:val="24"/>
              </w:rPr>
            </w:pPr>
            <w:r w:rsidRPr="00B47233">
              <w:t>В първия и втория ред на антетката на всяко изменение се посочва съответната част от текста в разглеждания</w:t>
            </w:r>
            <w:r w:rsidRPr="00B47233">
              <w:t xml:space="preserve"> проект на акт. Ако изменението се отнася до съществуващ акт, който проектът на акт има за цел да измени, антетката съдържа и трети и четвърти ред, където се посочват съответно съществуващият акт и съответната разпоредба от него.</w:t>
            </w:r>
          </w:p>
          <w:p w:rsidR="00A83E46" w:rsidRPr="00B47233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B47233" w:rsidRDefault="00380913" w:rsidP="003506ED">
            <w:pPr>
              <w:pStyle w:val="Lgendestandard"/>
              <w:rPr>
                <w:b/>
                <w:szCs w:val="24"/>
              </w:rPr>
            </w:pPr>
            <w:r w:rsidRPr="00B47233">
              <w:rPr>
                <w:b/>
              </w:rPr>
              <w:t>Изменения, внесени от Пар</w:t>
            </w:r>
            <w:r w:rsidRPr="00B47233">
              <w:rPr>
                <w:b/>
              </w:rPr>
              <w:t>ламента под формата на консолидиран текст</w:t>
            </w:r>
          </w:p>
          <w:p w:rsidR="00A83E46" w:rsidRPr="00B47233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B47233" w:rsidRDefault="00380913" w:rsidP="003506ED">
            <w:pPr>
              <w:pStyle w:val="Lgendestandard"/>
              <w:rPr>
                <w:szCs w:val="24"/>
              </w:rPr>
            </w:pPr>
            <w:r w:rsidRPr="00B47233">
              <w:t xml:space="preserve">Новите части от текста се посочват с </w:t>
            </w:r>
            <w:r w:rsidRPr="00B47233">
              <w:rPr>
                <w:b/>
                <w:bCs/>
                <w:i/>
                <w:iCs/>
              </w:rPr>
              <w:t>получер курсив</w:t>
            </w:r>
            <w:r w:rsidRPr="00B47233">
              <w:t xml:space="preserve">. Заличените части от текста се посочват със символа ▌ или се зачеркват. Заместванията се обозначават, като се посочва с </w:t>
            </w:r>
            <w:r w:rsidRPr="00B47233">
              <w:rPr>
                <w:b/>
                <w:bCs/>
                <w:i/>
                <w:iCs/>
              </w:rPr>
              <w:t>получер курсив</w:t>
            </w:r>
            <w:r w:rsidRPr="00B47233">
              <w:t xml:space="preserve"> новият текст и се заличава</w:t>
            </w:r>
            <w:r w:rsidRPr="00B47233">
              <w:t xml:space="preserve"> или зачерква заместваният текст. </w:t>
            </w:r>
          </w:p>
          <w:p w:rsidR="00A83E46" w:rsidRPr="00B47233" w:rsidRDefault="00380913" w:rsidP="003506ED">
            <w:pPr>
              <w:pStyle w:val="Lgendestandard"/>
            </w:pPr>
            <w:r w:rsidRPr="00B47233">
              <w:t>По изключение не се отбелязват измененията с чисто техническо естество, които се нанасят от службите с оглед изготвянето на окончателния текст.</w:t>
            </w:r>
          </w:p>
          <w:p w:rsidR="00A83E46" w:rsidRPr="00B47233" w:rsidRDefault="00A83E46" w:rsidP="0069092A">
            <w:pPr>
              <w:pStyle w:val="Lgendestandard"/>
            </w:pPr>
          </w:p>
        </w:tc>
      </w:tr>
    </w:tbl>
    <w:p w:rsidR="00A83E46" w:rsidRPr="00B47233" w:rsidRDefault="00A83E46" w:rsidP="00894923"/>
    <w:p w:rsidR="00ED0821" w:rsidRPr="00B47233" w:rsidRDefault="00ED0821" w:rsidP="00053B97">
      <w:pPr>
        <w:widowControl/>
        <w:tabs>
          <w:tab w:val="center" w:pos="4677"/>
        </w:tabs>
      </w:pPr>
    </w:p>
    <w:p w:rsidR="00ED0821" w:rsidRPr="00B47233" w:rsidRDefault="00380913">
      <w:pPr>
        <w:pStyle w:val="TOCHeading"/>
      </w:pPr>
      <w:r w:rsidRPr="00B47233">
        <w:br w:type="page"/>
      </w:r>
      <w:r w:rsidRPr="00B47233">
        <w:lastRenderedPageBreak/>
        <w:t>СЪДЪРЖАНИЕ</w:t>
      </w:r>
    </w:p>
    <w:p w:rsidR="00ED0821" w:rsidRPr="00B47233" w:rsidRDefault="00380913">
      <w:pPr>
        <w:pStyle w:val="TOCPage"/>
      </w:pPr>
      <w:r w:rsidRPr="00B47233">
        <w:t>Страница</w:t>
      </w:r>
    </w:p>
    <w:p w:rsidR="00380913" w:rsidRDefault="0038091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B47233">
        <w:rPr>
          <w:b/>
        </w:rPr>
        <w:fldChar w:fldCharType="begin"/>
      </w:r>
      <w:r w:rsidRPr="00B47233">
        <w:rPr>
          <w:b/>
        </w:rPr>
        <w:instrText xml:space="preserve"> TOC \t "PageHeading</w:instrText>
      </w:r>
      <w:r w:rsidR="008927F6" w:rsidRPr="00B47233">
        <w:rPr>
          <w:b/>
        </w:rPr>
        <w:instrText>;</w:instrText>
      </w:r>
      <w:r w:rsidRPr="00B47233">
        <w:rPr>
          <w:b/>
        </w:rPr>
        <w:instrText xml:space="preserve">1" </w:instrText>
      </w:r>
      <w:r w:rsidRPr="00B47233">
        <w:rPr>
          <w:b/>
        </w:rPr>
        <w:fldChar w:fldCharType="separate"/>
      </w:r>
      <w:r>
        <w:rPr>
          <w:noProof/>
        </w:rPr>
        <w:t>ПРОЕКТ НА ЗАКОНОДАТЕЛНА РЕЗОЛЮЦИЯ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_Toc161243232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0913" w:rsidRDefault="0038091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ИЗЛОЖЕНИЕ НА МОТИВИТЕ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_Toc161243233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B47233" w:rsidRDefault="00380913" w:rsidP="008E4B14">
      <w:r w:rsidRPr="00B47233">
        <w:rPr>
          <w:b/>
        </w:rPr>
        <w:fldChar w:fldCharType="end"/>
      </w:r>
    </w:p>
    <w:p w:rsidR="00ED0821" w:rsidRPr="00B47233" w:rsidRDefault="00380913">
      <w:pPr>
        <w:pStyle w:val="PageHeading"/>
      </w:pPr>
      <w:r w:rsidRPr="00B47233">
        <w:br w:type="page"/>
      </w:r>
      <w:r w:rsidRPr="00B47233">
        <w:lastRenderedPageBreak/>
        <w:br w:type="page"/>
      </w:r>
      <w:bookmarkStart w:id="0" w:name="_Toc161243232"/>
      <w:r w:rsidRPr="00B47233">
        <w:lastRenderedPageBreak/>
        <w:t>ПРОЕКТ НА ЗАКОНОДАТЕЛНА РЕЗОЛЮЦИЯ НА ЕВРОПЕЙСКИЯ ПАРЛАМЕНТ</w:t>
      </w:r>
      <w:bookmarkEnd w:id="0"/>
    </w:p>
    <w:p w:rsidR="00ED0821" w:rsidRPr="00B47233" w:rsidRDefault="00380913">
      <w:pPr>
        <w:pStyle w:val="NormalBold"/>
      </w:pPr>
      <w:r w:rsidRPr="00B47233">
        <w:t xml:space="preserve">относно предложението за регламент на Европейския парламент и на Съвета за изменение на Регламент (ЕС) 2018/1806 по отношение </w:t>
      </w:r>
      <w:r w:rsidRPr="00B47233">
        <w:t>на притежателите на сръбски паспорти, издадени от сръбския координационен отдел (на сръбски: Координациона управа)</w:t>
      </w:r>
    </w:p>
    <w:p w:rsidR="00ED0821" w:rsidRPr="00B47233" w:rsidRDefault="00380913">
      <w:pPr>
        <w:pStyle w:val="NormalBold12a"/>
      </w:pPr>
      <w:r w:rsidRPr="00B47233">
        <w:t>(COM(2023)0733 – C9</w:t>
      </w:r>
      <w:r w:rsidRPr="00B47233">
        <w:noBreakHyphen/>
        <w:t>0412/2023 – 2023/0418(COD))</w:t>
      </w:r>
    </w:p>
    <w:p w:rsidR="00ED0821" w:rsidRPr="00B47233" w:rsidRDefault="00380913" w:rsidP="00837978">
      <w:pPr>
        <w:pStyle w:val="NormalBold"/>
      </w:pPr>
      <w:r w:rsidRPr="00B47233">
        <w:t>(Обикновена законодателна процедура: първо четене)</w:t>
      </w:r>
    </w:p>
    <w:p w:rsidR="00ED0821" w:rsidRPr="00B47233" w:rsidRDefault="00380913">
      <w:pPr>
        <w:pStyle w:val="EPComma"/>
      </w:pPr>
      <w:r w:rsidRPr="00B47233">
        <w:rPr>
          <w:i/>
          <w:iCs/>
        </w:rPr>
        <w:t>Европейският парламент</w:t>
      </w:r>
      <w:r w:rsidRPr="00B47233">
        <w:t>,</w:t>
      </w:r>
    </w:p>
    <w:p w:rsidR="00ED0821" w:rsidRPr="00B47233" w:rsidRDefault="00380913">
      <w:pPr>
        <w:pStyle w:val="NormalHanging12a"/>
      </w:pPr>
      <w:r w:rsidRPr="00B47233">
        <w:t>–</w:t>
      </w:r>
      <w:r w:rsidRPr="00B47233">
        <w:tab/>
        <w:t>като взе предвид</w:t>
      </w:r>
      <w:r w:rsidRPr="00B47233">
        <w:t xml:space="preserve"> предложението на Комисията до Европейския парламент и до Съвета (COM(2023)0733),</w:t>
      </w:r>
    </w:p>
    <w:p w:rsidR="00ED0821" w:rsidRPr="00B47233" w:rsidRDefault="00380913">
      <w:pPr>
        <w:pStyle w:val="NormalHanging12a"/>
      </w:pPr>
      <w:r w:rsidRPr="00B47233">
        <w:t>–</w:t>
      </w:r>
      <w:r w:rsidRPr="00B47233">
        <w:tab/>
        <w:t xml:space="preserve">като взе предвид член 294, параграф 2 и член 77, параграф 2, буква а) от Договора за функционирането на Европейския съюз, съгласно които Комисията е внесла предложението в </w:t>
      </w:r>
      <w:r w:rsidRPr="00B47233">
        <w:t>Парламента (C9</w:t>
      </w:r>
      <w:r w:rsidRPr="00B47233">
        <w:noBreakHyphen/>
        <w:t>0412/2023),</w:t>
      </w:r>
    </w:p>
    <w:p w:rsidR="00ED0609" w:rsidRPr="00B47233" w:rsidRDefault="00380913" w:rsidP="00ED0609">
      <w:pPr>
        <w:pStyle w:val="NormalHanging12a"/>
      </w:pPr>
      <w:r w:rsidRPr="00B47233">
        <w:t>–</w:t>
      </w:r>
      <w:r w:rsidRPr="00B47233">
        <w:tab/>
        <w:t>като взе предвид член 294, параграф 3 от Договора за функционирането на Европейския съюз,</w:t>
      </w:r>
    </w:p>
    <w:p w:rsidR="00ED0821" w:rsidRPr="00B47233" w:rsidRDefault="00380913">
      <w:pPr>
        <w:pStyle w:val="NormalHanging12a"/>
      </w:pPr>
      <w:r w:rsidRPr="00B47233">
        <w:t>–</w:t>
      </w:r>
      <w:r w:rsidRPr="00B47233">
        <w:tab/>
        <w:t>като взе предвид член 59 от своя Правилник за дейността,</w:t>
      </w:r>
    </w:p>
    <w:p w:rsidR="00DF6C13" w:rsidRPr="00B47233" w:rsidRDefault="00380913" w:rsidP="00DF6C13">
      <w:pPr>
        <w:pStyle w:val="NormalHanging12a"/>
      </w:pPr>
      <w:r w:rsidRPr="00B47233">
        <w:t>–</w:t>
      </w:r>
      <w:r w:rsidRPr="00B47233">
        <w:tab/>
        <w:t>като взе предвид доклада на комисията по граждански свободи, правосъдие и въ</w:t>
      </w:r>
      <w:r w:rsidRPr="00B47233">
        <w:t>трешни работи (A9</w:t>
      </w:r>
      <w:r w:rsidRPr="00B47233">
        <w:noBreakHyphen/>
        <w:t>0000/2024),</w:t>
      </w:r>
    </w:p>
    <w:p w:rsidR="00ED0821" w:rsidRPr="00B47233" w:rsidRDefault="00380913">
      <w:pPr>
        <w:pStyle w:val="NormalHanging12a"/>
      </w:pPr>
      <w:r w:rsidRPr="00B47233">
        <w:t>1.</w:t>
      </w:r>
      <w:r w:rsidRPr="00B47233">
        <w:tab/>
        <w:t>приема своята позиция на първо четене, която съвпада с предложението на Комисията;</w:t>
      </w:r>
    </w:p>
    <w:p w:rsidR="00ED0821" w:rsidRPr="00B47233" w:rsidRDefault="00380913">
      <w:pPr>
        <w:pStyle w:val="NormalHanging12a"/>
      </w:pPr>
      <w:r w:rsidRPr="00B47233">
        <w:t>2.</w:t>
      </w:r>
      <w:r w:rsidRPr="00B47233">
        <w:tab/>
        <w:t>приканва Комисията да се отнесе до него отново, в случай че замени своето предложение с друг текст или внесе или възнамерява да внесе същ</w:t>
      </w:r>
      <w:r w:rsidRPr="00B47233">
        <w:t>ествени промени в това предложение;</w:t>
      </w:r>
    </w:p>
    <w:p w:rsidR="00ED0821" w:rsidRPr="00B47233" w:rsidRDefault="00380913">
      <w:pPr>
        <w:pStyle w:val="NormalHanging12a"/>
      </w:pPr>
      <w:r w:rsidRPr="00B47233">
        <w:t>3.</w:t>
      </w:r>
      <w:r w:rsidRPr="00B47233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:rsidR="00321788" w:rsidRPr="00B47233" w:rsidRDefault="00321788" w:rsidP="002A1CE3">
      <w:pPr>
        <w:sectPr w:rsidR="00321788" w:rsidRPr="00B47233" w:rsidSect="00B472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A1CE3" w:rsidRPr="00B47233" w:rsidRDefault="00380913" w:rsidP="00321788">
      <w:pPr>
        <w:pStyle w:val="PageHeading"/>
      </w:pPr>
      <w:bookmarkStart w:id="1" w:name="_Toc161243233"/>
      <w:r w:rsidRPr="00B47233">
        <w:lastRenderedPageBreak/>
        <w:t>ИЗЛОЖЕНИЕ НА МОТИВИТЕ</w:t>
      </w:r>
      <w:bookmarkEnd w:id="1"/>
    </w:p>
    <w:p w:rsidR="00EC683F" w:rsidRPr="00B47233" w:rsidRDefault="00380913" w:rsidP="00EC683F">
      <w:pPr>
        <w:pStyle w:val="Body"/>
        <w:rPr>
          <w:sz w:val="22"/>
          <w:szCs w:val="22"/>
        </w:rPr>
      </w:pPr>
      <w:r w:rsidRPr="00B47233">
        <w:rPr>
          <w:b/>
        </w:rPr>
        <w:t>а. Обща информация</w:t>
      </w:r>
      <w:r w:rsidRPr="00B47233">
        <w:rPr>
          <w:sz w:val="22"/>
        </w:rPr>
        <w:t xml:space="preserve"> </w:t>
      </w:r>
    </w:p>
    <w:p w:rsidR="00EC683F" w:rsidRPr="00B47233" w:rsidRDefault="00EC683F" w:rsidP="00EC683F">
      <w:pPr>
        <w:pStyle w:val="Body"/>
      </w:pPr>
    </w:p>
    <w:p w:rsidR="00EC683F" w:rsidRPr="00B47233" w:rsidRDefault="00380913" w:rsidP="00EC683F">
      <w:pPr>
        <w:pStyle w:val="Body"/>
      </w:pPr>
      <w:r w:rsidRPr="00B47233">
        <w:t xml:space="preserve">На 16 ноември 2023 г. Комисията </w:t>
      </w:r>
      <w:r w:rsidRPr="00B47233">
        <w:t>представи предложение за регламент на Европейския парламент и на Съвета за изменение на Регламент (ЕС) 2018/1806 по отношение на притежателите на сръбски паспорти, издадени от сръбския координационен отдел (на сръбски: Координациона управа)</w:t>
      </w:r>
    </w:p>
    <w:p w:rsidR="00EC683F" w:rsidRPr="00B47233" w:rsidRDefault="00EC683F" w:rsidP="00EC683F">
      <w:pPr>
        <w:pStyle w:val="Body"/>
      </w:pPr>
    </w:p>
    <w:p w:rsidR="00EC683F" w:rsidRPr="00B47233" w:rsidRDefault="00380913" w:rsidP="00EC683F">
      <w:pPr>
        <w:pStyle w:val="Body"/>
        <w:spacing w:after="240"/>
      </w:pPr>
      <w:r w:rsidRPr="00B47233">
        <w:t>Според Комисия</w:t>
      </w:r>
      <w:r w:rsidRPr="00B47233">
        <w:t xml:space="preserve">та това изменение на Регламент (ЕС) 2018/1806 би позволило да се освободят притежателите на </w:t>
      </w:r>
      <w:bookmarkStart w:id="2" w:name="_Hlk148994817"/>
      <w:r w:rsidRPr="00B47233">
        <w:t>сръбски паспорти, издадени от сръбския координационен отдел,</w:t>
      </w:r>
      <w:bookmarkEnd w:id="2"/>
      <w:r w:rsidRPr="00B47233">
        <w:t xml:space="preserve"> от изискването за притежаване на виза при преминаване на външните граници на държавите членки при прест</w:t>
      </w:r>
      <w:r w:rsidRPr="00B47233">
        <w:t>ой от не повече от 90 дни в рамките на всеки 180-дневен период.</w:t>
      </w:r>
    </w:p>
    <w:p w:rsidR="00EC683F" w:rsidRPr="00B47233" w:rsidRDefault="00380913" w:rsidP="00EC683F">
      <w:pPr>
        <w:pStyle w:val="Body"/>
        <w:spacing w:after="240"/>
      </w:pPr>
      <w:r w:rsidRPr="00B47233">
        <w:t>През 2009 г. Косово беше включено в част 2 от приложение I към Регламент (ЕО) № 539/2001, което означава, че от притежателите на паспорти, издадени от Косово, се изисква да притежават виза, ко</w:t>
      </w:r>
      <w:r w:rsidRPr="00B47233">
        <w:t xml:space="preserve">гато преминават външните граници на държавите членки. Комисията започна диалог с Косово за либерализиране на визовия режим на 19 януари 2012 г. На 14 юни 2012 г. тя представи на Косово пътна карта, в която се посочват цялото законодателство и всички други </w:t>
      </w:r>
      <w:r w:rsidRPr="00B47233">
        <w:t>мерки, които Косово трябва да приеме и приложи, за да постигне напредък в посока към либерализиране на визовия режим. Този диалог приключи успешно и на 4 май 2016 г. Комисията представи предложение</w:t>
      </w:r>
      <w:r w:rsidRPr="00B47233">
        <w:rPr>
          <w:rStyle w:val="FootnoteReference"/>
        </w:rPr>
        <w:footnoteReference w:id="1"/>
      </w:r>
      <w:r w:rsidRPr="00B47233">
        <w:t xml:space="preserve"> за прехвърляне на Косово в приложение II към Регламент (Е</w:t>
      </w:r>
      <w:r w:rsidRPr="00B47233">
        <w:t>О) № 539/2001.</w:t>
      </w:r>
    </w:p>
    <w:p w:rsidR="00EC683F" w:rsidRPr="00B47233" w:rsidRDefault="00380913" w:rsidP="00EC683F">
      <w:pPr>
        <w:pStyle w:val="Body"/>
        <w:spacing w:after="240"/>
      </w:pPr>
      <w:r w:rsidRPr="00B47233">
        <w:t>Това предложение беше окончателно одобрено и прието на 19 април 2023 г. С Регламент (ЕС) 2023/850</w:t>
      </w:r>
      <w:r w:rsidRPr="00B47233">
        <w:rPr>
          <w:rStyle w:val="FootnoteReference"/>
        </w:rPr>
        <w:footnoteReference w:id="2"/>
      </w:r>
      <w:r w:rsidRPr="00B47233">
        <w:t xml:space="preserve"> беше изменен Регламент (ЕС) 2018/1806</w:t>
      </w:r>
      <w:r w:rsidRPr="00B47233">
        <w:rPr>
          <w:rStyle w:val="FootnoteReference"/>
        </w:rPr>
        <w:footnoteReference w:id="3"/>
      </w:r>
      <w:r w:rsidRPr="00B47233">
        <w:t xml:space="preserve"> (който междувременно замени Регламент (ЕО) № 539/2001), като Косово беше прехвърлено от част 2 от прило</w:t>
      </w:r>
      <w:r w:rsidRPr="00B47233">
        <w:t>жение I в част 4 от приложение II към посочения регламент. Както и при всички предишни успешно приключили диалози за либерализиране на визовия режим, беше решено, че освобождаването от изискването за виза следва да се прилага само за притежателите на биоме</w:t>
      </w:r>
      <w:r w:rsidRPr="00B47233">
        <w:t>трични паспорти. Освен това беше взето решение, че освобождаването не следва да се прилага преди датата, на която започне да функционира Европейската система за информация за пътуванията и разрешаването им (ETIAS), създадена с Регламент (ЕС) 2018/1240 на Е</w:t>
      </w:r>
      <w:r w:rsidRPr="00B47233">
        <w:t>вропейския парламент и на Съвета</w:t>
      </w:r>
      <w:r w:rsidRPr="00B47233">
        <w:rPr>
          <w:rStyle w:val="FootnoteReference"/>
        </w:rPr>
        <w:footnoteReference w:id="4"/>
      </w:r>
      <w:r w:rsidRPr="00B47233">
        <w:t xml:space="preserve">, или преди 1 януари 2024 г., в зависимост от това коя дата настъпи по-рано. След приемането на Регламент (ЕС) </w:t>
      </w:r>
      <w:r w:rsidRPr="00B47233">
        <w:lastRenderedPageBreak/>
        <w:t>2023/850 притежателите на сръбски паспорти, издадени от сръбския координационен отдел, биха останали единственит</w:t>
      </w:r>
      <w:r w:rsidRPr="00B47233">
        <w:t xml:space="preserve">е граждани в региона на Западните Балкани, от които се изисква да притежават виза, когато пътуват до ЕС за краткосрочен престой. </w:t>
      </w:r>
    </w:p>
    <w:p w:rsidR="00EC683F" w:rsidRPr="00B47233" w:rsidRDefault="00380913" w:rsidP="00EC683F">
      <w:pPr>
        <w:pStyle w:val="Body"/>
        <w:spacing w:after="240"/>
      </w:pPr>
      <w:r w:rsidRPr="00B47233">
        <w:t>В своето предложение Комисията счете, че с влизането в сила на освобождаването от изискването за виза за притежателите на косо</w:t>
      </w:r>
      <w:r w:rsidRPr="00B47233">
        <w:t xml:space="preserve">вски паспорти причините за изключването </w:t>
      </w:r>
      <w:bookmarkStart w:id="3" w:name="_Hlk148994149"/>
      <w:r w:rsidRPr="00B47233">
        <w:t>на притежателите на сръбски паспорти, издадени от сръбския координационен отдел,</w:t>
      </w:r>
      <w:bookmarkEnd w:id="3"/>
      <w:r w:rsidRPr="00B47233">
        <w:t xml:space="preserve"> от това освобождаване от изискване за виза вече не съществуват и че всички граждани от региона на Западните Балкани следва да се ползва</w:t>
      </w:r>
      <w:r w:rsidRPr="00B47233">
        <w:t>т от безвизово пътуване до Шенгенското пространство.</w:t>
      </w:r>
    </w:p>
    <w:p w:rsidR="00EC683F" w:rsidRDefault="00380913" w:rsidP="00EC683F">
      <w:pPr>
        <w:pStyle w:val="Body"/>
        <w:rPr>
          <w:b/>
        </w:rPr>
      </w:pPr>
      <w:r w:rsidRPr="00B47233">
        <w:rPr>
          <w:b/>
        </w:rPr>
        <w:t>б. Сръбски координационен отдел</w:t>
      </w:r>
    </w:p>
    <w:p w:rsidR="00380913" w:rsidRPr="00B47233" w:rsidRDefault="00380913" w:rsidP="00EC683F">
      <w:pPr>
        <w:pStyle w:val="Body"/>
        <w:rPr>
          <w:b/>
          <w:bCs/>
        </w:rPr>
      </w:pPr>
      <w:bookmarkStart w:id="4" w:name="_GoBack"/>
      <w:bookmarkEnd w:id="4"/>
    </w:p>
    <w:p w:rsidR="00EC683F" w:rsidRPr="00B47233" w:rsidRDefault="00380913" w:rsidP="00EC683F">
      <w:pPr>
        <w:pStyle w:val="Body"/>
        <w:spacing w:after="240"/>
      </w:pPr>
      <w:r w:rsidRPr="00B47233">
        <w:t xml:space="preserve">Сръбският координационен отдел беше създаден по време на диалога за либерализиране на визовия режим със Сърбия. Целта беше да се заменят седемте регионални полицейски </w:t>
      </w:r>
      <w:r w:rsidRPr="00B47233">
        <w:t>служби, разпръснати из територията на Сърбия, които дотогава отговаряха за издаването на паспорти на косовските сърби. Издаваните от сръбския координационен отдел паспорти са биометрични и откакто е създаден отделът се използват от притежателите си като до</w:t>
      </w:r>
      <w:r w:rsidRPr="00B47233">
        <w:t>кументи за пътуване за целите на пътуването до ЕС.</w:t>
      </w:r>
    </w:p>
    <w:p w:rsidR="00EC683F" w:rsidRPr="00B47233" w:rsidRDefault="00380913" w:rsidP="00EC683F">
      <w:pPr>
        <w:pStyle w:val="Body"/>
        <w:spacing w:after="240"/>
      </w:pPr>
      <w:r w:rsidRPr="00B47233">
        <w:t>От започването на първите диалози за либерализиране на визовия режим през 2008 г. Комисията представи обща цел да се предостави безвизов достъп до Шенгенското пространство за целия регион на Западните Балк</w:t>
      </w:r>
      <w:r w:rsidRPr="00B47233">
        <w:t xml:space="preserve">ани. Изискванията за притежаване на виза за гражданите на Черна гора, Северна Македония и Сърбия бяха премахнати през 2009 г., за тези на Албания и Босна и Херцеговина — през 2010 г., а на Косово — през 2023 г. В този контекст, като се премахне </w:t>
      </w:r>
      <w:bookmarkStart w:id="5" w:name="_Hlk148995018"/>
      <w:r w:rsidRPr="00B47233">
        <w:t>изключванет</w:t>
      </w:r>
      <w:r w:rsidRPr="00B47233">
        <w:t>о от освобождаването от изискването за виза по отношение на притежателите на сръбски паспорти, издадени от сръбския координационен отдел,</w:t>
      </w:r>
      <w:bookmarkEnd w:id="5"/>
      <w:r w:rsidRPr="00B47233">
        <w:t xml:space="preserve"> би се гарантирало, че за целия регион на Западните Балкани се прилага един и същ визов режим.</w:t>
      </w:r>
    </w:p>
    <w:p w:rsidR="00EC683F" w:rsidRPr="00B47233" w:rsidRDefault="00380913" w:rsidP="00EC683F">
      <w:pPr>
        <w:pStyle w:val="Body"/>
      </w:pPr>
      <w:r w:rsidRPr="00B47233">
        <w:rPr>
          <w:b/>
        </w:rPr>
        <w:t>в. Позиция на докладчика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t xml:space="preserve">Визовата политика на Европейския съюз, включително неговият режим на либерализиране на визовия режим, несъмнено е един от най-влиятелните инструменти на външната политика на Европа. Въпреки това, поради сложността на световната геополитика, но и често </w:t>
      </w:r>
      <w:r w:rsidRPr="00B47233">
        <w:t>пъти вътрешните разделения на Европейския съюз, е необходимо да се направят определени компромиси и да се вземат решения, които често създават проблеми в бъдеще.</w:t>
      </w:r>
      <w:r>
        <w:t xml:space="preserve"> </w:t>
      </w:r>
      <w:r w:rsidRPr="00B47233">
        <w:t xml:space="preserve">Такъв е случаят със Западните Балкани, където нещата никога не са прости и са рядко лесни. 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t xml:space="preserve">Що се отнася до предложението на Комисията, докладчикът е на мнение, че този сложен въпрос изисква разглеждане на всички факти и аспекти, но също така заслужава подход, при който политиката следва да бъде оставена настрана за даден момент. </w:t>
      </w: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t>Трябва да се пр</w:t>
      </w:r>
      <w:r w:rsidRPr="00B47233">
        <w:t xml:space="preserve">изнае, че Европейският съюз до голяма степен е бил катализатор на този проблем, и поради това докладчикът счита, че сега ЕС също трябва да го разреши. 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lastRenderedPageBreak/>
        <w:t>Може би не е било разумно да се наложи на Сърбия, в рамките на диалога за либерализиране на визовия реж</w:t>
      </w:r>
      <w:r w:rsidRPr="00B47233">
        <w:t>им през 2008 г., разграничение по отношение на издаването на паспорти на сърби, живеещи в Косово, като се има предвид, че такова решение може винаги да бъде временно по своя характер. В същото време в това временно решение не се въвеждат достатъчно предпаз</w:t>
      </w:r>
      <w:r w:rsidRPr="00B47233">
        <w:t xml:space="preserve">ни мерки, които да предвиждат неговото евентуално прекратяване. 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</w:pPr>
      <w:r w:rsidRPr="00B47233">
        <w:t>Освен това липсата на напредък в нормализирането на отношенията между Сърбия и Косово, както и фактът, че Сърбия и Косово все още не признават взаимно документи, също не допринесоха по никак</w:t>
      </w:r>
      <w:r w:rsidRPr="00B47233">
        <w:t xml:space="preserve">ъв полезен начин, за да се избегне превръщането на този въпрос в проблем. 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t>Докладчикът е наясно, че понастоящем сръбските жители на Косово, които притежават паспорти, издадени от сръбския координационен отдел, остават последната категория лица в Западните</w:t>
      </w:r>
      <w:r w:rsidRPr="00B47233">
        <w:t xml:space="preserve"> Балкани, за които се изисква виза за ЕС, не по тяхна вина. Докладчикът счита, че това представлява дискриминация, и по принцип изразява най-категорично мнение, че всяка дискриминация следва да бъде забранена и незабавно отстранена, ако тя възникне. Същият</w:t>
      </w:r>
      <w:r w:rsidRPr="00B47233">
        <w:t xml:space="preserve"> принцип следва да се прилага и за това предложение. </w:t>
      </w:r>
    </w:p>
    <w:p w:rsidR="00EC683F" w:rsidRPr="00B47233" w:rsidRDefault="00EC683F" w:rsidP="00EC683F">
      <w:pPr>
        <w:pStyle w:val="Body"/>
        <w:tabs>
          <w:tab w:val="left" w:pos="1989"/>
        </w:tabs>
      </w:pPr>
    </w:p>
    <w:p w:rsidR="00EC683F" w:rsidRPr="00B47233" w:rsidRDefault="00380913" w:rsidP="00EC683F">
      <w:pPr>
        <w:pStyle w:val="Body"/>
        <w:tabs>
          <w:tab w:val="left" w:pos="1989"/>
        </w:tabs>
      </w:pPr>
      <w:r w:rsidRPr="00B47233">
        <w:t xml:space="preserve">Докато не бъде разрешен окончателният статут на Косово или не бъде постигнат значителен напредък в нормализирането на отношенията между Косово и Сърбия, докладчикът счита, че настоящото предложение не </w:t>
      </w:r>
      <w:r w:rsidRPr="00B47233">
        <w:t>следва да опитва, нито може да разреши спора между Сърбия и Косово, нито следва да се очаква, че би го направило. Докладчикът счита, че за да се постигне най-добрият резултат, политиката следва да бъде оставена настрана и този въпрос следва да бъде разглед</w:t>
      </w:r>
      <w:r w:rsidRPr="00B47233">
        <w:t xml:space="preserve">ан като технически. </w:t>
      </w:r>
    </w:p>
    <w:p w:rsidR="00C57F8E" w:rsidRPr="00B47233" w:rsidRDefault="00C57F8E" w:rsidP="00EC683F">
      <w:pPr>
        <w:pStyle w:val="Body"/>
        <w:tabs>
          <w:tab w:val="left" w:pos="1989"/>
        </w:tabs>
      </w:pPr>
    </w:p>
    <w:p w:rsidR="00321788" w:rsidRPr="00B47233" w:rsidRDefault="00380913" w:rsidP="00380913">
      <w:pPr>
        <w:pStyle w:val="Body"/>
        <w:tabs>
          <w:tab w:val="left" w:pos="1989"/>
        </w:tabs>
      </w:pPr>
      <w:r w:rsidRPr="00B47233">
        <w:t>Поради това, като разбира сложността на въпросите и след като е разгледал всички различни аспекти, докладчикът приветства предложението на Комисията и подкрепя бързото му приемане в Парламента без изменения още през настоящия парламен</w:t>
      </w:r>
      <w:r w:rsidRPr="00B47233">
        <w:t>тарен мандат.</w:t>
      </w:r>
    </w:p>
    <w:sectPr w:rsidR="00321788" w:rsidRPr="00B47233" w:rsidSect="003217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B47233" w:rsidRDefault="00380913">
      <w:r w:rsidRPr="00B47233">
        <w:separator/>
      </w:r>
    </w:p>
  </w:endnote>
  <w:endnote w:type="continuationSeparator" w:id="0">
    <w:p w:rsidR="00000000" w:rsidRPr="00B47233" w:rsidRDefault="00380913">
      <w:r w:rsidRPr="00B472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33" w:rsidRPr="00B47233" w:rsidRDefault="00B47233" w:rsidP="00B47233">
    <w:pPr>
      <w:pStyle w:val="EPFooter"/>
    </w:pPr>
    <w:r w:rsidRPr="00B47233">
      <w:t>PE</w:t>
    </w:r>
    <w:r w:rsidRPr="00B47233">
      <w:rPr>
        <w:rStyle w:val="HideTWBExt"/>
      </w:rPr>
      <w:t>&lt;NoPE&gt;</w:t>
    </w:r>
    <w:r w:rsidRPr="00B47233">
      <w:t>759.740</w:t>
    </w:r>
    <w:r w:rsidRPr="00B47233">
      <w:rPr>
        <w:rStyle w:val="HideTWBExt"/>
      </w:rPr>
      <w:t>&lt;/NoPE&gt;&lt;Version&gt;</w:t>
    </w:r>
    <w:r w:rsidRPr="00B47233">
      <w:t>v01-00</w:t>
    </w:r>
    <w:r w:rsidRPr="00B47233">
      <w:rPr>
        <w:rStyle w:val="HideTWBExt"/>
      </w:rPr>
      <w:t>&lt;/Version&gt;</w:t>
    </w:r>
    <w:r w:rsidRPr="00B47233">
      <w:tab/>
    </w:r>
    <w:r w:rsidRPr="00B47233">
      <w:fldChar w:fldCharType="begin"/>
    </w:r>
    <w:r w:rsidRPr="00B47233">
      <w:instrText xml:space="preserve"> PAGE  \* MERGEFORMAT </w:instrText>
    </w:r>
    <w:r w:rsidRPr="00B47233">
      <w:fldChar w:fldCharType="separate"/>
    </w:r>
    <w:r w:rsidR="00380913">
      <w:rPr>
        <w:noProof/>
      </w:rPr>
      <w:t>8</w:t>
    </w:r>
    <w:r w:rsidRPr="00B47233">
      <w:fldChar w:fldCharType="end"/>
    </w:r>
    <w:r w:rsidRPr="00B47233">
      <w:t>/</w:t>
    </w:r>
    <w:fldSimple w:instr=" NUMPAGES  \* MERGEFORMAT ">
      <w:r w:rsidR="00380913">
        <w:rPr>
          <w:noProof/>
        </w:rPr>
        <w:t>8</w:t>
      </w:r>
    </w:fldSimple>
    <w:r w:rsidRPr="00B47233">
      <w:tab/>
    </w:r>
    <w:r w:rsidRPr="00B47233">
      <w:rPr>
        <w:rStyle w:val="HideTWBExt"/>
      </w:rPr>
      <w:t>&lt;PathFdR&gt;</w:t>
    </w:r>
    <w:r w:rsidRPr="00B47233">
      <w:t>PR\1297972BG.docx</w:t>
    </w:r>
    <w:r w:rsidRPr="00B47233">
      <w:rPr>
        <w:rStyle w:val="HideTWBExt"/>
      </w:rPr>
      <w:t>&lt;/PathFdR&gt;</w:t>
    </w:r>
  </w:p>
  <w:p w:rsidR="00302A66" w:rsidRPr="00B47233" w:rsidRDefault="00B47233" w:rsidP="00B47233">
    <w:pPr>
      <w:pStyle w:val="EPFooter2"/>
    </w:pPr>
    <w:r w:rsidRPr="00B47233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33" w:rsidRPr="00B47233" w:rsidRDefault="00B47233" w:rsidP="00B47233">
    <w:pPr>
      <w:pStyle w:val="EPFooter"/>
    </w:pPr>
    <w:r w:rsidRPr="00B47233">
      <w:rPr>
        <w:rStyle w:val="HideTWBExt"/>
      </w:rPr>
      <w:t>&lt;PathFdR&gt;</w:t>
    </w:r>
    <w:r w:rsidRPr="00B47233">
      <w:t>PR\1297972BG.docx</w:t>
    </w:r>
    <w:r w:rsidRPr="00B47233">
      <w:rPr>
        <w:rStyle w:val="HideTWBExt"/>
      </w:rPr>
      <w:t>&lt;/PathFdR&gt;</w:t>
    </w:r>
    <w:r w:rsidRPr="00B47233">
      <w:tab/>
    </w:r>
    <w:r w:rsidRPr="00B47233">
      <w:fldChar w:fldCharType="begin"/>
    </w:r>
    <w:r w:rsidRPr="00B47233">
      <w:instrText xml:space="preserve"> PAGE  \* MERGEFORMAT </w:instrText>
    </w:r>
    <w:r w:rsidRPr="00B47233">
      <w:fldChar w:fldCharType="separate"/>
    </w:r>
    <w:r w:rsidR="00380913">
      <w:rPr>
        <w:noProof/>
      </w:rPr>
      <w:t>7</w:t>
    </w:r>
    <w:r w:rsidRPr="00B47233">
      <w:fldChar w:fldCharType="end"/>
    </w:r>
    <w:r w:rsidRPr="00B47233">
      <w:t>/</w:t>
    </w:r>
    <w:fldSimple w:instr=" NUMPAGES  \* MERGEFORMAT ">
      <w:r w:rsidR="00380913">
        <w:rPr>
          <w:noProof/>
        </w:rPr>
        <w:t>8</w:t>
      </w:r>
    </w:fldSimple>
    <w:r w:rsidRPr="00B47233">
      <w:tab/>
      <w:t>PE</w:t>
    </w:r>
    <w:r w:rsidRPr="00B47233">
      <w:rPr>
        <w:rStyle w:val="HideTWBExt"/>
      </w:rPr>
      <w:t>&lt;NoPE&gt;</w:t>
    </w:r>
    <w:r w:rsidRPr="00B47233">
      <w:t>759.740</w:t>
    </w:r>
    <w:r w:rsidRPr="00B47233">
      <w:rPr>
        <w:rStyle w:val="HideTWBExt"/>
      </w:rPr>
      <w:t>&lt;/NoPE&gt;&lt;Version&gt;</w:t>
    </w:r>
    <w:r w:rsidRPr="00B47233">
      <w:t>v01-00</w:t>
    </w:r>
    <w:r w:rsidRPr="00B47233">
      <w:rPr>
        <w:rStyle w:val="HideTWBExt"/>
      </w:rPr>
      <w:t>&lt;/Version&gt;</w:t>
    </w:r>
  </w:p>
  <w:p w:rsidR="00302A66" w:rsidRPr="00B47233" w:rsidRDefault="00B47233" w:rsidP="00B47233">
    <w:pPr>
      <w:pStyle w:val="EPFooter2"/>
    </w:pPr>
    <w:r w:rsidRPr="00B47233">
      <w:tab/>
    </w:r>
    <w:r w:rsidRPr="00B47233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33" w:rsidRPr="00B47233" w:rsidRDefault="00B47233" w:rsidP="00B47233">
    <w:pPr>
      <w:pStyle w:val="EPFooter"/>
    </w:pPr>
    <w:r w:rsidRPr="00B47233">
      <w:rPr>
        <w:rStyle w:val="HideTWBExt"/>
      </w:rPr>
      <w:t>&lt;PathFdR&gt;</w:t>
    </w:r>
    <w:r w:rsidRPr="00B47233">
      <w:t>PR\1297972BG.docx</w:t>
    </w:r>
    <w:r w:rsidRPr="00B47233">
      <w:rPr>
        <w:rStyle w:val="HideTWBExt"/>
      </w:rPr>
      <w:t>&lt;/PathFdR&gt;</w:t>
    </w:r>
    <w:r w:rsidRPr="00B47233">
      <w:tab/>
    </w:r>
    <w:r w:rsidRPr="00B47233">
      <w:tab/>
      <w:t>PE</w:t>
    </w:r>
    <w:r w:rsidRPr="00B47233">
      <w:rPr>
        <w:rStyle w:val="HideTWBExt"/>
      </w:rPr>
      <w:t>&lt;NoPE&gt;</w:t>
    </w:r>
    <w:r w:rsidRPr="00B47233">
      <w:t>759.740</w:t>
    </w:r>
    <w:r w:rsidRPr="00B47233">
      <w:rPr>
        <w:rStyle w:val="HideTWBExt"/>
      </w:rPr>
      <w:t>&lt;/NoPE&gt;&lt;Version&gt;</w:t>
    </w:r>
    <w:r w:rsidRPr="00B47233">
      <w:t>v01-00</w:t>
    </w:r>
    <w:r w:rsidRPr="00B47233">
      <w:rPr>
        <w:rStyle w:val="HideTWBExt"/>
      </w:rPr>
      <w:t>&lt;/Version&gt;</w:t>
    </w:r>
  </w:p>
  <w:p w:rsidR="00302A66" w:rsidRPr="00B47233" w:rsidRDefault="00B47233" w:rsidP="00B47233">
    <w:pPr>
      <w:pStyle w:val="EPFooter2"/>
    </w:pPr>
    <w:r w:rsidRPr="00B47233">
      <w:t>BG</w:t>
    </w:r>
    <w:r w:rsidRPr="00B47233">
      <w:tab/>
    </w:r>
    <w:r w:rsidRPr="00B47233">
      <w:rPr>
        <w:b w:val="0"/>
        <w:i/>
        <w:color w:val="C0C0C0"/>
        <w:sz w:val="22"/>
      </w:rPr>
      <w:t>Единство в многообразието</w:t>
    </w:r>
    <w:r w:rsidRPr="00B47233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FDA" w:rsidRPr="00B47233" w:rsidRDefault="00380913">
      <w:r w:rsidRPr="00B47233">
        <w:separator/>
      </w:r>
    </w:p>
  </w:footnote>
  <w:footnote w:type="continuationSeparator" w:id="0">
    <w:p w:rsidR="00624FDA" w:rsidRPr="00B47233" w:rsidRDefault="00380913">
      <w:r w:rsidRPr="00B47233">
        <w:continuationSeparator/>
      </w:r>
    </w:p>
  </w:footnote>
  <w:footnote w:id="1">
    <w:p w:rsidR="00EC683F" w:rsidRPr="00B47233" w:rsidRDefault="00380913" w:rsidP="00EC683F">
      <w:pPr>
        <w:pStyle w:val="FootnoteText"/>
      </w:pPr>
      <w:r w:rsidRPr="00B47233">
        <w:rPr>
          <w:rStyle w:val="FootnoteReference"/>
        </w:rPr>
        <w:footnoteRef/>
      </w:r>
      <w:r w:rsidRPr="00B47233">
        <w:tab/>
        <w:t>COM/2016/0277 final.</w:t>
      </w:r>
    </w:p>
  </w:footnote>
  <w:footnote w:id="2">
    <w:p w:rsidR="00EC683F" w:rsidRPr="00B47233" w:rsidRDefault="00380913" w:rsidP="00EC683F">
      <w:pPr>
        <w:pStyle w:val="FootnoteText"/>
      </w:pPr>
      <w:r w:rsidRPr="00B47233">
        <w:rPr>
          <w:rStyle w:val="FootnoteReference"/>
        </w:rPr>
        <w:footnoteRef/>
      </w:r>
      <w:r>
        <w:tab/>
      </w:r>
      <w:r w:rsidRPr="00B47233">
        <w:t>Регламент (ЕС) 2023/850 на Европейския парламент и на Съвета от 19 април 2023 г. за изменение на Регламент (ЕС) 2018/1806 за определяне на третите страни, чиито граждани трябва да притежават виза, когато преминава</w:t>
      </w:r>
      <w:r w:rsidRPr="00B47233">
        <w:t>т външните граници, както и тези, чиито граждани са освободени от това изискване (Косово (Това название не засяга позициите по отношение на статута и е съобразено с Резолюция 1244/1999 на Съвета за сигурност на Организацията на обединените нации и становищ</w:t>
      </w:r>
      <w:r w:rsidRPr="00B47233">
        <w:t>ето на Международния съд относно обявяването на независимост от страна на Косово.)) (ОВ L 110, 25.4.2023 г., стр. 1—4).</w:t>
      </w:r>
    </w:p>
  </w:footnote>
  <w:footnote w:id="3">
    <w:p w:rsidR="00EC683F" w:rsidRPr="00B47233" w:rsidRDefault="00380913" w:rsidP="00EC683F">
      <w:pPr>
        <w:pStyle w:val="FootnoteText"/>
      </w:pPr>
      <w:r w:rsidRPr="00B47233">
        <w:rPr>
          <w:rStyle w:val="FootnoteReference"/>
        </w:rPr>
        <w:footnoteRef/>
      </w:r>
      <w:r>
        <w:tab/>
      </w:r>
      <w:r w:rsidRPr="00B47233">
        <w:t>Регламент (ЕС) 2018/1806 на Европейския парламент и на Съвета от 14 ноември 2018 г. за определяне на третите страни, чиито граждани тря</w:t>
      </w:r>
      <w:r w:rsidRPr="00B47233">
        <w:t>бва да притежават виза, когато преминават външните граници, както и тези, чиито граждани са освободени от това изискване (ОВ L 303, 28.11.2018 г., стр. 39).</w:t>
      </w:r>
    </w:p>
  </w:footnote>
  <w:footnote w:id="4">
    <w:p w:rsidR="00EC683F" w:rsidRPr="00B47233" w:rsidRDefault="00380913" w:rsidP="00EC683F">
      <w:pPr>
        <w:pStyle w:val="FootnoteText"/>
      </w:pPr>
      <w:r w:rsidRPr="00B47233">
        <w:rPr>
          <w:rStyle w:val="FootnoteReference"/>
        </w:rPr>
        <w:footnoteRef/>
      </w:r>
      <w:r>
        <w:tab/>
      </w:r>
      <w:r w:rsidRPr="00B47233">
        <w:t>Регламент (ЕС) 2018/1240 на Европейския парламент и на Съвета от 12 септември 2018 г. за създаване</w:t>
      </w:r>
      <w:r w:rsidRPr="00B47233">
        <w:t xml:space="preserve"> на Европейска система за информация за пътуванията и разрешаването им (ETIAS) и за изменение на регламенти (ЕС) № 1077/2011, (ЕС) № 515/2014, (ЕС) 2016/399, (ЕС) 2016/1624 и (ЕС) 2017/2226 (ОВ L 236, 19.9.2018 г., стр. 1—71).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913" w:rsidRDefault="00380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913" w:rsidRDefault="003809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913" w:rsidRDefault="003809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CopyToNetwork" w:val="-1"/>
    <w:docVar w:name="DOCMNU" w:val=" 1"/>
    <w:docVar w:name="EPOJMNU" w:val=" 3"/>
    <w:docVar w:name="EPSTATMNU" w:val=" 1"/>
    <w:docVar w:name="EPSTATPLURMNU" w:val=" 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strDocTypeID" w:val="PR_COD_1app"/>
    <w:docVar w:name="strSubDir" w:val="1297"/>
    <w:docVar w:name="TXTLANGUE" w:val="EN"/>
    <w:docVar w:name="TXTLANGUEMIN" w:val="en"/>
    <w:docVar w:name="TXTNRC" w:val="0412/2023"/>
    <w:docVar w:name="TXTNRCOD" w:val="2023/0418"/>
    <w:docVar w:name="TXTNRCOM" w:val="(2023)0733"/>
    <w:docVar w:name="TXTNRPE" w:val="759.740"/>
    <w:docVar w:name="TXTPEorAP" w:val="PE"/>
    <w:docVar w:name="TXTROUTE" w:val="PR\1297972EN.docx"/>
    <w:docVar w:name="TXTTITLE" w:val="amending Regulation (EU) 2018/1806 as regards holders of Serbian passports issued by the Serbian Coordination Directorate (Koordinaciona uprava)"/>
    <w:docVar w:name="TXTVERSION" w:val="01-00"/>
  </w:docVars>
  <w:rsids>
    <w:rsidRoot w:val="00624FDA"/>
    <w:rsid w:val="00053B97"/>
    <w:rsid w:val="000A0C2E"/>
    <w:rsid w:val="000B5585"/>
    <w:rsid w:val="000C5EDC"/>
    <w:rsid w:val="000F59C5"/>
    <w:rsid w:val="00104AEE"/>
    <w:rsid w:val="00164B9B"/>
    <w:rsid w:val="00182506"/>
    <w:rsid w:val="001907B9"/>
    <w:rsid w:val="001A06D8"/>
    <w:rsid w:val="001D3524"/>
    <w:rsid w:val="00260FAA"/>
    <w:rsid w:val="002A0B11"/>
    <w:rsid w:val="002A1CE3"/>
    <w:rsid w:val="002B272A"/>
    <w:rsid w:val="002C0F2B"/>
    <w:rsid w:val="002C3187"/>
    <w:rsid w:val="00302A66"/>
    <w:rsid w:val="0031764E"/>
    <w:rsid w:val="00321788"/>
    <w:rsid w:val="003506ED"/>
    <w:rsid w:val="00380913"/>
    <w:rsid w:val="003A53CE"/>
    <w:rsid w:val="003B55E9"/>
    <w:rsid w:val="003C5583"/>
    <w:rsid w:val="004078CB"/>
    <w:rsid w:val="0041661E"/>
    <w:rsid w:val="00433573"/>
    <w:rsid w:val="00434AC3"/>
    <w:rsid w:val="004723CC"/>
    <w:rsid w:val="00490742"/>
    <w:rsid w:val="00490D5F"/>
    <w:rsid w:val="004D7B3B"/>
    <w:rsid w:val="004F67E3"/>
    <w:rsid w:val="00543B7B"/>
    <w:rsid w:val="005571A0"/>
    <w:rsid w:val="005663F7"/>
    <w:rsid w:val="00624FDA"/>
    <w:rsid w:val="0065285A"/>
    <w:rsid w:val="0069092A"/>
    <w:rsid w:val="00695056"/>
    <w:rsid w:val="007908B5"/>
    <w:rsid w:val="007D611D"/>
    <w:rsid w:val="00814B44"/>
    <w:rsid w:val="00837978"/>
    <w:rsid w:val="008663F8"/>
    <w:rsid w:val="008927F6"/>
    <w:rsid w:val="00894923"/>
    <w:rsid w:val="008A07E3"/>
    <w:rsid w:val="008B26BF"/>
    <w:rsid w:val="008B5034"/>
    <w:rsid w:val="008D6E09"/>
    <w:rsid w:val="008E22DF"/>
    <w:rsid w:val="008E4B14"/>
    <w:rsid w:val="00913414"/>
    <w:rsid w:val="00961182"/>
    <w:rsid w:val="00972ED6"/>
    <w:rsid w:val="009D1771"/>
    <w:rsid w:val="00A02CEA"/>
    <w:rsid w:val="00A40C66"/>
    <w:rsid w:val="00A43E6A"/>
    <w:rsid w:val="00A62C81"/>
    <w:rsid w:val="00A7512E"/>
    <w:rsid w:val="00A82A11"/>
    <w:rsid w:val="00A83E46"/>
    <w:rsid w:val="00A84BA1"/>
    <w:rsid w:val="00AD26AD"/>
    <w:rsid w:val="00AE4E74"/>
    <w:rsid w:val="00AF7573"/>
    <w:rsid w:val="00B37926"/>
    <w:rsid w:val="00B47233"/>
    <w:rsid w:val="00B52B6C"/>
    <w:rsid w:val="00B54EAF"/>
    <w:rsid w:val="00BA5740"/>
    <w:rsid w:val="00BD28D4"/>
    <w:rsid w:val="00BE1457"/>
    <w:rsid w:val="00BE4EC7"/>
    <w:rsid w:val="00BF6269"/>
    <w:rsid w:val="00C54859"/>
    <w:rsid w:val="00C57F8E"/>
    <w:rsid w:val="00C71A3C"/>
    <w:rsid w:val="00C82EBC"/>
    <w:rsid w:val="00C85D0F"/>
    <w:rsid w:val="00CD1FB0"/>
    <w:rsid w:val="00D133F8"/>
    <w:rsid w:val="00D1777C"/>
    <w:rsid w:val="00D919CF"/>
    <w:rsid w:val="00DC3DED"/>
    <w:rsid w:val="00DF6C13"/>
    <w:rsid w:val="00E24902"/>
    <w:rsid w:val="00E51D1E"/>
    <w:rsid w:val="00EC683F"/>
    <w:rsid w:val="00ED0609"/>
    <w:rsid w:val="00ED0821"/>
    <w:rsid w:val="00F0202A"/>
    <w:rsid w:val="00F31E31"/>
    <w:rsid w:val="00F80241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BE4B0"/>
  <w15:chartTrackingRefBased/>
  <w15:docId w15:val="{3799A89D-9F1F-4F3D-802B-FB7EC953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A83E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3E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83E46"/>
    <w:rPr>
      <w:sz w:val="18"/>
    </w:rPr>
  </w:style>
  <w:style w:type="paragraph" w:styleId="Footer">
    <w:name w:val="footer"/>
    <w:basedOn w:val="Normal"/>
    <w:link w:val="FooterChar"/>
    <w:semiHidden/>
    <w:rsid w:val="000F59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F59C5"/>
    <w:rPr>
      <w:sz w:val="24"/>
    </w:rPr>
  </w:style>
  <w:style w:type="paragraph" w:styleId="FootnoteText">
    <w:name w:val="footnote text"/>
    <w:basedOn w:val="Normal"/>
    <w:link w:val="FootnoteTextChar"/>
    <w:unhideWhenUsed/>
    <w:rsid w:val="00321788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1788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nhideWhenUsed/>
    <w:rsid w:val="00321788"/>
    <w:rPr>
      <w:vertAlign w:val="superscript"/>
    </w:rPr>
  </w:style>
  <w:style w:type="paragraph" w:customStyle="1" w:styleId="Body">
    <w:name w:val="Body"/>
    <w:rsid w:val="00EC683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CE167-ED61-48D1-8937-9E67DB53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1597</Words>
  <Characters>9173</Characters>
  <Application>Microsoft Office Word</Application>
  <DocSecurity>0</DocSecurity>
  <Lines>213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creator>TOADER Maria</dc:creator>
  <cp:lastModifiedBy>DIMITROV Cvetan</cp:lastModifiedBy>
  <cp:revision>2</cp:revision>
  <cp:lastPrinted>2004-11-04T10:10:00Z</cp:lastPrinted>
  <dcterms:created xsi:type="dcterms:W3CDTF">2024-03-13T16:27:00Z</dcterms:created>
  <dcterms:modified xsi:type="dcterms:W3CDTF">2024-03-13T16:27:00Z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1297972</vt:lpwstr>
  </property>
  <property fmtid="{D5CDD505-2E9C-101B-9397-08002B2CF9AE}" pid="4" name="&lt;Model&gt;">
    <vt:lpwstr>PR_COD_1app</vt:lpwstr>
  </property>
  <property fmtid="{D5CDD505-2E9C-101B-9397-08002B2CF9AE}" pid="5" name="&lt;ModelCod&gt;">
    <vt:lpwstr>\\eiciBRUpr1\pdocep$\DocEP\DOCS\General\PR\PR_Leg\COD\COD_1st\PR_COD_1app.dotx(23/03/2022 10:54:04)</vt:lpwstr>
  </property>
  <property fmtid="{D5CDD505-2E9C-101B-9397-08002B2CF9AE}" pid="6" name="&lt;ModelTra&gt;">
    <vt:lpwstr>\\eiciBRUpr1\pdocep$\DocEP\TRANSFIL\EN\PR_COD_1app.EN(29/06/2022 09:21:37)</vt:lpwstr>
  </property>
  <property fmtid="{D5CDD505-2E9C-101B-9397-08002B2CF9AE}" pid="7" name="&lt;Type&gt;">
    <vt:lpwstr>PR</vt:lpwstr>
  </property>
  <property fmtid="{D5CDD505-2E9C-101B-9397-08002B2CF9AE}" pid="8" name="Created with">
    <vt:lpwstr>9.17.2 Build [20240212]</vt:lpwstr>
  </property>
  <property fmtid="{D5CDD505-2E9C-101B-9397-08002B2CF9AE}" pid="9" name="FooterPath">
    <vt:lpwstr>PR\1297972BG.docx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759.740</vt:lpwstr>
  </property>
  <property fmtid="{D5CDD505-2E9C-101B-9397-08002B2CF9AE}" pid="12" name="SDLStudio">
    <vt:lpwstr/>
  </property>
  <property fmtid="{D5CDD505-2E9C-101B-9397-08002B2CF9AE}" pid="13" name="SendToEpades">
    <vt:lpwstr>OK - 2024/03/05 15:58</vt:lpwstr>
  </property>
  <property fmtid="{D5CDD505-2E9C-101B-9397-08002B2CF9AE}" pid="14" name="Bookout">
    <vt:lpwstr>OK - 2024/03/13 17:26</vt:lpwstr>
  </property>
</Properties>
</file>