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973510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8B5034" w:rsidRPr="0044563D" w:rsidRDefault="00434C95" w:rsidP="00C85D0F">
            <w:pPr>
              <w:pStyle w:val="EPName"/>
            </w:pPr>
            <w:bookmarkStart w:id="0" w:name="_GoBack"/>
            <w:bookmarkEnd w:id="0"/>
            <w:r>
              <w:t>Parlament Ewropew</w:t>
            </w:r>
          </w:p>
          <w:p w:rsidR="008B5034" w:rsidRPr="0044563D" w:rsidRDefault="00434C95" w:rsidP="0044563D">
            <w:pPr>
              <w:pStyle w:val="EPTerm"/>
            </w:pPr>
            <w:r>
              <w:t>2019-2024</w:t>
            </w:r>
          </w:p>
        </w:tc>
        <w:tc>
          <w:tcPr>
            <w:tcW w:w="2268" w:type="dxa"/>
            <w:shd w:val="clear" w:color="auto" w:fill="auto"/>
          </w:tcPr>
          <w:p w:rsidR="008B5034" w:rsidRPr="0044563D" w:rsidRDefault="00434C95" w:rsidP="00C85D0F">
            <w:pPr>
              <w:pStyle w:val="EPLogo"/>
            </w:pPr>
            <w:r w:rsidRPr="0044563D">
              <w:rPr>
                <w:noProof/>
                <w:lang w:val="en-GB"/>
              </w:rPr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71A3C" w:rsidRPr="0044563D" w:rsidRDefault="00C71A3C" w:rsidP="00C71A3C">
      <w:pPr>
        <w:pStyle w:val="LineTop"/>
      </w:pPr>
    </w:p>
    <w:p w:rsidR="00C71A3C" w:rsidRPr="0044563D" w:rsidRDefault="00434C95" w:rsidP="00C71A3C">
      <w:pPr>
        <w:pStyle w:val="EPBody"/>
      </w:pPr>
      <w:r>
        <w:rPr>
          <w:rStyle w:val="HideTWBExt"/>
        </w:rPr>
        <w:t>&lt;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  <w:r>
        <w:rPr>
          <w:rStyle w:val="HideTWBInt"/>
          <w:color w:val="auto"/>
        </w:rPr>
        <w:t>{LIBE}</w:t>
      </w:r>
      <w:r>
        <w:t>Kumitat għal-Libertajiet Ċivili, il-Ġustizzja u l-Intern</w:t>
      </w:r>
      <w:r>
        <w:rPr>
          <w:rStyle w:val="HideTWBExt"/>
        </w:rPr>
        <w:t>&lt;/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</w:p>
    <w:p w:rsidR="00C71A3C" w:rsidRPr="0044563D" w:rsidRDefault="00C71A3C" w:rsidP="00C71A3C">
      <w:pPr>
        <w:pStyle w:val="LineBottom"/>
      </w:pPr>
    </w:p>
    <w:p w:rsidR="00ED0821" w:rsidRPr="0044563D" w:rsidRDefault="00434C95">
      <w:pPr>
        <w:pStyle w:val="CoverReference"/>
      </w:pPr>
      <w:r>
        <w:rPr>
          <w:rStyle w:val="HideTWBExt"/>
          <w:b w:val="0"/>
        </w:rPr>
        <w:t>&lt;RefProc&gt;</w:t>
      </w:r>
      <w:r>
        <w:t>2023/0418</w:t>
      </w:r>
      <w:r>
        <w:rPr>
          <w:rStyle w:val="HideTWBExt"/>
          <w:b w:val="0"/>
        </w:rPr>
        <w:t>&lt;/RefProc&gt;&lt;RefTypeProc&gt;</w:t>
      </w:r>
      <w:r>
        <w:t>(COD)</w:t>
      </w:r>
      <w:r>
        <w:rPr>
          <w:rStyle w:val="HideTWBExt"/>
          <w:b w:val="0"/>
        </w:rPr>
        <w:t>&lt;/RefTypeProc&gt;</w:t>
      </w:r>
    </w:p>
    <w:p w:rsidR="00ED0821" w:rsidRPr="0044563D" w:rsidRDefault="00434C95">
      <w:pPr>
        <w:pStyle w:val="CoverDate"/>
      </w:pPr>
      <w:r>
        <w:rPr>
          <w:rStyle w:val="HideTWBExt"/>
        </w:rPr>
        <w:t>&lt;Date&gt;</w:t>
      </w:r>
      <w:r>
        <w:rPr>
          <w:rStyle w:val="HideTWBInt"/>
          <w:color w:val="auto"/>
        </w:rPr>
        <w:t>{05/03/2024}</w:t>
      </w:r>
      <w:r>
        <w:t>5.3.2024</w:t>
      </w:r>
      <w:r>
        <w:rPr>
          <w:rStyle w:val="HideTWBExt"/>
        </w:rPr>
        <w:t>&lt;/Date&gt;</w:t>
      </w:r>
    </w:p>
    <w:p w:rsidR="00ED0821" w:rsidRPr="0044563D" w:rsidRDefault="00434C95">
      <w:pPr>
        <w:pStyle w:val="CoverDocType"/>
      </w:pPr>
      <w:r>
        <w:rPr>
          <w:rStyle w:val="HideTWBExt"/>
          <w:b w:val="0"/>
        </w:rPr>
        <w:t>&lt;RefProcLect&gt;</w:t>
      </w:r>
      <w:r>
        <w:t>***I</w:t>
      </w:r>
      <w:r>
        <w:rPr>
          <w:rStyle w:val="HideTWBExt"/>
          <w:b w:val="0"/>
        </w:rPr>
        <w:t>&lt;/RefProcLect&gt;</w:t>
      </w:r>
    </w:p>
    <w:p w:rsidR="00ED0821" w:rsidRPr="0044563D" w:rsidRDefault="00434C95">
      <w:pPr>
        <w:pStyle w:val="CoverDocType24a"/>
      </w:pPr>
      <w:r>
        <w:rPr>
          <w:rStyle w:val="HideTWBExt"/>
          <w:b w:val="0"/>
        </w:rPr>
        <w:t>&lt;TitreType&gt;</w:t>
      </w:r>
      <w:r>
        <w:t>ABBOZZ TA’ RAPPORT</w:t>
      </w:r>
      <w:r>
        <w:rPr>
          <w:rStyle w:val="HideTWBExt"/>
          <w:b w:val="0"/>
        </w:rPr>
        <w:t>&lt;/TitreType&gt;</w:t>
      </w:r>
    </w:p>
    <w:p w:rsidR="0044563D" w:rsidRPr="0044563D" w:rsidRDefault="00434C95" w:rsidP="0044563D">
      <w:pPr>
        <w:pStyle w:val="CoverNormal"/>
      </w:pPr>
      <w:r>
        <w:rPr>
          <w:rStyle w:val="HideTWBExt"/>
        </w:rPr>
        <w:t>&lt;Titre&gt;</w:t>
      </w:r>
      <w:r>
        <w:t>dwar il-proposta għal regolament tal-Parlament Ewropew u tal-Kunsill li jemenda r-Regolament (UE) 2018/1806 rigward id-detenturi ta’ passaporti Serbi maħruġa mid-Direttorat tal-Koordinazzjoni Serb (Koordinac</w:t>
      </w:r>
      <w:r>
        <w:t>iona uprava)</w:t>
      </w:r>
      <w:r>
        <w:rPr>
          <w:rStyle w:val="HideTWBExt"/>
        </w:rPr>
        <w:t>&lt;/Titre&gt;</w:t>
      </w:r>
    </w:p>
    <w:p w:rsidR="00ED0821" w:rsidRPr="0044563D" w:rsidRDefault="00434C95" w:rsidP="0044563D">
      <w:pPr>
        <w:pStyle w:val="CoverNormal24a"/>
      </w:pPr>
      <w:r>
        <w:rPr>
          <w:rStyle w:val="HideTWBExt"/>
        </w:rPr>
        <w:t>&lt;DocRef&gt;</w:t>
      </w:r>
      <w:r>
        <w:t>(COM(2023)0733 – C9</w:t>
      </w:r>
      <w:r>
        <w:noBreakHyphen/>
        <w:t>0412/2023 – 2023/0418(COD))</w:t>
      </w:r>
      <w:r>
        <w:rPr>
          <w:rStyle w:val="HideTWBExt"/>
        </w:rPr>
        <w:t>&lt;/DocRef&gt;</w:t>
      </w:r>
    </w:p>
    <w:p w:rsidR="00ED0821" w:rsidRPr="0044563D" w:rsidRDefault="00434C95">
      <w:pPr>
        <w:pStyle w:val="CoverNormal24a"/>
      </w:pPr>
      <w:r>
        <w:rPr>
          <w:rStyle w:val="HideTWBExt"/>
        </w:rPr>
        <w:t>&lt;Commission&gt;</w:t>
      </w:r>
      <w:r>
        <w:rPr>
          <w:rStyle w:val="HideTWBInt"/>
          <w:color w:val="auto"/>
        </w:rPr>
        <w:t>{LIBE}</w:t>
      </w:r>
      <w:r>
        <w:t>Kumitat għal-Libertajiet Ċivili, il-Ġustizzja u l-Intern</w:t>
      </w:r>
      <w:r>
        <w:rPr>
          <w:rStyle w:val="HideTWBExt"/>
        </w:rPr>
        <w:t>&lt;/Commission&gt;</w:t>
      </w:r>
    </w:p>
    <w:p w:rsidR="00ED0821" w:rsidRPr="0044563D" w:rsidRDefault="00434C95">
      <w:pPr>
        <w:pStyle w:val="CoverNormal24a"/>
      </w:pPr>
      <w:r>
        <w:t xml:space="preserve">Rapporteur: </w:t>
      </w:r>
      <w:r>
        <w:rPr>
          <w:rStyle w:val="HideTWBExt"/>
        </w:rPr>
        <w:t>&lt;Depute&gt;</w:t>
      </w:r>
      <w:r>
        <w:t>Matjaž Nemec</w:t>
      </w:r>
      <w:r>
        <w:rPr>
          <w:rStyle w:val="HideTWBExt"/>
        </w:rPr>
        <w:t>&lt;/Depute&gt;</w:t>
      </w:r>
    </w:p>
    <w:p w:rsidR="00BE4EC7" w:rsidRPr="0044563D" w:rsidRDefault="00BE4EC7" w:rsidP="00BE4EC7">
      <w:pPr>
        <w:pStyle w:val="CoverNormal"/>
      </w:pPr>
    </w:p>
    <w:p w:rsidR="0044563D" w:rsidRPr="0044563D" w:rsidRDefault="00434C95" w:rsidP="00894923">
      <w:r>
        <w:br w:type="page"/>
      </w:r>
      <w:r w:rsidR="008D0F30">
        <w:lastRenderedPageBreak/>
        <w:fldChar w:fldCharType="begin"/>
      </w:r>
      <w:r>
        <w:instrText xml:space="preserve"> TITLE  \* MERGEFORMAT </w:instrText>
      </w:r>
      <w:r w:rsidR="008D0F30">
        <w:fldChar w:fldCharType="separate"/>
      </w:r>
      <w:r>
        <w:t>PR_COD_1app</w:t>
      </w:r>
      <w:r w:rsidR="008D0F30">
        <w:fldChar w:fldCharType="end"/>
      </w:r>
    </w:p>
    <w:p w:rsidR="0044563D" w:rsidRPr="0044563D" w:rsidRDefault="0044563D" w:rsidP="00894923"/>
    <w:p w:rsidR="0044563D" w:rsidRPr="0044563D" w:rsidRDefault="0044563D" w:rsidP="00894923"/>
    <w:tbl>
      <w:tblPr>
        <w:tblW w:w="0" w:type="auto"/>
        <w:tblInd w:w="1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811"/>
      </w:tblGrid>
      <w:tr w:rsidR="00973510">
        <w:tc>
          <w:tcPr>
            <w:tcW w:w="5811" w:type="dxa"/>
          </w:tcPr>
          <w:p w:rsidR="0044563D" w:rsidRPr="0044563D" w:rsidRDefault="00434C95" w:rsidP="00894923">
            <w:pPr>
              <w:pStyle w:val="Lgendetitre"/>
            </w:pPr>
            <w:r>
              <w:t>Tifsira tas-simboli użati</w:t>
            </w:r>
          </w:p>
        </w:tc>
      </w:tr>
      <w:tr w:rsidR="00973510" w:rsidTr="007F43F3">
        <w:trPr>
          <w:cantSplit/>
          <w:trHeight w:val="1807"/>
        </w:trPr>
        <w:tc>
          <w:tcPr>
            <w:tcW w:w="5811" w:type="dxa"/>
            <w:tcBorders>
              <w:bottom w:val="single" w:sz="4" w:space="0" w:color="auto"/>
            </w:tcBorders>
          </w:tcPr>
          <w:p w:rsidR="0044563D" w:rsidRPr="0044563D" w:rsidRDefault="00434C95" w:rsidP="001A03FF">
            <w:pPr>
              <w:pStyle w:val="Lgendesigne"/>
              <w:rPr>
                <w:szCs w:val="24"/>
              </w:rPr>
            </w:pPr>
            <w:r>
              <w:tab/>
              <w:t>*</w:t>
            </w:r>
            <w:r>
              <w:tab/>
              <w:t>Proċedura ta’ konsultazzjoni</w:t>
            </w:r>
          </w:p>
          <w:p w:rsidR="0044563D" w:rsidRPr="0044563D" w:rsidRDefault="00434C95" w:rsidP="001A03FF">
            <w:pPr>
              <w:pStyle w:val="Lgendesigne"/>
              <w:rPr>
                <w:szCs w:val="24"/>
              </w:rPr>
            </w:pPr>
            <w:r>
              <w:tab/>
              <w:t>***</w:t>
            </w:r>
            <w:r>
              <w:tab/>
              <w:t>Proċedura ta’ approvazzjoni</w:t>
            </w:r>
          </w:p>
          <w:p w:rsidR="0044563D" w:rsidRPr="0044563D" w:rsidRDefault="00434C95" w:rsidP="001A03FF">
            <w:pPr>
              <w:pStyle w:val="Lgendesigne"/>
              <w:rPr>
                <w:szCs w:val="24"/>
              </w:rPr>
            </w:pPr>
            <w:r>
              <w:tab/>
              <w:t>***I</w:t>
            </w:r>
            <w:r>
              <w:tab/>
              <w:t>Proċedura leġiżlattiva ordinarja (l-ewwel qari)</w:t>
            </w:r>
          </w:p>
          <w:p w:rsidR="0044563D" w:rsidRPr="0044563D" w:rsidRDefault="00434C95" w:rsidP="001A03FF">
            <w:pPr>
              <w:pStyle w:val="Lgendesigne"/>
              <w:rPr>
                <w:szCs w:val="24"/>
              </w:rPr>
            </w:pPr>
            <w:r>
              <w:tab/>
              <w:t>***II</w:t>
            </w:r>
            <w:r>
              <w:tab/>
              <w:t>Proċedura leġiżlattiva ordinarja (it-tieni qari)</w:t>
            </w:r>
          </w:p>
          <w:p w:rsidR="0044563D" w:rsidRPr="0044563D" w:rsidRDefault="00434C95" w:rsidP="001A03FF">
            <w:pPr>
              <w:pStyle w:val="Lgendesigne"/>
              <w:rPr>
                <w:szCs w:val="24"/>
              </w:rPr>
            </w:pPr>
            <w:r>
              <w:tab/>
              <w:t>***III</w:t>
            </w:r>
            <w:r>
              <w:tab/>
              <w:t xml:space="preserve">Proċedura leġiżlattiva ordinarja (it-tielet </w:t>
            </w:r>
            <w:r>
              <w:t>qari)</w:t>
            </w:r>
          </w:p>
          <w:p w:rsidR="0044563D" w:rsidRPr="0044563D" w:rsidRDefault="0044563D" w:rsidP="001A03FF">
            <w:pPr>
              <w:pStyle w:val="Lgendestandard"/>
            </w:pPr>
          </w:p>
          <w:p w:rsidR="0044563D" w:rsidRPr="0044563D" w:rsidRDefault="00434C95" w:rsidP="001A03FF">
            <w:pPr>
              <w:pStyle w:val="Lgendestandard"/>
            </w:pPr>
            <w:r>
              <w:t>(It-tip ta’ proċedura jiddependi mill-bażi ġuridika proposta mill-abbozz ta’ att.)</w:t>
            </w:r>
          </w:p>
          <w:p w:rsidR="0044563D" w:rsidRPr="0044563D" w:rsidRDefault="0044563D" w:rsidP="007F43F3">
            <w:pPr>
              <w:pStyle w:val="Lgendestandard"/>
            </w:pPr>
          </w:p>
        </w:tc>
      </w:tr>
    </w:tbl>
    <w:p w:rsidR="0044563D" w:rsidRPr="0044563D" w:rsidRDefault="0044563D" w:rsidP="00894923"/>
    <w:p w:rsidR="0044563D" w:rsidRPr="0044563D" w:rsidRDefault="0044563D" w:rsidP="00894923"/>
    <w:p w:rsidR="0044563D" w:rsidRPr="0044563D" w:rsidRDefault="0044563D" w:rsidP="00894923"/>
    <w:p w:rsidR="0044563D" w:rsidRPr="0044563D" w:rsidRDefault="0044563D" w:rsidP="00894923"/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11"/>
      </w:tblGrid>
      <w:tr w:rsidR="00973510">
        <w:tc>
          <w:tcPr>
            <w:tcW w:w="5811" w:type="dxa"/>
          </w:tcPr>
          <w:p w:rsidR="0044563D" w:rsidRPr="0044563D" w:rsidRDefault="00434C95" w:rsidP="00894923">
            <w:pPr>
              <w:pStyle w:val="Lgendetitre"/>
            </w:pPr>
            <w:r>
              <w:t>Emendi għal abbozz ta’ att</w:t>
            </w:r>
          </w:p>
        </w:tc>
      </w:tr>
      <w:tr w:rsidR="00973510" w:rsidTr="0094769F">
        <w:trPr>
          <w:trHeight w:val="4638"/>
        </w:trPr>
        <w:tc>
          <w:tcPr>
            <w:tcW w:w="5811" w:type="dxa"/>
          </w:tcPr>
          <w:p w:rsidR="0044563D" w:rsidRPr="0044563D" w:rsidRDefault="00434C95" w:rsidP="007F43F3">
            <w:pPr>
              <w:pStyle w:val="Lgendestandard"/>
              <w:rPr>
                <w:szCs w:val="24"/>
              </w:rPr>
            </w:pPr>
            <w:r>
              <w:rPr>
                <w:b/>
              </w:rPr>
              <w:t>Emendi tal-Parlament f’żewġ kolonni</w:t>
            </w:r>
          </w:p>
          <w:p w:rsidR="0044563D" w:rsidRPr="0044563D" w:rsidRDefault="0044563D" w:rsidP="007F43F3">
            <w:pPr>
              <w:pStyle w:val="Lgendestandard"/>
              <w:rPr>
                <w:szCs w:val="24"/>
              </w:rPr>
            </w:pPr>
          </w:p>
          <w:p w:rsidR="0044563D" w:rsidRPr="0044563D" w:rsidRDefault="00434C95" w:rsidP="007F43F3">
            <w:pPr>
              <w:pStyle w:val="Lgendestandard"/>
              <w:rPr>
                <w:szCs w:val="24"/>
              </w:rPr>
            </w:pPr>
            <w:r>
              <w:t>It-tħassir huwa indikat permezz tat-tipa</w:t>
            </w:r>
            <w:r>
              <w:rPr>
                <w:b/>
                <w:i/>
              </w:rPr>
              <w:t xml:space="preserve"> korsiva u grassa</w:t>
            </w:r>
            <w:r>
              <w:t xml:space="preserve"> fil-kolonna tax-xellug. </w:t>
            </w:r>
            <w:r>
              <w:t>Is-sostituzzjoni hija indikata permezz tat-tipa</w:t>
            </w:r>
            <w:r>
              <w:rPr>
                <w:b/>
                <w:i/>
              </w:rPr>
              <w:t xml:space="preserve"> korsiva u grassa</w:t>
            </w:r>
            <w:r>
              <w:t xml:space="preserve"> fiż-żewġ kolonni. It-test ġdid huwa indikat permezz tat-tipa</w:t>
            </w:r>
            <w:r>
              <w:rPr>
                <w:b/>
                <w:i/>
              </w:rPr>
              <w:t xml:space="preserve"> korsiva u grassa</w:t>
            </w:r>
            <w:r>
              <w:t xml:space="preserve"> fil-kolonna tal-lemin.</w:t>
            </w:r>
          </w:p>
          <w:p w:rsidR="0044563D" w:rsidRPr="0044563D" w:rsidRDefault="0044563D" w:rsidP="007F43F3">
            <w:pPr>
              <w:pStyle w:val="Lgendestandard"/>
              <w:rPr>
                <w:szCs w:val="24"/>
              </w:rPr>
            </w:pPr>
          </w:p>
          <w:p w:rsidR="0044563D" w:rsidRPr="0044563D" w:rsidRDefault="00434C95" w:rsidP="007F43F3">
            <w:pPr>
              <w:pStyle w:val="Lgendestandard"/>
              <w:rPr>
                <w:szCs w:val="24"/>
              </w:rPr>
            </w:pPr>
            <w:r>
              <w:t>L-ewwel u t-tieni linji tal-intestatura ta’ kull emenda jidentifikaw il-parti tat-test ik</w:t>
            </w:r>
            <w:r>
              <w:t>konċernata fl-abbozz ta’ att inkwistjoni. Meta emenda tirrigwarda att eżistenti, li l-abbozz ta’ att ikollu l-ħsieb li jemenda, l-intestatura jkun fiha wkoll it-tielet u r-raba’ linji li jidentifikaw rispettivament l-att eżistenti u d-dispożizzjoni kkonċer</w:t>
            </w:r>
            <w:r>
              <w:t xml:space="preserve">nata f’dak l-att. </w:t>
            </w:r>
          </w:p>
          <w:p w:rsidR="0044563D" w:rsidRPr="0044563D" w:rsidRDefault="0044563D" w:rsidP="007F43F3">
            <w:pPr>
              <w:pStyle w:val="Lgendestandard"/>
              <w:rPr>
                <w:szCs w:val="24"/>
              </w:rPr>
            </w:pPr>
          </w:p>
          <w:p w:rsidR="0044563D" w:rsidRPr="0044563D" w:rsidRDefault="00434C95" w:rsidP="007F43F3">
            <w:pPr>
              <w:pStyle w:val="Lgendestandard"/>
              <w:rPr>
                <w:b/>
                <w:szCs w:val="24"/>
              </w:rPr>
            </w:pPr>
            <w:r>
              <w:rPr>
                <w:b/>
              </w:rPr>
              <w:t>Emendi tal-Parlament li jieħdu l-forma ta’ test konsolidat</w:t>
            </w:r>
          </w:p>
          <w:p w:rsidR="0044563D" w:rsidRPr="0044563D" w:rsidRDefault="0044563D" w:rsidP="007F43F3">
            <w:pPr>
              <w:pStyle w:val="Lgendestandard"/>
              <w:rPr>
                <w:szCs w:val="24"/>
              </w:rPr>
            </w:pPr>
          </w:p>
          <w:p w:rsidR="0044563D" w:rsidRPr="0044563D" w:rsidRDefault="00434C95" w:rsidP="007F43F3">
            <w:pPr>
              <w:pStyle w:val="Lgendestandard"/>
              <w:rPr>
                <w:szCs w:val="24"/>
              </w:rPr>
            </w:pPr>
            <w:r>
              <w:t>Il-partijiet ġodda tat-test huma indikati permezz tat-tipa</w:t>
            </w:r>
            <w:r>
              <w:rPr>
                <w:b/>
                <w:i/>
              </w:rPr>
              <w:t xml:space="preserve"> korsiva u grassa.</w:t>
            </w:r>
            <w:r>
              <w:t xml:space="preserve"> Il-partijiet imħassra tat-test huma indikati permezz tas-simbolu ▌ jew huma ingassati. Is-sostituzz</w:t>
            </w:r>
            <w:r>
              <w:t>joni tintwera billi jiġi indikat permezz tat-tipa</w:t>
            </w:r>
            <w:r>
              <w:rPr>
                <w:b/>
                <w:i/>
              </w:rPr>
              <w:t xml:space="preserve"> korsiva u grassa</w:t>
            </w:r>
            <w:r>
              <w:t xml:space="preserve"> t-test il-ġdid u billi jitħassar jew jiġi ingassat it-test sostitwit. </w:t>
            </w:r>
          </w:p>
          <w:p w:rsidR="0044563D" w:rsidRPr="0044563D" w:rsidRDefault="00434C95" w:rsidP="007F43F3">
            <w:pPr>
              <w:pStyle w:val="Lgendestandard"/>
            </w:pPr>
            <w:r>
              <w:tab/>
              <w:t>Bħala eċċezzjoni, it-tibdil ta’ natura strettament teknika magħmul mis-servizzi fil-preparazzjoni tat-test finali mhu</w:t>
            </w:r>
            <w:r>
              <w:t>wiex indikat.</w:t>
            </w:r>
          </w:p>
          <w:p w:rsidR="0044563D" w:rsidRPr="0044563D" w:rsidRDefault="0044563D" w:rsidP="0069092A">
            <w:pPr>
              <w:pStyle w:val="Lgendestandard"/>
            </w:pPr>
          </w:p>
        </w:tc>
      </w:tr>
    </w:tbl>
    <w:p w:rsidR="0044563D" w:rsidRPr="0044563D" w:rsidRDefault="0044563D" w:rsidP="00894923"/>
    <w:p w:rsidR="00ED0821" w:rsidRPr="0044563D" w:rsidRDefault="00ED0821" w:rsidP="00053B97">
      <w:pPr>
        <w:widowControl/>
        <w:tabs>
          <w:tab w:val="center" w:pos="4677"/>
        </w:tabs>
      </w:pPr>
    </w:p>
    <w:p w:rsidR="00ED0821" w:rsidRPr="0044563D" w:rsidRDefault="00434C95">
      <w:pPr>
        <w:pStyle w:val="TOCHeading"/>
      </w:pPr>
      <w:r>
        <w:br w:type="page"/>
      </w:r>
      <w:r>
        <w:lastRenderedPageBreak/>
        <w:t>WERREJ</w:t>
      </w:r>
    </w:p>
    <w:p w:rsidR="00ED0821" w:rsidRPr="0044563D" w:rsidRDefault="00434C95">
      <w:pPr>
        <w:pStyle w:val="TOCPage"/>
      </w:pPr>
      <w:r>
        <w:t>Paġna</w:t>
      </w:r>
    </w:p>
    <w:p w:rsidR="00434C95" w:rsidRDefault="00434C95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 w:rsidRPr="0044563D">
        <w:rPr>
          <w:b/>
        </w:rPr>
        <w:fldChar w:fldCharType="begin"/>
      </w:r>
      <w:r w:rsidRPr="0044563D">
        <w:rPr>
          <w:b/>
        </w:rPr>
        <w:instrText xml:space="preserve"> TOC \t "PageHeading</w:instrText>
      </w:r>
      <w:r w:rsidR="0044563D" w:rsidRPr="0044563D">
        <w:rPr>
          <w:b/>
        </w:rPr>
        <w:instrText>;</w:instrText>
      </w:r>
      <w:r w:rsidRPr="0044563D">
        <w:rPr>
          <w:b/>
        </w:rPr>
        <w:instrText xml:space="preserve">1" </w:instrText>
      </w:r>
      <w:r w:rsidRPr="0044563D">
        <w:rPr>
          <w:b/>
        </w:rPr>
        <w:fldChar w:fldCharType="separate"/>
      </w:r>
      <w:r>
        <w:rPr>
          <w:noProof/>
        </w:rPr>
        <w:t>ABBOZZ TA’ RIŻOLUZZJONI LEĠIŻLATTIVA TAL-PARLAMENT EWROPEW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_Toc160691504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434C95" w:rsidRDefault="00434C95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>
        <w:rPr>
          <w:noProof/>
        </w:rPr>
        <w:t>NOTA SPJEGATTIVA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_Toc160691505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1A06D8" w:rsidRPr="0044563D" w:rsidRDefault="00434C95" w:rsidP="008E4B14">
      <w:r w:rsidRPr="0044563D">
        <w:rPr>
          <w:b/>
        </w:rPr>
        <w:fldChar w:fldCharType="end"/>
      </w:r>
    </w:p>
    <w:p w:rsidR="00ED0821" w:rsidRPr="0044563D" w:rsidRDefault="00434C95">
      <w:pPr>
        <w:pStyle w:val="PageHeading"/>
      </w:pPr>
      <w:r>
        <w:br w:type="page"/>
      </w:r>
      <w:r>
        <w:lastRenderedPageBreak/>
        <w:br w:type="page"/>
      </w:r>
      <w:bookmarkStart w:id="1" w:name="_Toc160691504"/>
      <w:r>
        <w:lastRenderedPageBreak/>
        <w:t>ABBOZZ TA’ RIŻOLUZZJONI LEĠIŻLATTIVA TAL-PARLAMENT EWROPEW</w:t>
      </w:r>
      <w:bookmarkEnd w:id="1"/>
    </w:p>
    <w:p w:rsidR="0044563D" w:rsidRPr="0044563D" w:rsidRDefault="00434C95" w:rsidP="0044563D">
      <w:pPr>
        <w:pStyle w:val="NormalBold"/>
      </w:pPr>
      <w:r>
        <w:t xml:space="preserve">dwar il-proposta għal regolament tal-Parlament Ewropew u tal-Kunsill li jemenda r-Regolament (UE) 2018/1806 rigward </w:t>
      </w:r>
      <w:r>
        <w:t>id-detenturi ta’ passaporti Serbi maħruġa mid-Direttorat tal-Koordinazzjoni Serb (Koordinaciona uprava)</w:t>
      </w:r>
    </w:p>
    <w:p w:rsidR="00ED0821" w:rsidRPr="0044563D" w:rsidRDefault="00434C95" w:rsidP="0044563D">
      <w:pPr>
        <w:pStyle w:val="NormalBold12a"/>
      </w:pPr>
      <w:r>
        <w:t>(COM(2023)0733 – C9</w:t>
      </w:r>
      <w:r>
        <w:noBreakHyphen/>
        <w:t>0412/2023 – 2023/0418(COD))</w:t>
      </w:r>
    </w:p>
    <w:p w:rsidR="00ED0821" w:rsidRPr="0044563D" w:rsidRDefault="00434C95" w:rsidP="00837978">
      <w:pPr>
        <w:pStyle w:val="NormalBold"/>
      </w:pPr>
      <w:r>
        <w:t>(Proċedura leġiżlattiva ordinarja: l-ewwel qari)</w:t>
      </w:r>
    </w:p>
    <w:p w:rsidR="00ED0821" w:rsidRPr="0044563D" w:rsidRDefault="00434C95">
      <w:pPr>
        <w:pStyle w:val="EPComma"/>
      </w:pPr>
      <w:r>
        <w:rPr>
          <w:i/>
        </w:rPr>
        <w:t>Il-Parlament Ewropew</w:t>
      </w:r>
      <w:r>
        <w:t>,</w:t>
      </w:r>
    </w:p>
    <w:p w:rsidR="0044563D" w:rsidRPr="0044563D" w:rsidRDefault="00434C95" w:rsidP="0044563D">
      <w:pPr>
        <w:pStyle w:val="NormalHanging12a"/>
      </w:pPr>
      <w:r>
        <w:t>–</w:t>
      </w:r>
      <w:r>
        <w:tab/>
        <w:t>wara li kkunsidra l-proposta ta</w:t>
      </w:r>
      <w:r>
        <w:t>l-Kummissjoni lill-Parlament Ewropew u lill-Kunsill (COM(2023)0733),</w:t>
      </w:r>
    </w:p>
    <w:p w:rsidR="0044563D" w:rsidRPr="0044563D" w:rsidRDefault="00434C95" w:rsidP="0044563D">
      <w:pPr>
        <w:pStyle w:val="NormalHanging12a"/>
      </w:pPr>
      <w:r>
        <w:t>–</w:t>
      </w:r>
      <w:r>
        <w:tab/>
        <w:t>wara li kkunsidra l-Artikolu 294(2) u l-Artikolu 77(2), il-punt (a), tat-Trattat dwar il-Funzjonament tal-Unjoni Ewropea, skont liema artikoli l-Kummissjoni ppreżentat il-proposta lill-</w:t>
      </w:r>
      <w:r>
        <w:t>Parlament (C9</w:t>
      </w:r>
      <w:r>
        <w:noBreakHyphen/>
        <w:t>0412/2023),</w:t>
      </w:r>
    </w:p>
    <w:p w:rsidR="0044563D" w:rsidRPr="0044563D" w:rsidRDefault="00434C95" w:rsidP="0044563D">
      <w:pPr>
        <w:pStyle w:val="NormalHanging12a"/>
      </w:pPr>
      <w:r>
        <w:t>–</w:t>
      </w:r>
      <w:r>
        <w:tab/>
        <w:t>wara li kkunsidra l-Artikolu 294(3) tat-Trattat dwar il-Funzjonament tal-Unjoni Ewropea,</w:t>
      </w:r>
    </w:p>
    <w:p w:rsidR="0044563D" w:rsidRPr="0044563D" w:rsidRDefault="00434C95" w:rsidP="0044563D">
      <w:pPr>
        <w:pStyle w:val="NormalHanging12a"/>
      </w:pPr>
      <w:r>
        <w:t>–</w:t>
      </w:r>
      <w:r>
        <w:tab/>
        <w:t>wara li kkunsidra l-Artikolu 59 tar-Regoli ta’ Proċedura tiegħu,</w:t>
      </w:r>
    </w:p>
    <w:p w:rsidR="0044563D" w:rsidRPr="0044563D" w:rsidRDefault="00434C95" w:rsidP="0044563D">
      <w:pPr>
        <w:pStyle w:val="NormalHanging12a"/>
      </w:pPr>
      <w:r>
        <w:t>–</w:t>
      </w:r>
      <w:r>
        <w:tab/>
        <w:t>wara li kkunsidra r-rapport tal-Kumitat għal-Libertajiet Ċivili, il-Ġu</w:t>
      </w:r>
      <w:r>
        <w:t>stizzja u l-Intern (A9</w:t>
      </w:r>
      <w:r>
        <w:noBreakHyphen/>
        <w:t>0000/2024),</w:t>
      </w:r>
    </w:p>
    <w:p w:rsidR="0044563D" w:rsidRPr="0044563D" w:rsidRDefault="00434C95" w:rsidP="0044563D">
      <w:pPr>
        <w:pStyle w:val="NormalHanging12a"/>
      </w:pPr>
      <w:r>
        <w:t>1.</w:t>
      </w:r>
      <w:r>
        <w:tab/>
        <w:t>Jadotta l-pożizzjoni tiegħu fl-ewwel qari billi jinkorpora l-proposta tal-Kummissjoni;</w:t>
      </w:r>
    </w:p>
    <w:p w:rsidR="0044563D" w:rsidRPr="0044563D" w:rsidRDefault="00434C95" w:rsidP="0044563D">
      <w:pPr>
        <w:pStyle w:val="NormalHanging12a"/>
      </w:pPr>
      <w:r>
        <w:t>2.</w:t>
      </w:r>
      <w:r>
        <w:tab/>
        <w:t xml:space="preserve">Jitlob lill-Kummissjoni terġa’ tirreferi l-kwistjoni lill-Parlament jekk tibdel il-proposta tagħha, temendaha b’mod sustanzjali </w:t>
      </w:r>
      <w:r>
        <w:t>jew ikollha l-ħsieb li temendaha b’mod sustanzjali;</w:t>
      </w:r>
    </w:p>
    <w:p w:rsidR="0044563D" w:rsidRPr="0044563D" w:rsidRDefault="00434C95" w:rsidP="0044563D">
      <w:pPr>
        <w:pStyle w:val="NormalHanging12a"/>
      </w:pPr>
      <w:r>
        <w:t>3.</w:t>
      </w:r>
      <w:r>
        <w:tab/>
        <w:t>Jagħti istruzzjonijiet lill-President tiegħu biex tgħaddi l-pożizzjoni tal-Parlament lill-Kunsill u lill-Kummissjoni kif ukoll lill-parlamenti nazzjonali.</w:t>
      </w:r>
    </w:p>
    <w:p w:rsidR="0044563D" w:rsidRPr="0044563D" w:rsidRDefault="0044563D" w:rsidP="0044563D">
      <w:pPr>
        <w:sectPr w:rsidR="0044563D" w:rsidRPr="0044563D" w:rsidSect="0044563D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</w:sectPr>
      </w:pPr>
    </w:p>
    <w:p w:rsidR="0044563D" w:rsidRPr="0044563D" w:rsidRDefault="00434C95" w:rsidP="0044563D">
      <w:pPr>
        <w:pStyle w:val="PageHeading"/>
      </w:pPr>
      <w:bookmarkStart w:id="2" w:name="_Toc160559389"/>
      <w:bookmarkStart w:id="3" w:name="_Toc160691505"/>
      <w:r>
        <w:lastRenderedPageBreak/>
        <w:t>NOTA SPJEGATTIVA</w:t>
      </w:r>
      <w:bookmarkEnd w:id="2"/>
      <w:bookmarkEnd w:id="3"/>
    </w:p>
    <w:p w:rsidR="0044563D" w:rsidRPr="0044563D" w:rsidRDefault="00434C95" w:rsidP="0044563D">
      <w:pPr>
        <w:pStyle w:val="Body"/>
        <w:rPr>
          <w:sz w:val="22"/>
          <w:szCs w:val="22"/>
        </w:rPr>
      </w:pPr>
      <w:r>
        <w:rPr>
          <w:b/>
        </w:rPr>
        <w:t xml:space="preserve">a. </w:t>
      </w:r>
      <w:r>
        <w:rPr>
          <w:b/>
        </w:rPr>
        <w:t>Kuntest</w:t>
      </w:r>
      <w:r>
        <w:rPr>
          <w:sz w:val="22"/>
        </w:rPr>
        <w:t xml:space="preserve"> </w:t>
      </w:r>
    </w:p>
    <w:p w:rsidR="0044563D" w:rsidRPr="0044563D" w:rsidRDefault="0044563D" w:rsidP="0044563D">
      <w:pPr>
        <w:pStyle w:val="Body"/>
      </w:pPr>
    </w:p>
    <w:p w:rsidR="0044563D" w:rsidRPr="0044563D" w:rsidRDefault="00434C95" w:rsidP="0044563D">
      <w:pPr>
        <w:pStyle w:val="Body"/>
      </w:pPr>
      <w:r>
        <w:t>Fis-16 ta’ Novembru 2023 il-Kummissjoni ppreżentat proposta għal regolament tal-Parlament Ewropew u tal-Kunsill li jemenda r-Regolament (UE) 2018/1806 rigward id-detenturi ta’ passaporti Serbi maħruġa mid-Direttorat tal-Koordinazzjoni Serb (Koord</w:t>
      </w:r>
      <w:r>
        <w:t>inaciona uprava).</w:t>
      </w:r>
    </w:p>
    <w:p w:rsidR="0044563D" w:rsidRPr="0044563D" w:rsidRDefault="0044563D" w:rsidP="0044563D">
      <w:pPr>
        <w:pStyle w:val="Body"/>
      </w:pPr>
    </w:p>
    <w:p w:rsidR="0044563D" w:rsidRPr="0044563D" w:rsidRDefault="00434C95" w:rsidP="0044563D">
      <w:pPr>
        <w:pStyle w:val="Body"/>
        <w:spacing w:after="240"/>
      </w:pPr>
      <w:r>
        <w:t xml:space="preserve">Skont il-Kummissjoni din l-emenda għar-Regolament (UE) 2018/1806 tkun tippermetti li jiġu eżentati d-detenturi ta’ </w:t>
      </w:r>
      <w:bookmarkStart w:id="4" w:name="_Hlk148994817"/>
      <w:r>
        <w:t>passaporti Serbi maħruġa mid-Direttorat tal-Koordinazzjoni Serb</w:t>
      </w:r>
      <w:bookmarkEnd w:id="4"/>
      <w:r>
        <w:t xml:space="preserve"> mill-ħtieġa li jkunu fil-pussess ta’ viża meta jaqsmu l-fr</w:t>
      </w:r>
      <w:r>
        <w:t>untieri esterni tal-Istati Membri għal soġġorni ta’ mhux aktar minn 90 jum fi kwalunkwe perjodu ta’ 180 jum.</w:t>
      </w:r>
    </w:p>
    <w:p w:rsidR="0044563D" w:rsidRPr="0044563D" w:rsidRDefault="00434C95" w:rsidP="0044563D">
      <w:pPr>
        <w:pStyle w:val="Body"/>
        <w:spacing w:after="240"/>
      </w:pPr>
      <w:r>
        <w:t>Fl-2009, il-Kosovo ġie inkluż fil-parti 2 tal-Anness I tar-Regolament (KE) Nru 539/2001, li jfisser li d-detenturi ta’ passaporti maħruġa mill-Koso</w:t>
      </w:r>
      <w:r>
        <w:t>vo kienu meħtieġa li jkunu fil-pussess ta’ viża meta jaqsmu l-fruntieri esterni tal-Istati Membri. Fid-19 ta’ Jannar 2012, il-Kummissjoni nediet djalogu mal-Kosovo dwar il-liberalizzazzjoni tal-viża. Fl-14 ta’ Ġunju 2012, ippreżentat lill-Kosovo pjan direz</w:t>
      </w:r>
      <w:r>
        <w:t>zjonali li kien jidentifika l-leġiżlazzjoni u l-miżuri l-oħra kollha li jeħtieġ li jiġu adottati u implimentati mill-Kosovo sabiex jagħmel progress rigward il-liberalizzazzjoni tal-viża. Dan id-djalogu ġie konkluż b’suċċess u, fl-4 ta’ Mejju 2016, il-Kummi</w:t>
      </w:r>
      <w:r>
        <w:t>ssjoni ppreżentat proposta</w:t>
      </w:r>
      <w:r>
        <w:rPr>
          <w:rStyle w:val="FootnoteReference"/>
        </w:rPr>
        <w:footnoteReference w:id="1"/>
      </w:r>
      <w:r>
        <w:t xml:space="preserve"> biex il-Kosovo jiġi ttrasferit għall-Anness II tar-Regolament (KE) Nru 539/2001.</w:t>
      </w:r>
    </w:p>
    <w:p w:rsidR="0044563D" w:rsidRPr="0044563D" w:rsidRDefault="00434C95" w:rsidP="0044563D">
      <w:pPr>
        <w:pStyle w:val="Body"/>
        <w:spacing w:after="240"/>
      </w:pPr>
      <w:r>
        <w:t>Din il-proposta ġiet finalment maqbula u adottata fid-19 ta’ April 2023. Ir-Regolament (UE) 2023/850</w:t>
      </w:r>
      <w:r>
        <w:rPr>
          <w:rStyle w:val="FootnoteReference"/>
        </w:rPr>
        <w:footnoteReference w:id="2"/>
      </w:r>
      <w:r>
        <w:t xml:space="preserve"> emenda r-Regolament (UE) 2018/1806</w:t>
      </w:r>
      <w:r>
        <w:rPr>
          <w:rStyle w:val="FootnoteReference"/>
        </w:rPr>
        <w:footnoteReference w:id="3"/>
      </w:r>
      <w:r>
        <w:t xml:space="preserve"> (li sadan</w:t>
      </w:r>
      <w:r>
        <w:t>ittant kien issostitwixxa r-Regolament (KE) Nru 539/2001), billi ttrasferixxa l-Kosovo mill-Parti 2 tal-Anness I għall-Parti 4 tal-Anness II ta’ dak ir-Regolament. Bħal fil-każ tad-djalogi kollha preċedenti konklużi b’suċċess dwar il-liberalizzazzjoni tal-</w:t>
      </w:r>
      <w:r>
        <w:t>viża, ġie deċiż li jenħtieġ li l-eżenzjoni mill-ħtieġa ta’ viża tapplika biss għad-detenturi ta’ passaporti bijometriċi. Barra minn hekk, ġie deċiż li jenħtieġ li l-eżenzjoni ma tapplikax qabel id-data minn meta tibda topera s-Sistema Ewropea ta’ Informazz</w:t>
      </w:r>
      <w:r>
        <w:t>joni u ta’ Awtorizzazzjoni għall-Ivvjaġġar (European Travel Information and Authorisation System, ETIAS), stabbilita bir-Regolament (UE) 2018/1240 tal-Parlament Ewropew u tal-Kunsill</w:t>
      </w:r>
      <w:r>
        <w:rPr>
          <w:rStyle w:val="FootnoteReference"/>
        </w:rPr>
        <w:footnoteReference w:id="4"/>
      </w:r>
      <w:r>
        <w:t>, jew sal-1 ta’ Jannar 2024, skont liema data tiġi l-ewwel. Wara l-adozzj</w:t>
      </w:r>
      <w:r>
        <w:t>oni tar-Regolament (UE) 2023/850, id-detenturi ta’ passaporti Serbi maħruġa mid-</w:t>
      </w:r>
      <w:r>
        <w:lastRenderedPageBreak/>
        <w:t xml:space="preserve">Direttorat tal-Koordinazzjoni Serb jibqgħu l-uniċi ċittadini fir-reġjun tal-Balkani tal-Punent meħtieġa li jkollhom viża meta jivvjaġġaw lejn l-UE għal soġġorni qosra. </w:t>
      </w:r>
    </w:p>
    <w:p w:rsidR="0044563D" w:rsidRPr="0044563D" w:rsidRDefault="00434C95" w:rsidP="0044563D">
      <w:pPr>
        <w:pStyle w:val="Body"/>
        <w:spacing w:after="240"/>
      </w:pPr>
      <w:r>
        <w:t>Bid-dħu</w:t>
      </w:r>
      <w:r>
        <w:t>l fis-seħħ tal-eżenzjoni mill-viża għad-detenturi ta’ passaport tal-Kosovo, fil-proposta tagħha, il-Kummissjoni qieset li r-raġunijiet għall-esklużjoni tad-</w:t>
      </w:r>
      <w:bookmarkStart w:id="5" w:name="_Hlk148994149"/>
      <w:r>
        <w:t>detenturi ta’ passaporti Serbi maħruġa mid-Direttorat tal-Koordinazzjoni Serb</w:t>
      </w:r>
      <w:bookmarkEnd w:id="5"/>
      <w:r>
        <w:t xml:space="preserve"> minn dik l-eżenzjoni m</w:t>
      </w:r>
      <w:r>
        <w:t>ill-viża m’għadhomx jeżistu, u li jenħtieġ li ċ-ċittadini kollha tar-reġjun tal-Balkani tal-Punent jibbenefikaw minn vjaġġar mingħajr viża lejn iż-żona Schengen.</w:t>
      </w:r>
    </w:p>
    <w:p w:rsidR="0044563D" w:rsidRPr="0044563D" w:rsidRDefault="0044563D" w:rsidP="0044563D">
      <w:pPr>
        <w:pStyle w:val="Body"/>
        <w:rPr>
          <w:b/>
          <w:bCs/>
        </w:rPr>
      </w:pPr>
    </w:p>
    <w:p w:rsidR="0044563D" w:rsidRPr="0044563D" w:rsidRDefault="00434C95" w:rsidP="0044563D">
      <w:pPr>
        <w:pStyle w:val="Body"/>
        <w:rPr>
          <w:b/>
          <w:bCs/>
        </w:rPr>
      </w:pPr>
      <w:r>
        <w:rPr>
          <w:b/>
        </w:rPr>
        <w:t>b. Id-Direttorat tal-Koordinazzjoni Serb</w:t>
      </w:r>
    </w:p>
    <w:p w:rsidR="0044563D" w:rsidRPr="0044563D" w:rsidRDefault="0044563D" w:rsidP="0044563D">
      <w:pPr>
        <w:pStyle w:val="Body"/>
        <w:spacing w:after="240"/>
      </w:pPr>
    </w:p>
    <w:p w:rsidR="0044563D" w:rsidRPr="0044563D" w:rsidRDefault="00434C95" w:rsidP="0044563D">
      <w:pPr>
        <w:pStyle w:val="Body"/>
        <w:spacing w:after="240"/>
      </w:pPr>
      <w:r>
        <w:t>Id-Direttorat tal-Koordinazzjoni Serb ġie stabbilit</w:t>
      </w:r>
      <w:r>
        <w:t xml:space="preserve"> matul id-djalogu dwar il-liberalizzazzjoni tal-viża mas-Serbja. L-għan kien li jiġu sostitwiti s-seba’ Direttorati tal-Pulizija reġjonali mifruxa fuq it-territorju Serb, li sa dak iż-żmien kien responsabbli għall-ħruġ ta’ passaporti lis-Serbi tal-Kosovo. </w:t>
      </w:r>
      <w:r>
        <w:t>Il-passaporti maħruġa mid-Direttorat tal-Koordinazzjoni Serb huma bijometriċi u ntużaw mid-detenturi tagħhom bħala dokumenti tal-ivvjaġġar għall-iskop ta’ vvjaġġar lejn l-UE minn meta ġie stabbilit id-Direttorat.</w:t>
      </w:r>
    </w:p>
    <w:p w:rsidR="0044563D" w:rsidRPr="0044563D" w:rsidRDefault="00434C95" w:rsidP="0044563D">
      <w:pPr>
        <w:pStyle w:val="Body"/>
        <w:spacing w:after="240"/>
      </w:pPr>
      <w:r>
        <w:t>Mit-tnedija tal-ewwel djalogi dwar il-liber</w:t>
      </w:r>
      <w:r>
        <w:t>alizzazzjoni tal-viża fl-2008, il-Kummissjoni stabbiliet objettiv ġenerali li r-reġjun kollu tal-Balkani tal-Punent jingħata aċċess mingħajr viża għaż-żona Schengen. Il-ħtieġa ta’ viża għall-Montenegro, il-Maċedonja ta’ Fuq u s-Serbja tneħħiet fl-2009, għa</w:t>
      </w:r>
      <w:r>
        <w:t xml:space="preserve">ll-Albanija u l-Bożnija-Ħerzegovina fl-2010 u għall-Kosovo fl-2023. F’dan il-kuntest, it-tneħħija </w:t>
      </w:r>
      <w:bookmarkStart w:id="6" w:name="_Hlk148995018"/>
      <w:r>
        <w:t>tal-esklużjoni mill-eżenzjoni tal-viża li tikkonċerna d-detenturi ta’ passaporti Serbi maħruġa mid-Direttorat tal-Koordinazzjoni Serb</w:t>
      </w:r>
      <w:bookmarkEnd w:id="6"/>
      <w:r>
        <w:t xml:space="preserve"> tiżgura li r-reġjun koll</w:t>
      </w:r>
      <w:r>
        <w:t>u tal-Balkani tal-Punent ikun soġġett għall-istess sistema tal-viża.</w:t>
      </w:r>
    </w:p>
    <w:p w:rsidR="0044563D" w:rsidRPr="0044563D" w:rsidRDefault="00434C95" w:rsidP="0044563D">
      <w:pPr>
        <w:pStyle w:val="Body"/>
      </w:pPr>
      <w:r>
        <w:rPr>
          <w:b/>
        </w:rPr>
        <w:t>c. Il-pożizzjoni tar-rapporteur</w:t>
      </w:r>
    </w:p>
    <w:p w:rsidR="0044563D" w:rsidRPr="0044563D" w:rsidRDefault="0044563D" w:rsidP="0044563D">
      <w:pPr>
        <w:pStyle w:val="Body"/>
        <w:tabs>
          <w:tab w:val="left" w:pos="1989"/>
        </w:tabs>
      </w:pPr>
    </w:p>
    <w:p w:rsidR="0044563D" w:rsidRPr="0044563D" w:rsidRDefault="0044563D" w:rsidP="0044563D">
      <w:pPr>
        <w:pStyle w:val="Body"/>
        <w:tabs>
          <w:tab w:val="left" w:pos="1989"/>
        </w:tabs>
      </w:pPr>
    </w:p>
    <w:p w:rsidR="0044563D" w:rsidRPr="0044563D" w:rsidRDefault="00434C95" w:rsidP="0044563D">
      <w:pPr>
        <w:pStyle w:val="Body"/>
        <w:tabs>
          <w:tab w:val="left" w:pos="1989"/>
        </w:tabs>
      </w:pPr>
      <w:r>
        <w:t xml:space="preserve">Il-politika tal-Unjoni Ewropea dwar il-viżi, inkluż ir-reġim ta’ liberalizzazzjoni tal-viża, bla dubju kienet waħda mill-istrumenti ta’ persważjoni </w:t>
      </w:r>
      <w:r>
        <w:t xml:space="preserve">l-aktar influwenti fil-qasam tal-politika estera tal-Ewropa. Madankollu, minħabba l-kumplessità tal-ġeopolitika dinjija iżda wkoll spiss minħabba l-firdiet interni tal-Unjoni Ewropea, kellhom isiru ċerti kompromessi u kellhom jittieħdu ċerti deċiżjonijiet </w:t>
      </w:r>
      <w:r>
        <w:t xml:space="preserve">li spiss joħolqu problemi fil-futur.  Dan hu l-każ tal-Balkani tal-Punent, fejn l-affarijiet qatt mhuma sempliċi u rari jkunu faċli. </w:t>
      </w:r>
    </w:p>
    <w:p w:rsidR="0044563D" w:rsidRPr="0044563D" w:rsidRDefault="0044563D" w:rsidP="0044563D">
      <w:pPr>
        <w:pStyle w:val="Body"/>
        <w:tabs>
          <w:tab w:val="left" w:pos="1989"/>
        </w:tabs>
      </w:pPr>
    </w:p>
    <w:p w:rsidR="0044563D" w:rsidRPr="0044563D" w:rsidRDefault="00434C95" w:rsidP="0044563D">
      <w:pPr>
        <w:pStyle w:val="Body"/>
        <w:tabs>
          <w:tab w:val="left" w:pos="1989"/>
        </w:tabs>
      </w:pPr>
      <w:r>
        <w:t>F’dak li għandu x’jaqsam mal-proposta tal-Kummissjoni, ir-rapporteur huwa tal-fehma li din il-kwistjoni kumplessa teħtieġ</w:t>
      </w:r>
      <w:r>
        <w:t xml:space="preserve"> l-eżami tal-fatti u tal-aspetti kollha, iżda jixirqilha wkoll li jittieħed approċċ skont liema l-politika titħalla barra mill-kwistjoni għal ftit. </w:t>
      </w:r>
    </w:p>
    <w:p w:rsidR="0044563D" w:rsidRPr="0044563D" w:rsidRDefault="00434C95" w:rsidP="0044563D">
      <w:pPr>
        <w:pStyle w:val="Body"/>
        <w:tabs>
          <w:tab w:val="left" w:pos="1989"/>
        </w:tabs>
      </w:pPr>
      <w:r>
        <w:t>Hemm bżonn li jiġi rikonoxxut li l-Unjoni Ewropea kienet katalizzatur kbir ta’ din il-problema u, għalhekk,</w:t>
      </w:r>
      <w:r>
        <w:t xml:space="preserve"> ir-rapporteur jidhirlu li l-UE issa jeħtiġilha wkoll issolviha. </w:t>
      </w:r>
    </w:p>
    <w:p w:rsidR="0044563D" w:rsidRPr="0044563D" w:rsidRDefault="0044563D" w:rsidP="0044563D">
      <w:pPr>
        <w:pStyle w:val="Body"/>
        <w:tabs>
          <w:tab w:val="left" w:pos="1989"/>
        </w:tabs>
      </w:pPr>
    </w:p>
    <w:p w:rsidR="0044563D" w:rsidRPr="0044563D" w:rsidRDefault="00434C95" w:rsidP="0044563D">
      <w:pPr>
        <w:pStyle w:val="Body"/>
        <w:tabs>
          <w:tab w:val="left" w:pos="1989"/>
        </w:tabs>
      </w:pPr>
      <w:r>
        <w:t>Forsi ma kienx għaqli li fuq is-Serbja, bħala parti mid-djalogu tagħha dwar il-liberalizzazzjoni tal-viża fl-2008, ġiet imposta distinzjoni għall-ħruġ tal-passaporti għas-Serbi li jgħixu fi</w:t>
      </w:r>
      <w:r>
        <w:t xml:space="preserve">l-Kosovo, meta konna nafu li tali soluzzjoni dejjem setgħet biss tkun ta’ natura temporanja. Fl-istess ħin, f’din is-soluzzjoni temporanja ma ġewx introdotti biżżejjed salvagwardji li maż-żmien ikunu jipprevedu t-tmiem tagħha. </w:t>
      </w:r>
    </w:p>
    <w:p w:rsidR="0044563D" w:rsidRPr="0044563D" w:rsidRDefault="0044563D" w:rsidP="0044563D">
      <w:pPr>
        <w:pStyle w:val="Body"/>
        <w:tabs>
          <w:tab w:val="left" w:pos="1989"/>
        </w:tabs>
      </w:pPr>
    </w:p>
    <w:p w:rsidR="0044563D" w:rsidRPr="0044563D" w:rsidRDefault="00434C95" w:rsidP="0044563D">
      <w:pPr>
        <w:pStyle w:val="Body"/>
      </w:pPr>
      <w:r>
        <w:t xml:space="preserve">Barra minn hekk, in-nuqqas </w:t>
      </w:r>
      <w:r>
        <w:t xml:space="preserve">ta’ progress fin-normalizzazzjoni tar-relazzjonijiet bejn is-Serbja u l-Kosovo, u l-fatt li s-Serbja u l-Kosovo għadhom ma jirrikonoxxux id-dokumenti ta’ xulxin, ma kkontribwew bl-ebda mod utli biex jiġi evitat li tali kwistjoni ssir problema. </w:t>
      </w:r>
    </w:p>
    <w:p w:rsidR="0044563D" w:rsidRPr="0044563D" w:rsidRDefault="0044563D" w:rsidP="0044563D">
      <w:pPr>
        <w:pStyle w:val="Body"/>
        <w:tabs>
          <w:tab w:val="left" w:pos="1989"/>
        </w:tabs>
      </w:pPr>
    </w:p>
    <w:p w:rsidR="0044563D" w:rsidRPr="0044563D" w:rsidRDefault="00434C95" w:rsidP="0044563D">
      <w:pPr>
        <w:pStyle w:val="Body"/>
        <w:tabs>
          <w:tab w:val="left" w:pos="1989"/>
        </w:tabs>
      </w:pPr>
      <w:r>
        <w:t>Ir-rapport</w:t>
      </w:r>
      <w:r>
        <w:t>eur jaf sewwa li r-residenti Serbi tal-Kosovo li huma detenturi tal-passaporti maħruġa mid-Direttorat tal-Koordinazzjoni Serb illum għadhom l-aħħar kategorija ta’ persuni fil-Balkani tal-Punent li għad għandhom l-obbligu ta’ viża tal-UE, u ta’ dan ma għand</w:t>
      </w:r>
      <w:r>
        <w:t>homx ħtija. Ir-rapporteur iqis li dan jikkostitwixxi diskriminazzjoni u fil-prinċipju huwa konvint mill-fehma tiegħu li kwalunkwe diskriminazzjoni jenħtieġ li tkun projbita u, jekk isseħħ, jingħatalha rimedju minnufih. Dan l-istess prinċipju jenħtieġ li ja</w:t>
      </w:r>
      <w:r>
        <w:t xml:space="preserve">pplika wkoll għal din il-proposta. </w:t>
      </w:r>
    </w:p>
    <w:p w:rsidR="0044563D" w:rsidRPr="0044563D" w:rsidRDefault="0044563D" w:rsidP="0044563D">
      <w:pPr>
        <w:pStyle w:val="Body"/>
        <w:tabs>
          <w:tab w:val="left" w:pos="1989"/>
        </w:tabs>
      </w:pPr>
    </w:p>
    <w:p w:rsidR="0044563D" w:rsidRPr="0044563D" w:rsidRDefault="00434C95" w:rsidP="0044563D">
      <w:pPr>
        <w:pStyle w:val="Body"/>
        <w:tabs>
          <w:tab w:val="left" w:pos="1989"/>
        </w:tabs>
      </w:pPr>
      <w:r>
        <w:t xml:space="preserve">Sakemm il-kwistjoni tal-istatus definittiv tal-Kosovo tiġi solvuta jew sakemm isir progress sinifikanti fin-normalizzazzjoni tar-relazzjonijiet bejn il-Kosovo u s-Serbja, ir-rapporteur huwa tal-fehma li din il-proposta </w:t>
      </w:r>
      <w:r>
        <w:t>m’għandha la tipprova, la ssolvi t-tilwima bejn is-Serbja u l-Kosovo u lanqas ma tkun mistennija li ssolviha. Ir-rapporteur jidhirlu li biex jintlaħaq l-aqwa riżultat, jenħtieġ li l-politika titħalla barra u jittieħed approċċ ta’ natura teknika għal din il</w:t>
      </w:r>
      <w:r>
        <w:t xml:space="preserve">-kwistjoni. </w:t>
      </w:r>
    </w:p>
    <w:p w:rsidR="0044563D" w:rsidRPr="0044563D" w:rsidRDefault="0044563D" w:rsidP="0044563D">
      <w:pPr>
        <w:pStyle w:val="Body"/>
        <w:tabs>
          <w:tab w:val="left" w:pos="1989"/>
        </w:tabs>
      </w:pPr>
    </w:p>
    <w:p w:rsidR="0044563D" w:rsidRPr="0044563D" w:rsidRDefault="00434C95" w:rsidP="0044563D">
      <w:pPr>
        <w:pStyle w:val="Body"/>
        <w:tabs>
          <w:tab w:val="left" w:pos="1989"/>
        </w:tabs>
      </w:pPr>
      <w:r>
        <w:t>Għaldaqstant, huwa u jifhem il-kumplessità tal-kwistjonijiet u billi eżamina l-aspetti differenti kollha, ir-rapporteur jilqa’ pożittivament il-proposta tal-Kummissjoni u jappoġġa l-adozzjoni rapida tagħha fil-leġiżlatura attwali tal-Parlamen</w:t>
      </w:r>
      <w:r>
        <w:t>t, mingħajr emendi.</w:t>
      </w:r>
    </w:p>
    <w:p w:rsidR="002A1CE3" w:rsidRPr="0044563D" w:rsidRDefault="002A1CE3" w:rsidP="002A1CE3"/>
    <w:sectPr w:rsidR="002A1CE3" w:rsidRPr="0044563D" w:rsidSect="0044563D">
      <w:footerReference w:type="first" r:id="rId15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34C95">
      <w:r>
        <w:separator/>
      </w:r>
    </w:p>
  </w:endnote>
  <w:endnote w:type="continuationSeparator" w:id="0">
    <w:p w:rsidR="00000000" w:rsidRDefault="00434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63D" w:rsidRPr="0044563D" w:rsidRDefault="00434C95" w:rsidP="0044563D">
    <w:pPr>
      <w:pStyle w:val="EPFooter"/>
    </w:pPr>
    <w:r w:rsidRPr="0044563D">
      <w:t>PE</w:t>
    </w:r>
    <w:r w:rsidRPr="0044563D">
      <w:rPr>
        <w:rStyle w:val="HideTWBExt"/>
      </w:rPr>
      <w:t>&lt;NoPE&gt;</w:t>
    </w:r>
    <w:r w:rsidRPr="0044563D">
      <w:t>759.740</w:t>
    </w:r>
    <w:r w:rsidRPr="0044563D">
      <w:rPr>
        <w:rStyle w:val="HideTWBExt"/>
      </w:rPr>
      <w:t>&lt;/NoPE&gt;&lt;Version&gt;</w:t>
    </w:r>
    <w:r w:rsidRPr="0044563D">
      <w:t>v01-00</w:t>
    </w:r>
    <w:r w:rsidRPr="0044563D">
      <w:rPr>
        <w:rStyle w:val="HideTWBExt"/>
      </w:rPr>
      <w:t>&lt;/Version&gt;</w:t>
    </w:r>
    <w:r w:rsidRPr="0044563D">
      <w:tab/>
    </w:r>
    <w:r w:rsidRPr="0044563D">
      <w:fldChar w:fldCharType="begin"/>
    </w:r>
    <w:r w:rsidRPr="0044563D">
      <w:instrText xml:space="preserve"> PAGE  \* MERGEFORMAT </w:instrText>
    </w:r>
    <w:r w:rsidRPr="0044563D">
      <w:fldChar w:fldCharType="separate"/>
    </w:r>
    <w:r>
      <w:rPr>
        <w:noProof/>
      </w:rPr>
      <w:t>2</w:t>
    </w:r>
    <w:r w:rsidRPr="0044563D">
      <w:fldChar w:fldCharType="end"/>
    </w:r>
    <w:r w:rsidRPr="0044563D">
      <w:t>/</w:t>
    </w:r>
    <w:r w:rsidR="008D0F30">
      <w:fldChar w:fldCharType="begin"/>
    </w:r>
    <w:r>
      <w:instrText xml:space="preserve"> NUMPAGES  \* MERGEFORMAT </w:instrText>
    </w:r>
    <w:r w:rsidR="008D0F30">
      <w:fldChar w:fldCharType="separate"/>
    </w:r>
    <w:r>
      <w:rPr>
        <w:noProof/>
      </w:rPr>
      <w:t>8</w:t>
    </w:r>
    <w:r w:rsidR="008D0F30">
      <w:rPr>
        <w:noProof/>
      </w:rPr>
      <w:fldChar w:fldCharType="end"/>
    </w:r>
    <w:r w:rsidRPr="0044563D">
      <w:tab/>
    </w:r>
    <w:r w:rsidRPr="0044563D">
      <w:rPr>
        <w:rStyle w:val="HideTWBExt"/>
      </w:rPr>
      <w:t>&lt;PathFdR&gt;</w:t>
    </w:r>
    <w:r w:rsidRPr="0044563D">
      <w:t>PR\1297972MT.docx</w:t>
    </w:r>
    <w:r w:rsidRPr="0044563D">
      <w:rPr>
        <w:rStyle w:val="HideTWBExt"/>
      </w:rPr>
      <w:t>&lt;/PathFdR&gt;</w:t>
    </w:r>
  </w:p>
  <w:p w:rsidR="0044563D" w:rsidRPr="0044563D" w:rsidRDefault="00434C95" w:rsidP="0044563D">
    <w:pPr>
      <w:pStyle w:val="EPFooter2"/>
    </w:pPr>
    <w:r w:rsidRPr="0044563D">
      <w:t>MT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63D" w:rsidRPr="0044563D" w:rsidRDefault="00434C95" w:rsidP="0044563D">
    <w:pPr>
      <w:pStyle w:val="EPFooter"/>
    </w:pPr>
    <w:r w:rsidRPr="0044563D">
      <w:rPr>
        <w:rStyle w:val="HideTWBExt"/>
      </w:rPr>
      <w:t>&lt;PathFdR&gt;</w:t>
    </w:r>
    <w:r w:rsidRPr="0044563D">
      <w:t>PR\1297972MT.docx</w:t>
    </w:r>
    <w:r w:rsidRPr="0044563D">
      <w:rPr>
        <w:rStyle w:val="HideTWBExt"/>
      </w:rPr>
      <w:t>&lt;/PathFdR&gt;</w:t>
    </w:r>
    <w:r w:rsidRPr="0044563D">
      <w:tab/>
    </w:r>
    <w:r w:rsidRPr="0044563D">
      <w:fldChar w:fldCharType="begin"/>
    </w:r>
    <w:r w:rsidRPr="0044563D">
      <w:instrText xml:space="preserve"> PAGE  \* MERGEFORMAT </w:instrText>
    </w:r>
    <w:r w:rsidRPr="0044563D">
      <w:fldChar w:fldCharType="separate"/>
    </w:r>
    <w:r>
      <w:rPr>
        <w:noProof/>
      </w:rPr>
      <w:t>8</w:t>
    </w:r>
    <w:r w:rsidRPr="0044563D">
      <w:fldChar w:fldCharType="end"/>
    </w:r>
    <w:r w:rsidRPr="0044563D">
      <w:t>/</w:t>
    </w:r>
    <w:r w:rsidR="008D0F30">
      <w:fldChar w:fldCharType="begin"/>
    </w:r>
    <w:r>
      <w:instrText xml:space="preserve"> NUMPAGES  \* MERGEFORMAT </w:instrText>
    </w:r>
    <w:r w:rsidR="008D0F30">
      <w:fldChar w:fldCharType="separate"/>
    </w:r>
    <w:r>
      <w:rPr>
        <w:noProof/>
      </w:rPr>
      <w:t>8</w:t>
    </w:r>
    <w:r w:rsidR="008D0F30">
      <w:rPr>
        <w:noProof/>
      </w:rPr>
      <w:fldChar w:fldCharType="end"/>
    </w:r>
    <w:r w:rsidRPr="0044563D">
      <w:tab/>
      <w:t>PE</w:t>
    </w:r>
    <w:r w:rsidRPr="0044563D">
      <w:rPr>
        <w:rStyle w:val="HideTWBExt"/>
      </w:rPr>
      <w:t>&lt;NoPE&gt;</w:t>
    </w:r>
    <w:r w:rsidRPr="0044563D">
      <w:t>759.740</w:t>
    </w:r>
    <w:r w:rsidRPr="0044563D">
      <w:rPr>
        <w:rStyle w:val="HideTWBExt"/>
      </w:rPr>
      <w:t>&lt;/NoPE&gt;&lt;Version&gt;</w:t>
    </w:r>
    <w:r w:rsidRPr="0044563D">
      <w:t>v01-00</w:t>
    </w:r>
    <w:r w:rsidRPr="0044563D">
      <w:rPr>
        <w:rStyle w:val="HideTWBExt"/>
      </w:rPr>
      <w:t>&lt;/Version&gt;</w:t>
    </w:r>
  </w:p>
  <w:p w:rsidR="0044563D" w:rsidRPr="0044563D" w:rsidRDefault="00434C95" w:rsidP="0044563D">
    <w:pPr>
      <w:pStyle w:val="EPFooter2"/>
    </w:pPr>
    <w:r w:rsidRPr="0044563D">
      <w:tab/>
    </w:r>
    <w:r w:rsidRPr="0044563D">
      <w:tab/>
      <w:t>MT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63D" w:rsidRPr="0044563D" w:rsidRDefault="00434C95" w:rsidP="0044563D">
    <w:pPr>
      <w:pStyle w:val="EPFooter"/>
    </w:pPr>
    <w:r w:rsidRPr="0044563D">
      <w:rPr>
        <w:rStyle w:val="HideTWBExt"/>
      </w:rPr>
      <w:t>&lt;PathFdR&gt;</w:t>
    </w:r>
    <w:r w:rsidRPr="0044563D">
      <w:t>PR\1297972MT.docx</w:t>
    </w:r>
    <w:r w:rsidRPr="0044563D">
      <w:rPr>
        <w:rStyle w:val="HideTWBExt"/>
      </w:rPr>
      <w:t>&lt;/PathFdR&gt;</w:t>
    </w:r>
    <w:r w:rsidRPr="0044563D">
      <w:tab/>
    </w:r>
    <w:r w:rsidRPr="0044563D">
      <w:tab/>
      <w:t>PE</w:t>
    </w:r>
    <w:r w:rsidRPr="0044563D">
      <w:rPr>
        <w:rStyle w:val="HideTWBExt"/>
      </w:rPr>
      <w:t>&lt;NoPE&gt;</w:t>
    </w:r>
    <w:r w:rsidRPr="0044563D">
      <w:t>759.740</w:t>
    </w:r>
    <w:r w:rsidRPr="0044563D">
      <w:rPr>
        <w:rStyle w:val="HideTWBExt"/>
      </w:rPr>
      <w:t>&lt;/NoPE&gt;&lt;Version&gt;</w:t>
    </w:r>
    <w:r w:rsidRPr="0044563D">
      <w:t>v01-00</w:t>
    </w:r>
    <w:r w:rsidRPr="0044563D">
      <w:rPr>
        <w:rStyle w:val="HideTWBExt"/>
      </w:rPr>
      <w:t>&lt;/Version&gt;</w:t>
    </w:r>
  </w:p>
  <w:p w:rsidR="0044563D" w:rsidRPr="0044563D" w:rsidRDefault="00434C95" w:rsidP="0044563D">
    <w:pPr>
      <w:pStyle w:val="EPFooter2"/>
    </w:pPr>
    <w:r w:rsidRPr="0044563D">
      <w:t>MT</w:t>
    </w:r>
    <w:r w:rsidRPr="0044563D">
      <w:tab/>
    </w:r>
    <w:r w:rsidRPr="0044563D">
      <w:rPr>
        <w:b w:val="0"/>
        <w:i/>
        <w:color w:val="C0C0C0"/>
        <w:sz w:val="22"/>
      </w:rPr>
      <w:t>Magħquda fid-diversità</w:t>
    </w:r>
    <w:r w:rsidRPr="0044563D">
      <w:tab/>
      <w:t>MT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A66" w:rsidRPr="0044563D" w:rsidRDefault="00434C95" w:rsidP="00D1777C">
    <w:pPr>
      <w:pStyle w:val="EPFooter"/>
    </w:pPr>
    <w:r w:rsidRPr="0044563D">
      <w:rPr>
        <w:rStyle w:val="HideTWBExt"/>
      </w:rPr>
      <w:t>&lt;PathFdR&gt;</w:t>
    </w:r>
    <w:r w:rsidR="0044563D" w:rsidRPr="0044563D">
      <w:rPr>
        <w:color w:val="auto"/>
      </w:rPr>
      <w:t>PR\1297972MT.docx</w:t>
    </w:r>
    <w:r w:rsidRPr="0044563D">
      <w:rPr>
        <w:rStyle w:val="HideTWBExt"/>
      </w:rPr>
      <w:t>&lt;/PathFdR&gt;</w:t>
    </w:r>
    <w:r w:rsidRPr="0044563D">
      <w:tab/>
    </w:r>
    <w:r w:rsidRPr="0044563D">
      <w:tab/>
      <w:t>PE</w:t>
    </w:r>
    <w:r w:rsidRPr="0044563D">
      <w:rPr>
        <w:rStyle w:val="HideTWBExt"/>
      </w:rPr>
      <w:t>&lt;NoPE&gt;</w:t>
    </w:r>
    <w:r w:rsidR="0044563D" w:rsidRPr="0044563D">
      <w:rPr>
        <w:rFonts w:ascii="Verdana" w:hAnsi="Verdana"/>
        <w:color w:val="auto"/>
        <w:sz w:val="21"/>
        <w:szCs w:val="21"/>
        <w:shd w:val="clear" w:color="auto" w:fill="FFFFFF"/>
      </w:rPr>
      <w:t>759.740</w:t>
    </w:r>
    <w:r w:rsidRPr="0044563D">
      <w:rPr>
        <w:rStyle w:val="HideTWBExt"/>
      </w:rPr>
      <w:t>&lt;/NoPE&gt;&lt;Version&gt;</w:t>
    </w:r>
    <w:r w:rsidR="00E746AD" w:rsidRPr="0044563D">
      <w:t>v</w:t>
    </w:r>
    <w:r w:rsidR="0044563D" w:rsidRPr="0044563D">
      <w:rPr>
        <w:color w:val="auto"/>
      </w:rPr>
      <w:t>01-00</w:t>
    </w:r>
    <w:r w:rsidRPr="0044563D">
      <w:rPr>
        <w:rStyle w:val="HideTWBExt"/>
      </w:rPr>
      <w:t>&lt;/Version&gt;</w:t>
    </w:r>
  </w:p>
  <w:p w:rsidR="00302A66" w:rsidRPr="0044563D" w:rsidRDefault="00434C95" w:rsidP="00C71A3C">
    <w:pPr>
      <w:pStyle w:val="EPFooter2"/>
      <w:tabs>
        <w:tab w:val="clear" w:pos="4535"/>
        <w:tab w:val="center" w:pos="4536"/>
      </w:tabs>
    </w:pPr>
    <w:r w:rsidRPr="0044563D">
      <w:fldChar w:fldCharType="begin"/>
    </w:r>
    <w:r w:rsidRPr="0044563D">
      <w:instrText xml:space="preserve"> DOCPROPERTY "&lt;Extension&gt;" </w:instrText>
    </w:r>
    <w:r w:rsidRPr="0044563D">
      <w:fldChar w:fldCharType="separate"/>
    </w:r>
    <w:r>
      <w:t>MT</w:t>
    </w:r>
    <w:r w:rsidRPr="0044563D">
      <w:fldChar w:fldCharType="end"/>
    </w:r>
    <w:r w:rsidRPr="0044563D">
      <w:tab/>
    </w:r>
    <w:r w:rsidR="0044563D" w:rsidRPr="0044563D">
      <w:rPr>
        <w:b w:val="0"/>
        <w:i/>
        <w:color w:val="C0C0C0"/>
        <w:sz w:val="22"/>
        <w:szCs w:val="22"/>
      </w:rPr>
      <w:t>Magħquda fid-diversità</w:t>
    </w:r>
    <w:r w:rsidRPr="0044563D">
      <w:tab/>
    </w:r>
    <w:r w:rsidRPr="0044563D">
      <w:fldChar w:fldCharType="begin"/>
    </w:r>
    <w:r w:rsidRPr="0044563D">
      <w:instrText xml:space="preserve"> DOCPROPERTY "&lt;Extension&gt;" </w:instrText>
    </w:r>
    <w:r w:rsidRPr="0044563D">
      <w:fldChar w:fldCharType="separate"/>
    </w:r>
    <w:r>
      <w:t>MT</w:t>
    </w:r>
    <w:r w:rsidRPr="0044563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6AD" w:rsidRPr="0044563D" w:rsidRDefault="00434C95">
      <w:r w:rsidRPr="0044563D">
        <w:separator/>
      </w:r>
    </w:p>
  </w:footnote>
  <w:footnote w:type="continuationSeparator" w:id="0">
    <w:p w:rsidR="00E746AD" w:rsidRPr="0044563D" w:rsidRDefault="00434C95">
      <w:r w:rsidRPr="0044563D">
        <w:continuationSeparator/>
      </w:r>
    </w:p>
  </w:footnote>
  <w:footnote w:id="1">
    <w:p w:rsidR="0044563D" w:rsidRPr="0044563D" w:rsidRDefault="00434C95" w:rsidP="0044563D">
      <w:pPr>
        <w:pStyle w:val="FootnoteText"/>
      </w:pPr>
      <w:r>
        <w:rPr>
          <w:rStyle w:val="FootnoteReference"/>
        </w:rPr>
        <w:footnoteRef/>
      </w:r>
      <w:r>
        <w:tab/>
        <w:t>COM/2016/0277 final.</w:t>
      </w:r>
    </w:p>
  </w:footnote>
  <w:footnote w:id="2">
    <w:p w:rsidR="0044563D" w:rsidRPr="0044563D" w:rsidRDefault="00434C95" w:rsidP="0044563D">
      <w:pPr>
        <w:pStyle w:val="FootnoteText"/>
      </w:pPr>
      <w:r>
        <w:rPr>
          <w:rStyle w:val="FootnoteReference"/>
        </w:rPr>
        <w:footnoteRef/>
      </w:r>
      <w:r>
        <w:tab/>
        <w:t xml:space="preserve">Ir-Regolament (UE) 2023/850 </w:t>
      </w:r>
      <w:r>
        <w:t>tal-Parlament Ewropew u tal-Kunsill tad-19 ta’ April 2023 li jemenda r-Regolament (UE) 2018/1806 li jelenka l-pajjiżi terzi li ċ-ċittadini tagħhom għandhom ikollhom viża fil-pussess tagħhom meta jaqsmu l-fruntieri esterni u dawk li ċ-ċittadini tagħhom huma</w:t>
      </w:r>
      <w:r>
        <w:t xml:space="preserve"> eżenti minn dik il-ħtieġa (Il-Kosovo (Dan l-isem huwa mingħajr preġudizzju għall-pożizzjonijiet dwar l-istatus, u huwa konformi mal-UNSCR 1244/1999 u l-Opinjoni tal-QIĠ dwar id-dikjarazzjoni tal-indipendenza tal-Kosovo.)) (ĠU L 110, 25.4.2023, p. 1–4).</w:t>
      </w:r>
    </w:p>
  </w:footnote>
  <w:footnote w:id="3">
    <w:p w:rsidR="0044563D" w:rsidRPr="0044563D" w:rsidRDefault="00434C95" w:rsidP="0044563D">
      <w:pPr>
        <w:pStyle w:val="FootnoteText"/>
      </w:pPr>
      <w:r>
        <w:rPr>
          <w:rStyle w:val="FootnoteReference"/>
        </w:rPr>
        <w:footnoteRef/>
      </w:r>
      <w:r>
        <w:tab/>
      </w:r>
      <w:r>
        <w:t>Ir-Regolament (UE) 2018/1806 tal-Parlament Ewropew u tal-Kunsill tal-14 ta’ Novembru 2018 li jelenka l-pajjiżi terzi li ċ-ċittadini tagħhom għandhom ikollhom viża fil-pussess tagħhom meta jaqsmu l-fruntieri esterni u dawk li ċ-ċittadini tagħhom huma eżenti</w:t>
      </w:r>
      <w:r>
        <w:t xml:space="preserve"> minn dik il-ħtieġa (ĠU L 303, 28.11.2018, p. 39).</w:t>
      </w:r>
    </w:p>
  </w:footnote>
  <w:footnote w:id="4">
    <w:p w:rsidR="0044563D" w:rsidRPr="0044563D" w:rsidRDefault="00434C95" w:rsidP="0044563D">
      <w:pPr>
        <w:pStyle w:val="FootnoteText"/>
      </w:pPr>
      <w:r>
        <w:rPr>
          <w:rStyle w:val="FootnoteReference"/>
        </w:rPr>
        <w:footnoteRef/>
      </w:r>
      <w:r>
        <w:tab/>
        <w:t>Ir-Regolament (UE) 2018/1240 tal-Parlament Ewropew u tal-Kunsill tat-12 ta’ Settembru 2018 li jistabbilixxi Sistema Ewropea ta’ Informazzjoni u ta’ Awtorizzazzjoni għall-Ivvjaġġar (ETIAS) u li jemenda r-</w:t>
      </w:r>
      <w:r>
        <w:t>Regolamenti (UE) Nru 1077/2011, (UE) Nru 515/2014, (UE) 2016/399, (UE) 2016/1624 u (UE) 2017/2226, (ĠU L 236, 19.9.2018, p. 1–71).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F30" w:rsidRDefault="008D0F3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F30" w:rsidRDefault="008D0F3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F30" w:rsidRDefault="008D0F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KEY" w:val="LIBE"/>
    <w:docVar w:name="LastEditedSection" w:val=" 1"/>
    <w:docVar w:name="strDocTypeID" w:val="PR_COD_1app"/>
    <w:docVar w:name="strSubDir" w:val="1297"/>
    <w:docVar w:name="TXTLANGUE" w:val="MT"/>
    <w:docVar w:name="TXTLANGUEMIN" w:val="mt"/>
    <w:docVar w:name="TXTNRCOD" w:val="2023/0418"/>
    <w:docVar w:name="TXTNRPE" w:val="759.740"/>
    <w:docVar w:name="TXTPEorAP" w:val="PE"/>
    <w:docVar w:name="TXTROUTE" w:val="PR\1297972MT.docx"/>
    <w:docVar w:name="TXTVERSION" w:val="01-00"/>
  </w:docVars>
  <w:rsids>
    <w:rsidRoot w:val="00E746AD"/>
    <w:rsid w:val="00053B97"/>
    <w:rsid w:val="000B5585"/>
    <w:rsid w:val="000C5EDC"/>
    <w:rsid w:val="00104AEE"/>
    <w:rsid w:val="00164B9B"/>
    <w:rsid w:val="00182506"/>
    <w:rsid w:val="001907B9"/>
    <w:rsid w:val="001A03FF"/>
    <w:rsid w:val="001A06D8"/>
    <w:rsid w:val="001D3524"/>
    <w:rsid w:val="00260FAA"/>
    <w:rsid w:val="002A1CE3"/>
    <w:rsid w:val="002B272A"/>
    <w:rsid w:val="002C3187"/>
    <w:rsid w:val="00302A66"/>
    <w:rsid w:val="0031764E"/>
    <w:rsid w:val="003A53CE"/>
    <w:rsid w:val="003C5583"/>
    <w:rsid w:val="004078CB"/>
    <w:rsid w:val="0041661E"/>
    <w:rsid w:val="00433573"/>
    <w:rsid w:val="00434C95"/>
    <w:rsid w:val="0044563D"/>
    <w:rsid w:val="00490742"/>
    <w:rsid w:val="00490D5F"/>
    <w:rsid w:val="004D7B3B"/>
    <w:rsid w:val="004F67E3"/>
    <w:rsid w:val="00543B7B"/>
    <w:rsid w:val="005571A0"/>
    <w:rsid w:val="005663F7"/>
    <w:rsid w:val="0065285A"/>
    <w:rsid w:val="0069092A"/>
    <w:rsid w:val="007908B5"/>
    <w:rsid w:val="007D611D"/>
    <w:rsid w:val="007F43F3"/>
    <w:rsid w:val="00814B44"/>
    <w:rsid w:val="00837978"/>
    <w:rsid w:val="008663F8"/>
    <w:rsid w:val="00894923"/>
    <w:rsid w:val="008A07E3"/>
    <w:rsid w:val="008B26BF"/>
    <w:rsid w:val="008B5034"/>
    <w:rsid w:val="008D0F30"/>
    <w:rsid w:val="008D6E09"/>
    <w:rsid w:val="008E22DF"/>
    <w:rsid w:val="008E4B14"/>
    <w:rsid w:val="00913414"/>
    <w:rsid w:val="00972ED6"/>
    <w:rsid w:val="00973510"/>
    <w:rsid w:val="00A02CEA"/>
    <w:rsid w:val="00A40C66"/>
    <w:rsid w:val="00A43E6A"/>
    <w:rsid w:val="00A62C81"/>
    <w:rsid w:val="00AD26AD"/>
    <w:rsid w:val="00AE4E74"/>
    <w:rsid w:val="00AF7573"/>
    <w:rsid w:val="00B37926"/>
    <w:rsid w:val="00B52B6C"/>
    <w:rsid w:val="00BA5740"/>
    <w:rsid w:val="00BD28D4"/>
    <w:rsid w:val="00BE1457"/>
    <w:rsid w:val="00BE4EC7"/>
    <w:rsid w:val="00BF6269"/>
    <w:rsid w:val="00C54859"/>
    <w:rsid w:val="00C71A3C"/>
    <w:rsid w:val="00C82EBC"/>
    <w:rsid w:val="00C85D0F"/>
    <w:rsid w:val="00D1777C"/>
    <w:rsid w:val="00D919CF"/>
    <w:rsid w:val="00DC3DED"/>
    <w:rsid w:val="00DF6C13"/>
    <w:rsid w:val="00E24902"/>
    <w:rsid w:val="00E746AD"/>
    <w:rsid w:val="00ED0609"/>
    <w:rsid w:val="00ED0821"/>
    <w:rsid w:val="00F0202A"/>
    <w:rsid w:val="00F31E31"/>
    <w:rsid w:val="00FC479A"/>
    <w:rsid w:val="00FF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01E3B3-496D-4B29-A3E7-C3D746A96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mt-MT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583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EPComma">
    <w:name w:val="EPComma"/>
    <w:basedOn w:val="Normal"/>
    <w:rsid w:val="00837978"/>
    <w:pPr>
      <w:spacing w:before="480" w:after="240"/>
    </w:pPr>
  </w:style>
  <w:style w:type="paragraph" w:styleId="TOC1">
    <w:name w:val="toc 1"/>
    <w:basedOn w:val="Normal"/>
    <w:next w:val="Normal"/>
    <w:autoRedefine/>
    <w:uiPriority w:val="39"/>
    <w:rsid w:val="008E4B14"/>
    <w:pPr>
      <w:spacing w:after="240"/>
    </w:pPr>
  </w:style>
  <w:style w:type="paragraph" w:styleId="TOCHeading">
    <w:name w:val="TOC Heading"/>
    <w:basedOn w:val="Normal"/>
    <w:next w:val="TOCPage"/>
    <w:qFormat/>
    <w:rsid w:val="00FF2A53"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"/>
    <w:next w:val="TOC1"/>
    <w:pPr>
      <w:keepNext/>
      <w:spacing w:after="240"/>
      <w:jc w:val="right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PageHeading">
    <w:name w:val="PageHeading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rPr>
      <w:b/>
    </w:rPr>
  </w:style>
  <w:style w:type="paragraph" w:customStyle="1" w:styleId="NormalBold12a">
    <w:name w:val="NormalBold12a"/>
    <w:basedOn w:val="Normal"/>
    <w:pPr>
      <w:spacing w:after="240"/>
    </w:pPr>
    <w:rPr>
      <w:b/>
    </w:rPr>
  </w:style>
  <w:style w:type="paragraph" w:customStyle="1" w:styleId="NormalHanging12a">
    <w:name w:val="NormalHanging12a"/>
    <w:basedOn w:val="Normal"/>
    <w:pPr>
      <w:spacing w:after="240"/>
      <w:ind w:left="567" w:hanging="567"/>
    </w:pPr>
  </w:style>
  <w:style w:type="paragraph" w:customStyle="1" w:styleId="EPName">
    <w:name w:val="EPName"/>
    <w:basedOn w:val="Normal"/>
    <w:rsid w:val="00053B97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D1777C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CoverReference">
    <w:name w:val="CoverReference"/>
    <w:basedOn w:val="Normal"/>
    <w:rsid w:val="0065285A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pPr>
      <w:ind w:left="1418"/>
    </w:pPr>
    <w:rPr>
      <w:rFonts w:ascii="Arial" w:hAnsi="Arial"/>
      <w:b/>
      <w:sz w:val="48"/>
    </w:rPr>
  </w:style>
  <w:style w:type="paragraph" w:customStyle="1" w:styleId="CoverDocType24a">
    <w:name w:val="CoverDocType24a"/>
    <w:basedOn w:val="Normal"/>
    <w:rsid w:val="00D1777C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styleId="Header">
    <w:name w:val="header"/>
    <w:basedOn w:val="Normal"/>
    <w:link w:val="HeaderChar"/>
    <w:semiHidden/>
    <w:rsid w:val="00164B9B"/>
    <w:pPr>
      <w:tabs>
        <w:tab w:val="center" w:pos="4513"/>
        <w:tab w:val="right" w:pos="9026"/>
      </w:tabs>
    </w:pPr>
  </w:style>
  <w:style w:type="table" w:styleId="TableGrid">
    <w:name w:val="Table Grid"/>
    <w:basedOn w:val="TableNormal"/>
    <w:rsid w:val="00C71A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C71A3C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C71A3C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C71A3C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053B97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053B97"/>
    <w:pPr>
      <w:jc w:val="right"/>
    </w:pPr>
  </w:style>
  <w:style w:type="paragraph" w:customStyle="1" w:styleId="EPFooter">
    <w:name w:val="EPFooter"/>
    <w:basedOn w:val="Normal"/>
    <w:rsid w:val="00D1777C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styleId="PageNumber">
    <w:name w:val="page number"/>
    <w:basedOn w:val="DefaultParagraphFont"/>
    <w:semiHidden/>
    <w:rsid w:val="00913414"/>
  </w:style>
  <w:style w:type="character" w:customStyle="1" w:styleId="HeaderChar">
    <w:name w:val="Header Char"/>
    <w:basedOn w:val="DefaultParagraphFont"/>
    <w:link w:val="Header"/>
    <w:semiHidden/>
    <w:rsid w:val="00164B9B"/>
    <w:rPr>
      <w:sz w:val="24"/>
    </w:rPr>
  </w:style>
  <w:style w:type="paragraph" w:customStyle="1" w:styleId="Lgendesigne">
    <w:name w:val="Légende signe"/>
    <w:basedOn w:val="Normal"/>
    <w:rsid w:val="0044563D"/>
    <w:pPr>
      <w:tabs>
        <w:tab w:val="right" w:pos="454"/>
        <w:tab w:val="left" w:pos="737"/>
      </w:tabs>
      <w:ind w:left="737" w:hanging="737"/>
    </w:pPr>
    <w:rPr>
      <w:snapToGrid w:val="0"/>
      <w:sz w:val="18"/>
      <w:lang w:eastAsia="en-US"/>
    </w:rPr>
  </w:style>
  <w:style w:type="paragraph" w:customStyle="1" w:styleId="Lgendetitre">
    <w:name w:val="Légende titre"/>
    <w:basedOn w:val="Normal"/>
    <w:rsid w:val="0044563D"/>
    <w:pPr>
      <w:spacing w:before="240" w:after="240"/>
    </w:pPr>
    <w:rPr>
      <w:b/>
      <w:i/>
      <w:snapToGrid w:val="0"/>
      <w:lang w:eastAsia="en-US"/>
    </w:rPr>
  </w:style>
  <w:style w:type="paragraph" w:customStyle="1" w:styleId="Lgendestandard">
    <w:name w:val="Légende standard"/>
    <w:basedOn w:val="Lgendesigne"/>
    <w:rsid w:val="0044563D"/>
    <w:pPr>
      <w:ind w:left="0" w:firstLine="0"/>
    </w:pPr>
  </w:style>
  <w:style w:type="paragraph" w:styleId="FootnoteText">
    <w:name w:val="footnote text"/>
    <w:basedOn w:val="Normal"/>
    <w:link w:val="FootnoteTextChar"/>
    <w:unhideWhenUsed/>
    <w:rsid w:val="0044563D"/>
    <w:pPr>
      <w:widowControl/>
      <w:ind w:left="720" w:hanging="720"/>
      <w:jc w:val="both"/>
    </w:pPr>
    <w:rPr>
      <w:rFonts w:eastAsiaTheme="minorHAnsi"/>
      <w:sz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rsid w:val="0044563D"/>
    <w:rPr>
      <w:rFonts w:eastAsiaTheme="minorHAnsi"/>
      <w:lang w:eastAsia="en-US"/>
    </w:rPr>
  </w:style>
  <w:style w:type="character" w:styleId="FootnoteReference">
    <w:name w:val="footnote reference"/>
    <w:basedOn w:val="DefaultParagraphFont"/>
    <w:unhideWhenUsed/>
    <w:rsid w:val="0044563D"/>
    <w:rPr>
      <w:vertAlign w:val="superscript"/>
    </w:rPr>
  </w:style>
  <w:style w:type="paragraph" w:customStyle="1" w:styleId="Body">
    <w:name w:val="Body"/>
    <w:rsid w:val="0044563D"/>
    <w:pPr>
      <w:pBdr>
        <w:top w:val="nil"/>
        <w:left w:val="nil"/>
        <w:bottom w:val="nil"/>
        <w:right w:val="nil"/>
        <w:between w:val="nil"/>
        <w:bar w:val="nil"/>
      </w:pBdr>
      <w:jc w:val="both"/>
    </w:pPr>
    <w:rPr>
      <w:rFonts w:eastAsia="Arial Unicode MS" w:cs="Arial Unicode MS"/>
      <w:color w:val="000000"/>
      <w:sz w:val="24"/>
      <w:szCs w:val="24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paragraph" w:styleId="Footer">
    <w:name w:val="footer"/>
    <w:basedOn w:val="Normal"/>
    <w:link w:val="FooterChar"/>
    <w:semiHidden/>
    <w:rsid w:val="00434C9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434C9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0B73C-6FE8-4E73-936B-324AE0DB7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1326</Words>
  <Characters>9773</Characters>
  <Application>Microsoft Office Word</Application>
  <DocSecurity>0</DocSecurity>
  <Lines>195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PR_COD_1app</vt:lpstr>
    </vt:vector>
  </TitlesOfParts>
  <Company/>
  <LinksUpToDate>false</LinksUpToDate>
  <CharactersWithSpaces>11026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PR_COD_1app</dc:title>
  <dc:creator>SCIRTO GAUCI Lindsay</dc:creator>
  <cp:lastModifiedBy>SCIRTO GAUCI Lindsay</cp:lastModifiedBy>
  <cp:revision>2</cp:revision>
  <cp:lastPrinted>2004-11-04T10:10:00Z</cp:lastPrinted>
  <dcterms:created xsi:type="dcterms:W3CDTF">2024-03-07T07:11:00Z</dcterms:created>
  <dcterms:modified xsi:type="dcterms:W3CDTF">2024-03-07T07:11:00Z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MT</vt:lpwstr>
  </property>
  <property fmtid="{D5CDD505-2E9C-101B-9397-08002B2CF9AE}" pid="3" name="&lt;FdR&gt;">
    <vt:lpwstr>1297972</vt:lpwstr>
  </property>
  <property fmtid="{D5CDD505-2E9C-101B-9397-08002B2CF9AE}" pid="4" name="&lt;Model&gt;">
    <vt:lpwstr>PR_COD_1app</vt:lpwstr>
  </property>
  <property fmtid="{D5CDD505-2E9C-101B-9397-08002B2CF9AE}" pid="5" name="&lt;ModelCod&gt;">
    <vt:lpwstr>\\eiciLUXpr1\pdocep$\DocEP\DOCS\General\PR\PR_Leg\COD\COD_1st\PR_COD_1app.dotx(23/03/2022 10:54:04)</vt:lpwstr>
  </property>
  <property fmtid="{D5CDD505-2E9C-101B-9397-08002B2CF9AE}" pid="6" name="&lt;ModelTra&gt;">
    <vt:lpwstr>\\eiciLUXpr1\pdocep$\DocEP\TRANSFIL\MT\PR_COD_1app.MT(25/05/2023 15:04:05)</vt:lpwstr>
  </property>
  <property fmtid="{D5CDD505-2E9C-101B-9397-08002B2CF9AE}" pid="7" name="&lt;Type&gt;">
    <vt:lpwstr>PR</vt:lpwstr>
  </property>
  <property fmtid="{D5CDD505-2E9C-101B-9397-08002B2CF9AE}" pid="8" name="Created with">
    <vt:lpwstr>9.17.2 Build [20240212]</vt:lpwstr>
  </property>
  <property fmtid="{D5CDD505-2E9C-101B-9397-08002B2CF9AE}" pid="9" name="FooterPath">
    <vt:lpwstr>PR\1297972MT.docx</vt:lpwstr>
  </property>
  <property fmtid="{D5CDD505-2E9C-101B-9397-08002B2CF9AE}" pid="10" name="LastEdited with">
    <vt:lpwstr>9.17.2 Build [20240212]</vt:lpwstr>
  </property>
  <property fmtid="{D5CDD505-2E9C-101B-9397-08002B2CF9AE}" pid="11" name="PE number">
    <vt:lpwstr>759.740</vt:lpwstr>
  </property>
  <property fmtid="{D5CDD505-2E9C-101B-9397-08002B2CF9AE}" pid="12" name="SDLStudio">
    <vt:lpwstr/>
  </property>
  <property fmtid="{D5CDD505-2E9C-101B-9397-08002B2CF9AE}" pid="13" name="Bookout">
    <vt:lpwstr>OK - 2024/03/07 08:11</vt:lpwstr>
  </property>
</Properties>
</file>