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382606" w:rsidRPr="00337271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8B5034" w:rsidRPr="00337271" w:rsidRDefault="00173D29" w:rsidP="00C85D0F">
            <w:pPr>
              <w:pStyle w:val="EPName"/>
            </w:pPr>
            <w:r w:rsidRPr="00337271">
              <w:t>Parlament Europejski</w:t>
            </w:r>
          </w:p>
          <w:p w:rsidR="008B5034" w:rsidRPr="00337271" w:rsidRDefault="00173D29" w:rsidP="00A83E46">
            <w:pPr>
              <w:pStyle w:val="EPTerm"/>
            </w:pPr>
            <w:r w:rsidRPr="0033727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8B5034" w:rsidRPr="00337271" w:rsidRDefault="00173D29" w:rsidP="00C85D0F">
            <w:pPr>
              <w:pStyle w:val="EPLogo"/>
            </w:pPr>
            <w:r w:rsidRPr="00337271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71A3C" w:rsidRPr="00337271" w:rsidRDefault="00C71A3C" w:rsidP="00C71A3C">
      <w:pPr>
        <w:pStyle w:val="LineTop"/>
      </w:pPr>
    </w:p>
    <w:p w:rsidR="00C71A3C" w:rsidRPr="00337271" w:rsidRDefault="00173D29" w:rsidP="00C71A3C">
      <w:pPr>
        <w:pStyle w:val="EPBody"/>
      </w:pPr>
      <w:r w:rsidRPr="00337271">
        <w:rPr>
          <w:rStyle w:val="HideTWBExt"/>
        </w:rPr>
        <w:t>&lt;</w:t>
      </w:r>
      <w:r w:rsidRPr="00337271">
        <w:rPr>
          <w:rStyle w:val="HideTWBExt"/>
          <w:i w:val="0"/>
        </w:rPr>
        <w:t>Commission</w:t>
      </w:r>
      <w:r w:rsidRPr="00337271">
        <w:rPr>
          <w:rStyle w:val="HideTWBExt"/>
        </w:rPr>
        <w:t>&gt;</w:t>
      </w:r>
      <w:r w:rsidRPr="00337271">
        <w:rPr>
          <w:rStyle w:val="HideTWBInt"/>
          <w:color w:val="auto"/>
        </w:rPr>
        <w:t>{LIBE}</w:t>
      </w:r>
      <w:r w:rsidRPr="00337271">
        <w:t>Komisja Wolności Obywatelskich, Sprawiedliwości i Spraw Wewnętrznych</w:t>
      </w:r>
      <w:r w:rsidRPr="00337271">
        <w:rPr>
          <w:rStyle w:val="HideTWBExt"/>
        </w:rPr>
        <w:t>&lt;/</w:t>
      </w:r>
      <w:r w:rsidRPr="00337271">
        <w:rPr>
          <w:rStyle w:val="HideTWBExt"/>
          <w:i w:val="0"/>
        </w:rPr>
        <w:t>Commission</w:t>
      </w:r>
      <w:r w:rsidRPr="00337271">
        <w:rPr>
          <w:rStyle w:val="HideTWBExt"/>
        </w:rPr>
        <w:t>&gt;</w:t>
      </w:r>
    </w:p>
    <w:p w:rsidR="00C71A3C" w:rsidRPr="00337271" w:rsidRDefault="00C71A3C" w:rsidP="00C71A3C">
      <w:pPr>
        <w:pStyle w:val="LineBottom"/>
      </w:pPr>
    </w:p>
    <w:p w:rsidR="00ED0821" w:rsidRPr="00337271" w:rsidRDefault="00173D29">
      <w:pPr>
        <w:pStyle w:val="CoverReference"/>
      </w:pPr>
      <w:r w:rsidRPr="00337271">
        <w:rPr>
          <w:rStyle w:val="HideTWBExt"/>
          <w:b w:val="0"/>
        </w:rPr>
        <w:t>&lt;RefProc&gt;</w:t>
      </w:r>
      <w:r w:rsidRPr="00337271">
        <w:t>2023/0418</w:t>
      </w:r>
      <w:r w:rsidRPr="00337271">
        <w:rPr>
          <w:rStyle w:val="HideTWBExt"/>
          <w:b w:val="0"/>
        </w:rPr>
        <w:t>&lt;/RefProc&gt;&lt;RefTypeProc&gt;</w:t>
      </w:r>
      <w:r w:rsidRPr="00337271">
        <w:t>(COD)</w:t>
      </w:r>
      <w:r w:rsidRPr="00337271">
        <w:rPr>
          <w:rStyle w:val="HideTWBExt"/>
          <w:b w:val="0"/>
        </w:rPr>
        <w:t>&lt;/RefTypeProc&gt;</w:t>
      </w:r>
    </w:p>
    <w:p w:rsidR="00ED0821" w:rsidRPr="00337271" w:rsidRDefault="00173D29">
      <w:pPr>
        <w:pStyle w:val="CoverDate"/>
      </w:pPr>
      <w:r w:rsidRPr="00337271">
        <w:rPr>
          <w:rStyle w:val="HideTWBExt"/>
        </w:rPr>
        <w:t>&lt;Date&gt;</w:t>
      </w:r>
      <w:r w:rsidRPr="00337271">
        <w:rPr>
          <w:rStyle w:val="HideTWBInt"/>
          <w:color w:val="auto"/>
        </w:rPr>
        <w:t>{05/03/2024}</w:t>
      </w:r>
      <w:r w:rsidRPr="00337271">
        <w:t>5.3.2024</w:t>
      </w:r>
      <w:r w:rsidRPr="00337271">
        <w:rPr>
          <w:rStyle w:val="HideTWBExt"/>
        </w:rPr>
        <w:t>&lt;/Date&gt;</w:t>
      </w:r>
    </w:p>
    <w:p w:rsidR="00ED0821" w:rsidRPr="00337271" w:rsidRDefault="00173D29">
      <w:pPr>
        <w:pStyle w:val="CoverDocType"/>
      </w:pPr>
      <w:r w:rsidRPr="00337271">
        <w:rPr>
          <w:rStyle w:val="HideTWBExt"/>
          <w:b w:val="0"/>
        </w:rPr>
        <w:t>&lt;RefProcLect&gt;</w:t>
      </w:r>
      <w:r w:rsidRPr="00337271">
        <w:t>***I</w:t>
      </w:r>
      <w:r w:rsidRPr="00337271">
        <w:rPr>
          <w:rStyle w:val="HideTWBExt"/>
          <w:b w:val="0"/>
        </w:rPr>
        <w:t>&lt;/RefProcLect&gt;</w:t>
      </w:r>
    </w:p>
    <w:p w:rsidR="00ED0821" w:rsidRPr="00337271" w:rsidRDefault="00173D29">
      <w:pPr>
        <w:pStyle w:val="CoverDocType24a"/>
      </w:pPr>
      <w:r w:rsidRPr="00337271">
        <w:rPr>
          <w:rStyle w:val="HideTWBExt"/>
          <w:b w:val="0"/>
        </w:rPr>
        <w:t>&lt;TitreType&gt;</w:t>
      </w:r>
      <w:r w:rsidRPr="00337271">
        <w:t>PROJEKT SPRAWOZDANIA</w:t>
      </w:r>
      <w:r w:rsidRPr="00337271">
        <w:rPr>
          <w:rStyle w:val="HideTWBExt"/>
          <w:b w:val="0"/>
        </w:rPr>
        <w:t>&lt;/TitreType&gt;</w:t>
      </w:r>
    </w:p>
    <w:p w:rsidR="00ED0821" w:rsidRPr="00337271" w:rsidRDefault="00173D29">
      <w:pPr>
        <w:pStyle w:val="CoverNormal"/>
      </w:pPr>
      <w:r w:rsidRPr="00337271">
        <w:rPr>
          <w:rStyle w:val="HideTWBExt"/>
        </w:rPr>
        <w:t>&lt;Titre&gt;</w:t>
      </w:r>
      <w:r w:rsidRPr="00337271">
        <w:t xml:space="preserve">w sprawie wniosku dotyczącego rozporządzenia Parlamentu Europejskiego i Rady zmieniającego </w:t>
      </w:r>
      <w:r>
        <w:t>rozporządzenie (UE) 2018/1806 w </w:t>
      </w:r>
      <w:r w:rsidRPr="00337271">
        <w:t>odniesieniu do posiadaczy serbskich paszportów wydanych przez serbs</w:t>
      </w:r>
      <w:r w:rsidRPr="00337271">
        <w:t>ką Dyrekcję ds. Koordynacji (Koordinaciona uprava)</w:t>
      </w:r>
      <w:r w:rsidRPr="00337271">
        <w:rPr>
          <w:rStyle w:val="HideTWBExt"/>
        </w:rPr>
        <w:t>&lt;/Titre&gt;</w:t>
      </w:r>
    </w:p>
    <w:p w:rsidR="00ED0821" w:rsidRPr="00337271" w:rsidRDefault="00173D29">
      <w:pPr>
        <w:pStyle w:val="CoverNormal24a"/>
      </w:pPr>
      <w:r w:rsidRPr="00337271">
        <w:rPr>
          <w:rStyle w:val="HideTWBExt"/>
        </w:rPr>
        <w:t>&lt;DocRef&gt;</w:t>
      </w:r>
      <w:r w:rsidRPr="00337271">
        <w:t>(COM(2023)0733 – C9</w:t>
      </w:r>
      <w:r w:rsidRPr="00337271">
        <w:noBreakHyphen/>
        <w:t>0412/2023 – 2023/0418(COD))</w:t>
      </w:r>
      <w:r w:rsidRPr="00337271">
        <w:rPr>
          <w:rStyle w:val="HideTWBExt"/>
        </w:rPr>
        <w:t>&lt;/DocRef&gt;</w:t>
      </w:r>
    </w:p>
    <w:p w:rsidR="00ED0821" w:rsidRPr="00337271" w:rsidRDefault="00173D29">
      <w:pPr>
        <w:pStyle w:val="CoverNormal24a"/>
      </w:pPr>
      <w:r w:rsidRPr="00337271">
        <w:rPr>
          <w:rStyle w:val="HideTWBExt"/>
        </w:rPr>
        <w:t>&lt;Commission&gt;</w:t>
      </w:r>
      <w:r w:rsidRPr="00337271">
        <w:rPr>
          <w:rStyle w:val="HideTWBInt"/>
          <w:color w:val="auto"/>
        </w:rPr>
        <w:t>{LIBE}</w:t>
      </w:r>
      <w:r w:rsidRPr="00337271">
        <w:t>Komisja Wolności Obywatelskich, Sprawiedliwości i Spraw Wewnętrznych</w:t>
      </w:r>
      <w:r w:rsidRPr="00337271">
        <w:rPr>
          <w:rStyle w:val="HideTWBExt"/>
        </w:rPr>
        <w:t>&lt;/Commission&gt;</w:t>
      </w:r>
    </w:p>
    <w:p w:rsidR="00ED0821" w:rsidRPr="00337271" w:rsidRDefault="00173D29">
      <w:pPr>
        <w:pStyle w:val="CoverNormal24a"/>
      </w:pPr>
      <w:r w:rsidRPr="00337271">
        <w:t xml:space="preserve">Sprawozdawca: </w:t>
      </w:r>
      <w:r w:rsidRPr="00337271">
        <w:rPr>
          <w:rStyle w:val="HideTWBExt"/>
        </w:rPr>
        <w:t>&lt;Depute&gt;</w:t>
      </w:r>
      <w:r w:rsidRPr="00337271">
        <w:t xml:space="preserve">Matjaž </w:t>
      </w:r>
      <w:r w:rsidRPr="00337271">
        <w:t>Nemec</w:t>
      </w:r>
      <w:r w:rsidRPr="00337271">
        <w:rPr>
          <w:rStyle w:val="HideTWBExt"/>
        </w:rPr>
        <w:t>&lt;/Depute&gt;</w:t>
      </w:r>
    </w:p>
    <w:p w:rsidR="00BE4EC7" w:rsidRPr="00337271" w:rsidRDefault="00BE4EC7" w:rsidP="00BE4EC7">
      <w:pPr>
        <w:pStyle w:val="CoverNormal"/>
      </w:pPr>
    </w:p>
    <w:p w:rsidR="00A83E46" w:rsidRPr="00337271" w:rsidRDefault="00173D29" w:rsidP="00894923">
      <w:r w:rsidRPr="00337271">
        <w:br w:type="page"/>
      </w:r>
      <w:r w:rsidRPr="00337271">
        <w:lastRenderedPageBreak/>
        <w:fldChar w:fldCharType="begin"/>
      </w:r>
      <w:r w:rsidRPr="00337271">
        <w:instrText xml:space="preserve"> TITLE  \* MERGEFORMAT </w:instrText>
      </w:r>
      <w:r w:rsidRPr="00337271">
        <w:fldChar w:fldCharType="separate"/>
      </w:r>
      <w:r>
        <w:t>PR_COD_1app</w:t>
      </w:r>
      <w:r w:rsidRPr="00337271">
        <w:fldChar w:fldCharType="end"/>
      </w:r>
    </w:p>
    <w:p w:rsidR="00A83E46" w:rsidRPr="00337271" w:rsidRDefault="00A83E46" w:rsidP="00894923"/>
    <w:p w:rsidR="00A83E46" w:rsidRPr="00337271" w:rsidRDefault="00A83E46" w:rsidP="00894923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382606" w:rsidRPr="00337271">
        <w:tc>
          <w:tcPr>
            <w:tcW w:w="5811" w:type="dxa"/>
          </w:tcPr>
          <w:p w:rsidR="00A83E46" w:rsidRPr="00337271" w:rsidRDefault="00173D29" w:rsidP="00894923">
            <w:pPr>
              <w:pStyle w:val="Lgendetitre"/>
            </w:pPr>
            <w:r w:rsidRPr="00337271">
              <w:t>Objaśnienie używanych znaków</w:t>
            </w:r>
          </w:p>
        </w:tc>
      </w:tr>
      <w:tr w:rsidR="00382606" w:rsidRPr="00337271" w:rsidTr="007452CB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:rsidR="00A83E46" w:rsidRPr="00337271" w:rsidRDefault="00173D29" w:rsidP="003506ED">
            <w:pPr>
              <w:pStyle w:val="Lgendesigne"/>
            </w:pPr>
            <w:r w:rsidRPr="00337271">
              <w:tab/>
              <w:t>*</w:t>
            </w:r>
            <w:r w:rsidRPr="00337271">
              <w:tab/>
              <w:t>Procedura konsultacji</w:t>
            </w:r>
          </w:p>
          <w:p w:rsidR="00A83E46" w:rsidRPr="00337271" w:rsidRDefault="00173D29" w:rsidP="003506ED">
            <w:pPr>
              <w:pStyle w:val="Lgendesigne"/>
            </w:pPr>
            <w:r w:rsidRPr="00337271">
              <w:tab/>
              <w:t>***</w:t>
            </w:r>
            <w:r w:rsidRPr="00337271">
              <w:tab/>
              <w:t>Procedura zgody</w:t>
            </w:r>
          </w:p>
          <w:p w:rsidR="00A83E46" w:rsidRPr="00337271" w:rsidRDefault="00173D29" w:rsidP="003506ED">
            <w:pPr>
              <w:pStyle w:val="Lgendesigne"/>
            </w:pPr>
            <w:r w:rsidRPr="00337271">
              <w:tab/>
              <w:t>***I</w:t>
            </w:r>
            <w:r w:rsidRPr="00337271">
              <w:tab/>
              <w:t>Zwykła procedura ustawodawcza (pierwsze czytanie)</w:t>
            </w:r>
          </w:p>
          <w:p w:rsidR="00A83E46" w:rsidRPr="00337271" w:rsidRDefault="00173D29" w:rsidP="003506ED">
            <w:pPr>
              <w:pStyle w:val="Lgendesigne"/>
            </w:pPr>
            <w:r w:rsidRPr="00337271">
              <w:tab/>
              <w:t>***II</w:t>
            </w:r>
            <w:r w:rsidRPr="00337271">
              <w:tab/>
              <w:t>Zwykła procedura ustawodawcza (drugie czytanie)</w:t>
            </w:r>
          </w:p>
          <w:p w:rsidR="00A83E46" w:rsidRPr="00337271" w:rsidRDefault="00173D29" w:rsidP="003506ED">
            <w:pPr>
              <w:pStyle w:val="Lgendesigne"/>
            </w:pPr>
            <w:r w:rsidRPr="00337271">
              <w:tab/>
              <w:t>***III</w:t>
            </w:r>
            <w:r w:rsidRPr="00337271">
              <w:tab/>
            </w:r>
            <w:r w:rsidRPr="00337271">
              <w:t>Zwykła procedura ustawodawcza (trzecie czytanie)</w:t>
            </w:r>
          </w:p>
          <w:p w:rsidR="00A83E46" w:rsidRPr="00337271" w:rsidRDefault="00A83E46" w:rsidP="003506ED">
            <w:pPr>
              <w:pStyle w:val="Lgendestandard"/>
            </w:pPr>
          </w:p>
          <w:p w:rsidR="00A83E46" w:rsidRPr="00337271" w:rsidRDefault="00173D29" w:rsidP="003506ED">
            <w:pPr>
              <w:pStyle w:val="Lgendestandard"/>
            </w:pPr>
            <w:r w:rsidRPr="00337271">
              <w:t>(Wskazana procedura opiera się na podstawie prawnej zaproponowanej w projekcie aktu.)</w:t>
            </w:r>
          </w:p>
          <w:p w:rsidR="00A83E46" w:rsidRPr="00337271" w:rsidRDefault="00A83E46" w:rsidP="00B54EAF">
            <w:pPr>
              <w:pStyle w:val="Lgendestandard"/>
            </w:pPr>
          </w:p>
        </w:tc>
      </w:tr>
    </w:tbl>
    <w:p w:rsidR="00A83E46" w:rsidRPr="00337271" w:rsidRDefault="00A83E46" w:rsidP="00894923"/>
    <w:p w:rsidR="00A83E46" w:rsidRPr="00337271" w:rsidRDefault="00A83E46" w:rsidP="00894923"/>
    <w:p w:rsidR="00A83E46" w:rsidRPr="00337271" w:rsidRDefault="00A83E46" w:rsidP="00894923"/>
    <w:p w:rsidR="00A83E46" w:rsidRPr="00337271" w:rsidRDefault="00A83E46" w:rsidP="00894923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382606" w:rsidRPr="00337271">
        <w:tc>
          <w:tcPr>
            <w:tcW w:w="5811" w:type="dxa"/>
          </w:tcPr>
          <w:p w:rsidR="00A83E46" w:rsidRPr="00337271" w:rsidRDefault="00173D29" w:rsidP="00894923">
            <w:pPr>
              <w:pStyle w:val="Lgendetitre"/>
            </w:pPr>
            <w:r w:rsidRPr="00337271">
              <w:t>Poprawki do projektu aktu</w:t>
            </w:r>
          </w:p>
        </w:tc>
      </w:tr>
      <w:tr w:rsidR="00382606" w:rsidRPr="00337271" w:rsidTr="00554250">
        <w:trPr>
          <w:trHeight w:val="4496"/>
        </w:trPr>
        <w:tc>
          <w:tcPr>
            <w:tcW w:w="5811" w:type="dxa"/>
          </w:tcPr>
          <w:p w:rsidR="00A83E46" w:rsidRPr="00337271" w:rsidRDefault="00173D29" w:rsidP="003506ED">
            <w:pPr>
              <w:pStyle w:val="Lgendestandard"/>
              <w:rPr>
                <w:szCs w:val="24"/>
              </w:rPr>
            </w:pPr>
            <w:r w:rsidRPr="00337271">
              <w:rPr>
                <w:b/>
              </w:rPr>
              <w:t>Poprawki Parlamentu w postaci dwóch kolumn</w:t>
            </w:r>
          </w:p>
          <w:p w:rsidR="00A83E46" w:rsidRPr="00337271" w:rsidRDefault="00A83E46" w:rsidP="003506ED">
            <w:pPr>
              <w:pStyle w:val="Lgendestandard"/>
              <w:rPr>
                <w:szCs w:val="24"/>
              </w:rPr>
            </w:pPr>
          </w:p>
          <w:p w:rsidR="00A83E46" w:rsidRPr="00337271" w:rsidRDefault="00173D29" w:rsidP="003506ED">
            <w:pPr>
              <w:pStyle w:val="Lgendestandard"/>
              <w:rPr>
                <w:szCs w:val="24"/>
              </w:rPr>
            </w:pPr>
            <w:r w:rsidRPr="00337271">
              <w:t xml:space="preserve">Skreślenia zaznacza się </w:t>
            </w:r>
            <w:r w:rsidRPr="00337271">
              <w:rPr>
                <w:b/>
                <w:i/>
              </w:rPr>
              <w:t xml:space="preserve">wytłuszczonym </w:t>
            </w:r>
            <w:r w:rsidRPr="00337271">
              <w:rPr>
                <w:b/>
                <w:i/>
              </w:rPr>
              <w:t>drukiem i kursywą</w:t>
            </w:r>
            <w:r w:rsidRPr="00337271">
              <w:t xml:space="preserve"> w lewej kolumnie. Zmianę brzmienia zaznacza się </w:t>
            </w:r>
            <w:r w:rsidRPr="00337271">
              <w:rPr>
                <w:b/>
                <w:i/>
              </w:rPr>
              <w:t>wytłuszczonym drukiem i kursywą</w:t>
            </w:r>
            <w:r w:rsidRPr="00337271">
              <w:t xml:space="preserve"> w obu kolumnach. Nowy tekst zaznacza się </w:t>
            </w:r>
            <w:r w:rsidRPr="00337271">
              <w:rPr>
                <w:b/>
                <w:i/>
              </w:rPr>
              <w:t>wytłuszczonym drukiem i kursywą</w:t>
            </w:r>
            <w:r w:rsidRPr="00337271">
              <w:t xml:space="preserve"> w prawej kolumnie.</w:t>
            </w:r>
          </w:p>
          <w:p w:rsidR="00A83E46" w:rsidRPr="00337271" w:rsidRDefault="00A83E46" w:rsidP="003506ED">
            <w:pPr>
              <w:pStyle w:val="Lgendestandard"/>
              <w:rPr>
                <w:szCs w:val="24"/>
              </w:rPr>
            </w:pPr>
          </w:p>
          <w:p w:rsidR="00A83E46" w:rsidRPr="00337271" w:rsidRDefault="00173D29" w:rsidP="003506ED">
            <w:pPr>
              <w:pStyle w:val="Lgendestandard"/>
              <w:rPr>
                <w:szCs w:val="24"/>
              </w:rPr>
            </w:pPr>
            <w:r w:rsidRPr="00337271">
              <w:t>Pierwszy i drugi wiersz nagłówka każdej poprawki wskazuje element</w:t>
            </w:r>
            <w:r w:rsidRPr="00337271">
              <w:t xml:space="preserve"> rozpatrywanego projektu aktu, którego dotyczy poprawka. Jeżeli poprawka odnosi się do obowiązującego aktu, do którego zmiany zmierza projekt aktu, nagłówek zawiera dodatkowo trzeci wiersz wskazujący obowiązujący akt i czwarty wiersz wskazujący przepis teg</w:t>
            </w:r>
            <w:r w:rsidRPr="00337271">
              <w:t>o aktu, którego dotyczy poprawka.</w:t>
            </w:r>
          </w:p>
          <w:p w:rsidR="00A83E46" w:rsidRPr="00337271" w:rsidRDefault="00A83E46" w:rsidP="003506ED">
            <w:pPr>
              <w:pStyle w:val="Lgendestandard"/>
              <w:rPr>
                <w:szCs w:val="24"/>
              </w:rPr>
            </w:pPr>
          </w:p>
          <w:p w:rsidR="00A83E46" w:rsidRPr="00337271" w:rsidRDefault="00173D29" w:rsidP="003506ED">
            <w:pPr>
              <w:pStyle w:val="Lgendestandard"/>
              <w:rPr>
                <w:b/>
                <w:szCs w:val="24"/>
              </w:rPr>
            </w:pPr>
            <w:r w:rsidRPr="00337271">
              <w:rPr>
                <w:b/>
              </w:rPr>
              <w:t>Poprawki Parlamentu w postaci tekstu skonsolidowanego</w:t>
            </w:r>
          </w:p>
          <w:p w:rsidR="00A83E46" w:rsidRPr="00337271" w:rsidRDefault="00A83E46" w:rsidP="003506ED">
            <w:pPr>
              <w:pStyle w:val="Lgendestandard"/>
              <w:rPr>
                <w:szCs w:val="24"/>
              </w:rPr>
            </w:pPr>
          </w:p>
          <w:p w:rsidR="00A83E46" w:rsidRPr="00337271" w:rsidRDefault="00173D29" w:rsidP="003506ED">
            <w:pPr>
              <w:pStyle w:val="Lgendestandard"/>
              <w:rPr>
                <w:szCs w:val="24"/>
              </w:rPr>
            </w:pPr>
            <w:r w:rsidRPr="00337271">
              <w:t xml:space="preserve">Nowe fragmenty tekstu zaznacza się </w:t>
            </w:r>
            <w:r w:rsidRPr="00337271">
              <w:rPr>
                <w:b/>
                <w:i/>
              </w:rPr>
              <w:t>wytłuszczonym drukiem i kursywą</w:t>
            </w:r>
            <w:r w:rsidRPr="00337271">
              <w:t>. Fragmenty tekstu, które zostały skreślone, zaznacza się za pomocą symbolu ▌ lub przekreśla. Zmianę</w:t>
            </w:r>
            <w:r w:rsidRPr="00337271">
              <w:t xml:space="preserve"> brzmienia zaznacza się przez wyróżnienie nowego tekstu </w:t>
            </w:r>
            <w:r w:rsidRPr="00337271">
              <w:rPr>
                <w:b/>
                <w:i/>
              </w:rPr>
              <w:t>wytłuszczonym drukiem i kursywą</w:t>
            </w:r>
            <w:r w:rsidRPr="00337271">
              <w:t xml:space="preserve"> i usunięcie lub przekreślenie zastąpionego tekstu. </w:t>
            </w:r>
          </w:p>
          <w:p w:rsidR="00A83E46" w:rsidRPr="00337271" w:rsidRDefault="00173D29" w:rsidP="003506ED">
            <w:pPr>
              <w:pStyle w:val="Lgendestandard"/>
            </w:pPr>
            <w:r w:rsidRPr="00337271">
              <w:t>Tytułem wyjątku nie zaznacza się zmian o charakterze ściśle technicznym wprowadzonych przez służby w celu opracowani</w:t>
            </w:r>
            <w:r w:rsidRPr="00337271">
              <w:t>a końcowej wersji tekstu.</w:t>
            </w:r>
          </w:p>
          <w:p w:rsidR="00A83E46" w:rsidRPr="00337271" w:rsidRDefault="00A83E46" w:rsidP="0069092A">
            <w:pPr>
              <w:pStyle w:val="Lgendestandard"/>
            </w:pPr>
          </w:p>
        </w:tc>
      </w:tr>
    </w:tbl>
    <w:p w:rsidR="00A83E46" w:rsidRPr="00337271" w:rsidRDefault="00A83E46" w:rsidP="00894923"/>
    <w:p w:rsidR="00ED0821" w:rsidRPr="00337271" w:rsidRDefault="00ED0821" w:rsidP="00053B97">
      <w:pPr>
        <w:widowControl/>
        <w:tabs>
          <w:tab w:val="center" w:pos="4677"/>
        </w:tabs>
      </w:pPr>
    </w:p>
    <w:p w:rsidR="00ED0821" w:rsidRPr="00337271" w:rsidRDefault="00173D29">
      <w:pPr>
        <w:pStyle w:val="TOCHeading"/>
      </w:pPr>
      <w:r w:rsidRPr="00337271">
        <w:br w:type="page"/>
      </w:r>
      <w:r w:rsidRPr="00337271">
        <w:lastRenderedPageBreak/>
        <w:t>SPIS TREŚCI</w:t>
      </w:r>
    </w:p>
    <w:p w:rsidR="00ED0821" w:rsidRPr="00337271" w:rsidRDefault="00173D29">
      <w:pPr>
        <w:pStyle w:val="TOCPage"/>
      </w:pPr>
      <w:r w:rsidRPr="00337271">
        <w:t>Strona</w:t>
      </w:r>
    </w:p>
    <w:p w:rsidR="00173D29" w:rsidRDefault="00173D29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337271">
        <w:rPr>
          <w:b/>
        </w:rPr>
        <w:fldChar w:fldCharType="begin"/>
      </w:r>
      <w:r w:rsidRPr="00337271">
        <w:rPr>
          <w:b/>
        </w:rPr>
        <w:instrText xml:space="preserve"> TOC \t "PageHeading</w:instrText>
      </w:r>
      <w:r>
        <w:rPr>
          <w:b/>
        </w:rPr>
        <w:instrText>;</w:instrText>
      </w:r>
      <w:r w:rsidRPr="00337271">
        <w:rPr>
          <w:b/>
        </w:rPr>
        <w:instrText xml:space="preserve">1" </w:instrText>
      </w:r>
      <w:r w:rsidRPr="00337271">
        <w:rPr>
          <w:b/>
        </w:rPr>
        <w:fldChar w:fldCharType="separate"/>
      </w:r>
      <w:r>
        <w:rPr>
          <w:noProof/>
        </w:rPr>
        <w:t>PROJEKT REZOLUCJI USTAWODAWCZEJ PARLAMENTU EUROPEJSKIEGO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_Toc161242190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73D29" w:rsidRDefault="00173D29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UZASADNIENIE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_Toc161242191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A06D8" w:rsidRPr="00337271" w:rsidRDefault="00173D29" w:rsidP="008E4B14">
      <w:r w:rsidRPr="00337271">
        <w:rPr>
          <w:b/>
        </w:rPr>
        <w:fldChar w:fldCharType="end"/>
      </w:r>
    </w:p>
    <w:p w:rsidR="00ED0821" w:rsidRPr="00337271" w:rsidRDefault="00173D29">
      <w:pPr>
        <w:pStyle w:val="PageHeading"/>
      </w:pPr>
      <w:r w:rsidRPr="00337271">
        <w:br w:type="page"/>
      </w:r>
      <w:r w:rsidRPr="00337271">
        <w:lastRenderedPageBreak/>
        <w:br w:type="page"/>
      </w:r>
      <w:bookmarkStart w:id="0" w:name="_Toc161242190"/>
      <w:r w:rsidRPr="00337271">
        <w:lastRenderedPageBreak/>
        <w:t>PROJEKT REZOLUCJI USTAWODAWCZEJ PARLAMENTU EUROPEJSKIEGO</w:t>
      </w:r>
      <w:bookmarkEnd w:id="0"/>
    </w:p>
    <w:p w:rsidR="00ED0821" w:rsidRPr="00337271" w:rsidRDefault="00173D29">
      <w:pPr>
        <w:pStyle w:val="NormalBold"/>
      </w:pPr>
      <w:r w:rsidRPr="00337271">
        <w:t>w sprawie wniosku dotyczącego rozporządzenia Parlamentu Europejskiego i Rady zmieniającego rozporz</w:t>
      </w:r>
      <w:r w:rsidRPr="00337271">
        <w:t>ądzenie (UE) 2018/1806 w odniesieniu do posiadaczy serbskich paszportów wydanych przez serbską Dyrekcję ds. Koordynacji (Koordinaciona uprava)</w:t>
      </w:r>
    </w:p>
    <w:p w:rsidR="00ED0821" w:rsidRPr="00337271" w:rsidRDefault="00173D29">
      <w:pPr>
        <w:pStyle w:val="NormalBold12a"/>
      </w:pPr>
      <w:r w:rsidRPr="00337271">
        <w:t>(COM(2023)0733 – C9</w:t>
      </w:r>
      <w:r w:rsidRPr="00337271">
        <w:noBreakHyphen/>
        <w:t>0412/2023 – 2023/0418(COD))</w:t>
      </w:r>
    </w:p>
    <w:p w:rsidR="00ED0821" w:rsidRPr="00337271" w:rsidRDefault="00173D29" w:rsidP="00837978">
      <w:pPr>
        <w:pStyle w:val="NormalBold"/>
      </w:pPr>
      <w:r w:rsidRPr="00337271">
        <w:t>(Zwykła procedura ustawodawcza: pierwsze czytanie)</w:t>
      </w:r>
    </w:p>
    <w:p w:rsidR="00ED0821" w:rsidRPr="00337271" w:rsidRDefault="00173D29">
      <w:pPr>
        <w:pStyle w:val="EPComma"/>
      </w:pPr>
      <w:r w:rsidRPr="00337271">
        <w:rPr>
          <w:i/>
          <w:iCs/>
        </w:rPr>
        <w:t>Parlament Euro</w:t>
      </w:r>
      <w:r w:rsidRPr="00337271">
        <w:rPr>
          <w:i/>
          <w:iCs/>
        </w:rPr>
        <w:t>pejski</w:t>
      </w:r>
      <w:r w:rsidRPr="00337271">
        <w:t>,</w:t>
      </w:r>
    </w:p>
    <w:p w:rsidR="00ED0821" w:rsidRPr="00337271" w:rsidRDefault="00173D29">
      <w:pPr>
        <w:pStyle w:val="NormalHanging12a"/>
      </w:pPr>
      <w:r w:rsidRPr="00337271">
        <w:t>–</w:t>
      </w:r>
      <w:r w:rsidRPr="00337271">
        <w:tab/>
        <w:t>uwzględniając wniosek Komisji przedstawiony Parlamentowi Europejskiemu i Radzie (COM(2023)0733),</w:t>
      </w:r>
    </w:p>
    <w:p w:rsidR="00ED0821" w:rsidRPr="00337271" w:rsidRDefault="00173D29">
      <w:pPr>
        <w:pStyle w:val="NormalHanging12a"/>
      </w:pPr>
      <w:r w:rsidRPr="00337271">
        <w:t>–</w:t>
      </w:r>
      <w:r w:rsidRPr="00337271">
        <w:tab/>
        <w:t>uwzględniając art. 294 ust. 2 oraz art. 77 ust. 2 lit. a) Traktatu o funkcjonowaniu Unii Europejskiej, zgodnie z którymi wniosek został przedstawio</w:t>
      </w:r>
      <w:r w:rsidRPr="00337271">
        <w:t>ny Parlamentowi przez Komisję (C9</w:t>
      </w:r>
      <w:r w:rsidRPr="00337271">
        <w:noBreakHyphen/>
        <w:t>0412/2023),</w:t>
      </w:r>
    </w:p>
    <w:p w:rsidR="00ED0609" w:rsidRPr="00337271" w:rsidRDefault="00173D29" w:rsidP="00ED0609">
      <w:pPr>
        <w:pStyle w:val="NormalHanging12a"/>
      </w:pPr>
      <w:r w:rsidRPr="00337271">
        <w:t>–</w:t>
      </w:r>
      <w:r w:rsidRPr="00337271">
        <w:tab/>
        <w:t>uwzględniając art. 294 ust. 3 Traktatu o funkcjonowaniu Unii Europejskiej,</w:t>
      </w:r>
    </w:p>
    <w:p w:rsidR="00ED0821" w:rsidRPr="00337271" w:rsidRDefault="00173D29">
      <w:pPr>
        <w:pStyle w:val="NormalHanging12a"/>
      </w:pPr>
      <w:r w:rsidRPr="00337271">
        <w:t>–</w:t>
      </w:r>
      <w:r w:rsidRPr="00337271">
        <w:tab/>
        <w:t>uwzględniając art. 59 Regulaminu,</w:t>
      </w:r>
    </w:p>
    <w:p w:rsidR="00DF6C13" w:rsidRPr="00337271" w:rsidRDefault="00173D29" w:rsidP="00DF6C13">
      <w:pPr>
        <w:pStyle w:val="NormalHanging12a"/>
      </w:pPr>
      <w:r w:rsidRPr="00337271">
        <w:t>–</w:t>
      </w:r>
      <w:r w:rsidRPr="00337271">
        <w:tab/>
        <w:t>uwzględniając sprawozdanie Komisji Wolności Obywatelskich, Sprawiedliwości i Spraw Wewnętrznych</w:t>
      </w:r>
      <w:r w:rsidRPr="00337271">
        <w:t xml:space="preserve"> (A9</w:t>
      </w:r>
      <w:r w:rsidRPr="00337271">
        <w:noBreakHyphen/>
        <w:t>0000/2024),</w:t>
      </w:r>
    </w:p>
    <w:p w:rsidR="00ED0821" w:rsidRPr="00337271" w:rsidRDefault="00173D29">
      <w:pPr>
        <w:pStyle w:val="NormalHanging12a"/>
      </w:pPr>
      <w:r w:rsidRPr="00337271">
        <w:t>1.</w:t>
      </w:r>
      <w:r w:rsidRPr="00337271">
        <w:tab/>
        <w:t>zatwierdza swoje stanowisko w pierwszym czytaniu, przyjmując wniosek Komisji;</w:t>
      </w:r>
    </w:p>
    <w:p w:rsidR="00ED0821" w:rsidRPr="00337271" w:rsidRDefault="00173D29">
      <w:pPr>
        <w:pStyle w:val="NormalHanging12a"/>
      </w:pPr>
      <w:r w:rsidRPr="00337271">
        <w:t>2.</w:t>
      </w:r>
      <w:r w:rsidRPr="00337271">
        <w:tab/>
        <w:t>zwraca się do Komisji o ponowne przekazanie mu sprawy, jeśli zastąpi ona pierwotny wniosek, wprowadzi w nim istotne zmiany lub planuje ich wprowadzenie;</w:t>
      </w:r>
    </w:p>
    <w:p w:rsidR="00ED0821" w:rsidRPr="00337271" w:rsidRDefault="00173D29">
      <w:pPr>
        <w:pStyle w:val="NormalHanging12a"/>
      </w:pPr>
      <w:r w:rsidRPr="00337271">
        <w:t>3.</w:t>
      </w:r>
      <w:r w:rsidRPr="00337271">
        <w:tab/>
        <w:t>zobowiązuje swoją przewodniczącą do przekazania stanowiska Parlamentu Radzie, Komisji i parlamentom narodowym.</w:t>
      </w:r>
    </w:p>
    <w:p w:rsidR="00321788" w:rsidRPr="00337271" w:rsidRDefault="00321788" w:rsidP="002A1CE3">
      <w:pPr>
        <w:sectPr w:rsidR="00321788" w:rsidRPr="00337271" w:rsidSect="0033727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:rsidR="002A1CE3" w:rsidRPr="00337271" w:rsidRDefault="00173D29" w:rsidP="00321788">
      <w:pPr>
        <w:pStyle w:val="PageHeading"/>
      </w:pPr>
      <w:bookmarkStart w:id="1" w:name="_Toc161242191"/>
      <w:r w:rsidRPr="00337271">
        <w:lastRenderedPageBreak/>
        <w:t>UZASADNIENIE</w:t>
      </w:r>
      <w:bookmarkEnd w:id="1"/>
    </w:p>
    <w:p w:rsidR="00EC683F" w:rsidRPr="00337271" w:rsidRDefault="00173D29" w:rsidP="00EC683F">
      <w:pPr>
        <w:pStyle w:val="Body"/>
        <w:rPr>
          <w:sz w:val="22"/>
          <w:szCs w:val="22"/>
        </w:rPr>
      </w:pPr>
      <w:r w:rsidRPr="00337271">
        <w:rPr>
          <w:b/>
        </w:rPr>
        <w:t>a. Kontekst</w:t>
      </w:r>
      <w:r w:rsidRPr="00337271">
        <w:rPr>
          <w:sz w:val="22"/>
        </w:rPr>
        <w:t xml:space="preserve"> </w:t>
      </w:r>
    </w:p>
    <w:p w:rsidR="00EC683F" w:rsidRPr="00337271" w:rsidRDefault="00EC683F" w:rsidP="00EC683F">
      <w:pPr>
        <w:pStyle w:val="Body"/>
      </w:pPr>
    </w:p>
    <w:p w:rsidR="00EC683F" w:rsidRPr="00337271" w:rsidRDefault="00173D29" w:rsidP="00EC683F">
      <w:pPr>
        <w:pStyle w:val="Body"/>
      </w:pPr>
      <w:r w:rsidRPr="00337271">
        <w:t>16 listopada 2023 r. Komisja przedstawiła wniosek dotyczący rozporządzenia Parlamentu Europejskiego i Rady zmieni</w:t>
      </w:r>
      <w:r w:rsidRPr="00337271">
        <w:t>ającego rozporządzenie (UE) 2018/1806 w odniesieniu do posiadaczy serbskich paszportów wydanych przez serbską Dyrekcję ds. Koordynacji (Koordinaciona uprava).</w:t>
      </w:r>
    </w:p>
    <w:p w:rsidR="00EC683F" w:rsidRPr="00337271" w:rsidRDefault="00EC683F" w:rsidP="00EC683F">
      <w:pPr>
        <w:pStyle w:val="Body"/>
      </w:pPr>
    </w:p>
    <w:p w:rsidR="00EC683F" w:rsidRPr="00337271" w:rsidRDefault="00173D29" w:rsidP="00EC683F">
      <w:pPr>
        <w:pStyle w:val="Body"/>
        <w:spacing w:after="240"/>
      </w:pPr>
      <w:r w:rsidRPr="00337271">
        <w:t xml:space="preserve">Według Komisja zmiana rozporządzenia (UE) 2018/1806 pozwoli na zwolnienie posiadaczy </w:t>
      </w:r>
      <w:bookmarkStart w:id="2" w:name="_Hlk148994817"/>
      <w:r w:rsidRPr="00337271">
        <w:t>serbskich p</w:t>
      </w:r>
      <w:r w:rsidRPr="00337271">
        <w:t>aszportów wydanych przez serbską Dyrekcję ds. Koordynacji</w:t>
      </w:r>
      <w:bookmarkEnd w:id="2"/>
      <w:r w:rsidRPr="00337271">
        <w:t xml:space="preserve"> z obowiązku posiadania wizy podczas przekraczania granic zewnętrznych państw członkowskich, gdy ich pobyt nie jest dłuższy niż 90 dni w ciągu każdego 180-dniowego okresu.</w:t>
      </w:r>
    </w:p>
    <w:p w:rsidR="00EC683F" w:rsidRPr="00337271" w:rsidRDefault="00173D29" w:rsidP="00EC683F">
      <w:pPr>
        <w:pStyle w:val="Body"/>
        <w:spacing w:after="240"/>
      </w:pPr>
      <w:r w:rsidRPr="00337271">
        <w:t>W 2009 r. Kosowo zostało wł</w:t>
      </w:r>
      <w:r w:rsidRPr="00337271">
        <w:t>ączone do części 2 załącznika I do rozporządzenia (WE) nr 539/2001, co oznacza, że posiadacze paszportów wydanych przez Kosowo mieli obowiązek posiadać wizę przy przekraczaniu granic zewnętrznych państw członkowskich. 19 stycznia 2012 r. Komisja rozpoczęła</w:t>
      </w:r>
      <w:r w:rsidRPr="00337271">
        <w:t xml:space="preserve"> dialog z Kosowem w sprawie liberalizacji reżimu wizowego. 14 czerwca 2012 r. przedstawiła Kosowu plan działania, w którym określiła wszystkie przepisy prawne i inne środki, jakie Kosowo musi przyjąć i wdrożyć, aby osiągnąć postępy na drodze do liberalizac</w:t>
      </w:r>
      <w:r w:rsidRPr="00337271">
        <w:t>ji reżimu wizowego. Wspomniany dialog zakończył się pomyślnie i 4 maja 2016 r. Komisja przedstawiła wniosek</w:t>
      </w:r>
      <w:r w:rsidRPr="00337271">
        <w:rPr>
          <w:rStyle w:val="FootnoteReference"/>
        </w:rPr>
        <w:footnoteReference w:id="1"/>
      </w:r>
      <w:r w:rsidRPr="00337271">
        <w:t xml:space="preserve"> w sprawie przeniesienia Kosowa do załącznika II do rozporządzenia (WE) nr 539/2001.</w:t>
      </w:r>
    </w:p>
    <w:p w:rsidR="00EC683F" w:rsidRPr="00337271" w:rsidRDefault="00173D29" w:rsidP="00EC683F">
      <w:pPr>
        <w:pStyle w:val="Body"/>
        <w:spacing w:after="240"/>
      </w:pPr>
      <w:r w:rsidRPr="00337271">
        <w:t>Wniosek ten ostatecznie uzgodniono i przyjęto 19 kwietnia 2023 </w:t>
      </w:r>
      <w:r w:rsidRPr="00337271">
        <w:t>r. Rozporządzeniem (UE) 2023/850</w:t>
      </w:r>
      <w:r w:rsidRPr="00337271">
        <w:rPr>
          <w:rStyle w:val="FootnoteReference"/>
        </w:rPr>
        <w:footnoteReference w:id="2"/>
      </w:r>
      <w:r w:rsidRPr="00337271">
        <w:t xml:space="preserve"> zmieniono rozporządzenie (UE) 2018/1806</w:t>
      </w:r>
      <w:r w:rsidRPr="00337271">
        <w:rPr>
          <w:rStyle w:val="FootnoteReference"/>
        </w:rPr>
        <w:footnoteReference w:id="3"/>
      </w:r>
      <w:r w:rsidRPr="00337271">
        <w:t xml:space="preserve"> (które w międzyczasie zastąpiło rozporządzenie (WE) nr 539/2001), przenosząc Kosowo z części 2 załącznika I do części 4 załącznika II do tego rozporządzenia. Podobnie jak w przypadk</w:t>
      </w:r>
      <w:r w:rsidRPr="00337271">
        <w:t>u wszystkich poprzednich pomyślnie zakończonych dialogów w sprawie liberalizacji reżimu wizowego zdecydowano, że zwolnienie z obowiązku wizowego powinno mieć zastosowanie wyłącznie do posiadaczy paszportów biometrycznych. Uznano ponadto, że zwolnienia tego</w:t>
      </w:r>
      <w:r w:rsidRPr="00337271">
        <w:t xml:space="preserve"> nie należy stosować przed datą uruchomienia europejskiego systemu informacji o podróży oraz zezwoleń na podróż (ETIAS), ustanowionego rozporządzeniem Parlamentu Europejskiego i Rady (UE) 2018/1240</w:t>
      </w:r>
      <w:r w:rsidRPr="00337271">
        <w:rPr>
          <w:rStyle w:val="FootnoteReference"/>
        </w:rPr>
        <w:footnoteReference w:id="4"/>
      </w:r>
      <w:r w:rsidRPr="00337271">
        <w:t>, lub przed dniem 1 stycznia 2024 r., w zależności od tego</w:t>
      </w:r>
      <w:r w:rsidRPr="00337271">
        <w:t xml:space="preserve">, która data przypadnie wcześniej. Po przyjęciu rozporządzenia (UE) 2023/850 posiadacze serbskich </w:t>
      </w:r>
      <w:r w:rsidRPr="00337271">
        <w:lastRenderedPageBreak/>
        <w:t>paszportów wydanych przez serbską Dyrekcję ds. Koordynacji pozostaliby jedynymi obywatelami w regionie Bałkanów Zachodnich objętymi obowiązkiem posiadania wiz</w:t>
      </w:r>
      <w:r w:rsidRPr="00337271">
        <w:t xml:space="preserve">y podczas podróży do UE na pobyt krótkoterminowy. </w:t>
      </w:r>
    </w:p>
    <w:p w:rsidR="00EC683F" w:rsidRPr="00337271" w:rsidRDefault="00173D29" w:rsidP="00EC683F">
      <w:pPr>
        <w:pStyle w:val="Body"/>
        <w:spacing w:after="240"/>
      </w:pPr>
      <w:r w:rsidRPr="00337271">
        <w:t xml:space="preserve">W swoim wniosku Komisja uznała, że wraz z wejściem w życie zwolnienia posiadaczy kosowskich paszportów z obowiązku posiadania wizy uzasadnienie straciło wyłączenie z tego zwolnienia </w:t>
      </w:r>
      <w:bookmarkStart w:id="3" w:name="_Hlk148994149"/>
      <w:r w:rsidRPr="00337271">
        <w:t>posiadaczy serbskich pa</w:t>
      </w:r>
      <w:r w:rsidRPr="00337271">
        <w:t>szportów wyda</w:t>
      </w:r>
      <w:r>
        <w:t>nych przez serbską Dyrekcję ds. </w:t>
      </w:r>
      <w:r w:rsidRPr="00337271">
        <w:t>Koordynacji</w:t>
      </w:r>
      <w:bookmarkEnd w:id="3"/>
      <w:r w:rsidRPr="00337271">
        <w:t xml:space="preserve"> oraz że wszyscy obywatele regionu Bałkanów Zachodnich powinni korzystać z ruchu bezwizowego do strefy Schengen.</w:t>
      </w:r>
    </w:p>
    <w:p w:rsidR="00EC683F" w:rsidRPr="00337271" w:rsidRDefault="00EC683F" w:rsidP="00EC683F">
      <w:pPr>
        <w:pStyle w:val="Body"/>
        <w:rPr>
          <w:b/>
          <w:bCs/>
        </w:rPr>
      </w:pPr>
    </w:p>
    <w:p w:rsidR="00EC683F" w:rsidRPr="00337271" w:rsidRDefault="00173D29" w:rsidP="00EC683F">
      <w:pPr>
        <w:pStyle w:val="Body"/>
        <w:rPr>
          <w:b/>
          <w:bCs/>
        </w:rPr>
      </w:pPr>
      <w:r w:rsidRPr="00337271">
        <w:rPr>
          <w:b/>
        </w:rPr>
        <w:t>b. Serbska Dyrekcja ds. Koordynacji</w:t>
      </w:r>
    </w:p>
    <w:p w:rsidR="00EC683F" w:rsidRPr="00337271" w:rsidRDefault="00EC683F" w:rsidP="00EC683F">
      <w:pPr>
        <w:pStyle w:val="Body"/>
        <w:spacing w:after="240"/>
      </w:pPr>
    </w:p>
    <w:p w:rsidR="00EC683F" w:rsidRPr="00337271" w:rsidRDefault="00173D29" w:rsidP="00EC683F">
      <w:pPr>
        <w:pStyle w:val="Body"/>
        <w:spacing w:after="240"/>
      </w:pPr>
      <w:r w:rsidRPr="00337271">
        <w:t xml:space="preserve">Serbską Dyrekcję ds. Koordynacji ustanowiono </w:t>
      </w:r>
      <w:r w:rsidRPr="00337271">
        <w:t>w trakcie dialogu z Serbią w sprawie liberalizacji reżimu wizowego. Dyrekcja miała zastąpić siedem regionalnych dyrekcji policji rozproszonych po terytorium Serbii, które do tego czasu były odpowiedzialne za wydawanie paszportów kosowskim Serbom. Paszporty</w:t>
      </w:r>
      <w:r w:rsidRPr="00337271">
        <w:t xml:space="preserve"> wydawane przez serbską Dyrekcję ds. Koordynacji są biometryczne. Od czasu ustanowienia tej dyrekcji posiadacze tych paszportów wykorzystują je jako dokumenty podróży do UE.</w:t>
      </w:r>
    </w:p>
    <w:p w:rsidR="00EC683F" w:rsidRPr="00337271" w:rsidRDefault="00173D29" w:rsidP="00EC683F">
      <w:pPr>
        <w:pStyle w:val="Body"/>
        <w:spacing w:after="240"/>
      </w:pPr>
      <w:r w:rsidRPr="00337271">
        <w:t>Od rozpoczęcia w 2008 r. pierwszych dialogów w sprawie liberalizacji reżimu wizowe</w:t>
      </w:r>
      <w:r w:rsidRPr="00337271">
        <w:t>go Komisja określa ogólny cel, jakim jest przyznanie całemu regionowi Bałkanów Zachodnich bezwizowego dostępu do strefy Schengen. W 2009 r. zniesiono obowiązek wizowy dla Czarnogóry, Macedonii Północnej i Serbii, w 2010 r. – dla Albanii i Bośni i Hercegowi</w:t>
      </w:r>
      <w:r w:rsidRPr="00337271">
        <w:t xml:space="preserve">ny, a w 2023 r. – dla Kosowa. W tym kontekście </w:t>
      </w:r>
      <w:bookmarkStart w:id="4" w:name="_Hlk148995018"/>
      <w:r w:rsidRPr="00337271">
        <w:t>zniesienie wyłączenia posiadaczy serbskich paszportów wydanych przez serbską Dyrekcję ds. Koordynacji ze zwolnienia z obowiązku posiadania wizy</w:t>
      </w:r>
      <w:bookmarkEnd w:id="4"/>
      <w:r w:rsidRPr="00337271">
        <w:t xml:space="preserve"> oznaczałoby, że cały regionu Bałkanów Zachodnich byłby objęty jed</w:t>
      </w:r>
      <w:r w:rsidRPr="00337271">
        <w:t>nolitym systemem wizowym.</w:t>
      </w:r>
    </w:p>
    <w:p w:rsidR="00EC683F" w:rsidRPr="00337271" w:rsidRDefault="00173D29" w:rsidP="00EC683F">
      <w:pPr>
        <w:pStyle w:val="Body"/>
      </w:pPr>
      <w:r w:rsidRPr="00337271">
        <w:rPr>
          <w:b/>
        </w:rPr>
        <w:t>c. Stanowisko sprawozdawcy</w:t>
      </w:r>
    </w:p>
    <w:p w:rsidR="00EC683F" w:rsidRPr="00337271" w:rsidRDefault="00EC683F" w:rsidP="00EC683F">
      <w:pPr>
        <w:pStyle w:val="Body"/>
        <w:tabs>
          <w:tab w:val="left" w:pos="1989"/>
        </w:tabs>
      </w:pPr>
    </w:p>
    <w:p w:rsidR="00EC683F" w:rsidRPr="00337271" w:rsidRDefault="00EC683F" w:rsidP="00EC683F">
      <w:pPr>
        <w:pStyle w:val="Body"/>
        <w:tabs>
          <w:tab w:val="left" w:pos="1989"/>
        </w:tabs>
      </w:pPr>
    </w:p>
    <w:p w:rsidR="00EC683F" w:rsidRPr="00337271" w:rsidRDefault="00173D29" w:rsidP="00EC683F">
      <w:pPr>
        <w:pStyle w:val="Body"/>
        <w:tabs>
          <w:tab w:val="left" w:pos="1989"/>
        </w:tabs>
      </w:pPr>
      <w:r w:rsidRPr="00337271">
        <w:t>Polityka wizowa Unii Europejskiej, w tym jej system liberalizacji reżimu wizowego, jest niewątpliwie jednym z najbardziej wpływowych narzędzi miękkiej polityki zagranicznej w Europie. Jednak z uwagi na</w:t>
      </w:r>
      <w:r w:rsidRPr="00337271">
        <w:t xml:space="preserve"> złożoność światowej geopolityki, a często także ze względu na podziały wewnątrz Unii Europejskiej, konieczne są pewne kompromisy i decyzje, które późn</w:t>
      </w:r>
      <w:r>
        <w:t xml:space="preserve">iej często stwarzają problemy. </w:t>
      </w:r>
      <w:bookmarkStart w:id="5" w:name="_GoBack"/>
      <w:bookmarkEnd w:id="5"/>
      <w:r w:rsidRPr="00337271">
        <w:t xml:space="preserve">Tak jest w przypadku Bałkanów Zachodnich – regionu, którego sprawy nigdy </w:t>
      </w:r>
      <w:r w:rsidRPr="00337271">
        <w:t xml:space="preserve">nie są proste i rzadko można sobie z nimi łatwo poradzić. </w:t>
      </w:r>
    </w:p>
    <w:p w:rsidR="00EC683F" w:rsidRPr="00337271" w:rsidRDefault="00EC683F" w:rsidP="00EC683F">
      <w:pPr>
        <w:pStyle w:val="Body"/>
        <w:tabs>
          <w:tab w:val="left" w:pos="1989"/>
        </w:tabs>
      </w:pPr>
    </w:p>
    <w:p w:rsidR="00EC683F" w:rsidRPr="00337271" w:rsidRDefault="00173D29" w:rsidP="00EC683F">
      <w:pPr>
        <w:pStyle w:val="Body"/>
        <w:tabs>
          <w:tab w:val="left" w:pos="1989"/>
        </w:tabs>
      </w:pPr>
      <w:r w:rsidRPr="00337271">
        <w:t>Jeśli chodzi o wniosek Komisji, sprawozdawca jest zdania, że ta złożona kwestia wymaga uwzględnienia wszystkich faktów i aspektów. Należy jednak również przyjąć podejście, zgodnie z którym polityk</w:t>
      </w:r>
      <w:r w:rsidRPr="00337271">
        <w:t xml:space="preserve">a zostaje chwilowo odłożona na bok. </w:t>
      </w:r>
    </w:p>
    <w:p w:rsidR="00EC683F" w:rsidRPr="00337271" w:rsidRDefault="00173D29" w:rsidP="00EC683F">
      <w:pPr>
        <w:pStyle w:val="Body"/>
        <w:tabs>
          <w:tab w:val="left" w:pos="1989"/>
        </w:tabs>
      </w:pPr>
      <w:r w:rsidRPr="00337271">
        <w:t xml:space="preserve">Należy przyznać, że Unia Europejska była i jest w dużym stopniu katalizatorem tego problemu. Dlatego sprawozdawca uważa, że to UE musi go teraz rozwiązać. </w:t>
      </w:r>
    </w:p>
    <w:p w:rsidR="00EC683F" w:rsidRPr="00337271" w:rsidRDefault="00EC683F" w:rsidP="00EC683F">
      <w:pPr>
        <w:pStyle w:val="Body"/>
        <w:tabs>
          <w:tab w:val="left" w:pos="1989"/>
        </w:tabs>
      </w:pPr>
    </w:p>
    <w:p w:rsidR="00EC683F" w:rsidRPr="00337271" w:rsidRDefault="00173D29" w:rsidP="00EC683F">
      <w:pPr>
        <w:pStyle w:val="Body"/>
        <w:tabs>
          <w:tab w:val="left" w:pos="1989"/>
        </w:tabs>
      </w:pPr>
      <w:r w:rsidRPr="00337271">
        <w:t>Być może narzucenie Serbii podczas dialogu w sprawie liberaliz</w:t>
      </w:r>
      <w:r>
        <w:t>acji reżimu wizowego w 2008 </w:t>
      </w:r>
      <w:r w:rsidRPr="00337271">
        <w:t xml:space="preserve">r. osobnego systemu wydawania paszportów Serbom mieszkającym w Kosowie, nie było dobrym rozwiązaniem. Wiadomo było bowiem, że takie rozwiązanie może mieć jedynie </w:t>
      </w:r>
      <w:r w:rsidRPr="00337271">
        <w:lastRenderedPageBreak/>
        <w:t>charakter tymczasowy. Tego tymczasowego rozwiązania nie obwarowano</w:t>
      </w:r>
      <w:r w:rsidRPr="00337271">
        <w:t xml:space="preserve"> jednocześnie wystarczającymi zabezpieczeniami, które przewidywałyby koniec jego stosowania. </w:t>
      </w:r>
    </w:p>
    <w:p w:rsidR="00EC683F" w:rsidRPr="00337271" w:rsidRDefault="00EC683F" w:rsidP="00EC683F">
      <w:pPr>
        <w:pStyle w:val="Body"/>
        <w:tabs>
          <w:tab w:val="left" w:pos="1989"/>
        </w:tabs>
      </w:pPr>
    </w:p>
    <w:p w:rsidR="00EC683F" w:rsidRPr="00337271" w:rsidRDefault="00173D29" w:rsidP="00EC683F">
      <w:pPr>
        <w:pStyle w:val="Body"/>
      </w:pPr>
      <w:r w:rsidRPr="00337271">
        <w:t>Ponadto brak postępów w normalizacji stosunków między Serbią a Kosowem oraz fakt, że Serbia i Kosowo nadal nie uznają wzajemnie swoich dokumentów, również nie pr</w:t>
      </w:r>
      <w:r w:rsidRPr="00337271">
        <w:t xml:space="preserve">zyczyniły się w żaden sposób do uniknięcia tego problemu. </w:t>
      </w:r>
    </w:p>
    <w:p w:rsidR="00EC683F" w:rsidRPr="00337271" w:rsidRDefault="00EC683F" w:rsidP="00EC683F">
      <w:pPr>
        <w:pStyle w:val="Body"/>
        <w:tabs>
          <w:tab w:val="left" w:pos="1989"/>
        </w:tabs>
      </w:pPr>
    </w:p>
    <w:p w:rsidR="00EC683F" w:rsidRPr="00337271" w:rsidRDefault="00173D29" w:rsidP="00EC683F">
      <w:pPr>
        <w:pStyle w:val="Body"/>
        <w:tabs>
          <w:tab w:val="left" w:pos="1989"/>
        </w:tabs>
      </w:pPr>
      <w:r w:rsidRPr="00337271">
        <w:t>Sprawozdawca zdaje sobie sprawę, że Serbowie mieszkający w Kosowie, którzy posiadają paszporty wydane przez serbską Dyrekcję ds. Koordynacji, pozostają ostatnią kategorią osób na Bałkanach Zachodn</w:t>
      </w:r>
      <w:r w:rsidRPr="00337271">
        <w:t>ich, które – nie z własnej winy – są objęte obowiązkiem wizowym UE. Sprawozdawca uważa, że stanowi to dyskryminację. Co do zasady jest on głęboko przekonany, że należy zakazywać wszelkiej dyskryminacji, a w razie jej wystąpienia – natychmiast ją usuwać. Ta</w:t>
      </w:r>
      <w:r w:rsidRPr="00337271">
        <w:t xml:space="preserve"> sama zasada powinna mieć zastosowanie do wspomnianego wniosku. </w:t>
      </w:r>
    </w:p>
    <w:p w:rsidR="00EC683F" w:rsidRPr="00337271" w:rsidRDefault="00EC683F" w:rsidP="00EC683F">
      <w:pPr>
        <w:pStyle w:val="Body"/>
        <w:tabs>
          <w:tab w:val="left" w:pos="1989"/>
        </w:tabs>
      </w:pPr>
    </w:p>
    <w:p w:rsidR="00EC683F" w:rsidRPr="00337271" w:rsidRDefault="00173D29" w:rsidP="00EC683F">
      <w:pPr>
        <w:pStyle w:val="Body"/>
        <w:tabs>
          <w:tab w:val="left" w:pos="1989"/>
        </w:tabs>
      </w:pPr>
      <w:r w:rsidRPr="00337271">
        <w:t>Według sprawozdawcy do czasu rozwiązania kwestii ostatecznego statusu Kosowa lub osiągnięcia znacznych postępów w normalizacji stosunków między Kosowem a Serbią niniejszy wnioskiem nie należ</w:t>
      </w:r>
      <w:r w:rsidRPr="00337271">
        <w:t xml:space="preserve">y próbować rozwiązać sporu między Serbią a Kosowem. Nie jest to też możliwe, ani nie powinno się tego oczekiwać. Sprawozdawca uważa, że aby osiągnąć jak najlepsze rezultaty, należy odłożyć na bok politykę i traktować tę sprawę jak kwestię techniczną. </w:t>
      </w:r>
    </w:p>
    <w:p w:rsidR="00C57F8E" w:rsidRPr="00337271" w:rsidRDefault="00C57F8E" w:rsidP="00EC683F">
      <w:pPr>
        <w:pStyle w:val="Body"/>
        <w:tabs>
          <w:tab w:val="left" w:pos="1989"/>
        </w:tabs>
      </w:pPr>
    </w:p>
    <w:p w:rsidR="00EC683F" w:rsidRPr="00337271" w:rsidRDefault="00173D29" w:rsidP="00EC683F">
      <w:pPr>
        <w:pStyle w:val="Body"/>
        <w:tabs>
          <w:tab w:val="left" w:pos="1989"/>
        </w:tabs>
      </w:pPr>
      <w:r w:rsidRPr="00337271">
        <w:t>W z</w:t>
      </w:r>
      <w:r w:rsidRPr="00337271">
        <w:t>wiązku z tym sprawozdawca z zadowoleniem przyjmuje wniosek Komisji i – z uwagi złożoność sprawy i po rozważeniu jej wszystkich aspektów – opowiada się za tym, by Parlament szybko przyjął go bez poprawek jeszcze w obecnej kadencji.</w:t>
      </w:r>
    </w:p>
    <w:p w:rsidR="00321788" w:rsidRPr="00337271" w:rsidRDefault="00321788" w:rsidP="00EC683F">
      <w:pPr>
        <w:jc w:val="both"/>
      </w:pPr>
    </w:p>
    <w:sectPr w:rsidR="00321788" w:rsidRPr="00337271" w:rsidSect="0032178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337271" w:rsidRDefault="00173D29">
      <w:r w:rsidRPr="00337271">
        <w:separator/>
      </w:r>
    </w:p>
  </w:endnote>
  <w:endnote w:type="continuationSeparator" w:id="0">
    <w:p w:rsidR="00000000" w:rsidRPr="00337271" w:rsidRDefault="00173D29">
      <w:r w:rsidRPr="0033727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7271" w:rsidRPr="00337271" w:rsidRDefault="00337271" w:rsidP="00337271">
    <w:pPr>
      <w:pStyle w:val="EPFooter"/>
    </w:pPr>
    <w:r w:rsidRPr="00337271">
      <w:t>PE</w:t>
    </w:r>
    <w:r w:rsidRPr="00337271">
      <w:rPr>
        <w:rStyle w:val="HideTWBExt"/>
      </w:rPr>
      <w:t>&lt;NoPE&gt;</w:t>
    </w:r>
    <w:r w:rsidRPr="00337271">
      <w:t>759.740</w:t>
    </w:r>
    <w:r w:rsidRPr="00337271">
      <w:rPr>
        <w:rStyle w:val="HideTWBExt"/>
      </w:rPr>
      <w:t>&lt;/NoPE&gt;&lt;Version&gt;</w:t>
    </w:r>
    <w:r w:rsidRPr="00337271">
      <w:t>v01-00</w:t>
    </w:r>
    <w:r w:rsidRPr="00337271">
      <w:rPr>
        <w:rStyle w:val="HideTWBExt"/>
      </w:rPr>
      <w:t>&lt;/Version&gt;</w:t>
    </w:r>
    <w:r w:rsidRPr="00337271">
      <w:tab/>
    </w:r>
    <w:r w:rsidRPr="00337271">
      <w:fldChar w:fldCharType="begin"/>
    </w:r>
    <w:r w:rsidRPr="00337271">
      <w:instrText xml:space="preserve"> PAGE  \* MERGEFORMAT </w:instrText>
    </w:r>
    <w:r w:rsidRPr="00337271">
      <w:fldChar w:fldCharType="separate"/>
    </w:r>
    <w:r w:rsidR="00173D29">
      <w:rPr>
        <w:noProof/>
      </w:rPr>
      <w:t>8</w:t>
    </w:r>
    <w:r w:rsidRPr="00337271">
      <w:fldChar w:fldCharType="end"/>
    </w:r>
    <w:r w:rsidRPr="00337271">
      <w:t>/</w:t>
    </w:r>
    <w:fldSimple w:instr=" NUMPAGES  \* MERGEFORMAT ">
      <w:r w:rsidR="00173D29">
        <w:rPr>
          <w:noProof/>
        </w:rPr>
        <w:t>8</w:t>
      </w:r>
    </w:fldSimple>
    <w:r w:rsidRPr="00337271">
      <w:tab/>
    </w:r>
    <w:r w:rsidRPr="00337271">
      <w:rPr>
        <w:rStyle w:val="HideTWBExt"/>
      </w:rPr>
      <w:t>&lt;PathFdR&gt;</w:t>
    </w:r>
    <w:r w:rsidRPr="00337271">
      <w:t>PR\1297972PL.docx</w:t>
    </w:r>
    <w:r w:rsidRPr="00337271">
      <w:rPr>
        <w:rStyle w:val="HideTWBExt"/>
      </w:rPr>
      <w:t>&lt;/PathFdR&gt;</w:t>
    </w:r>
  </w:p>
  <w:p w:rsidR="00302A66" w:rsidRPr="00337271" w:rsidRDefault="00337271" w:rsidP="00337271">
    <w:pPr>
      <w:pStyle w:val="EPFooter2"/>
    </w:pPr>
    <w:r w:rsidRPr="00337271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7271" w:rsidRPr="00337271" w:rsidRDefault="00337271" w:rsidP="00337271">
    <w:pPr>
      <w:pStyle w:val="EPFooter"/>
    </w:pPr>
    <w:r w:rsidRPr="00337271">
      <w:rPr>
        <w:rStyle w:val="HideTWBExt"/>
      </w:rPr>
      <w:t>&lt;PathFdR&gt;</w:t>
    </w:r>
    <w:r w:rsidRPr="00337271">
      <w:t>PR\1297972PL.docx</w:t>
    </w:r>
    <w:r w:rsidRPr="00337271">
      <w:rPr>
        <w:rStyle w:val="HideTWBExt"/>
      </w:rPr>
      <w:t>&lt;/PathFdR&gt;</w:t>
    </w:r>
    <w:r w:rsidRPr="00337271">
      <w:tab/>
    </w:r>
    <w:r w:rsidRPr="00337271">
      <w:fldChar w:fldCharType="begin"/>
    </w:r>
    <w:r w:rsidRPr="00337271">
      <w:instrText xml:space="preserve"> PAGE  \* MERGEFORMAT </w:instrText>
    </w:r>
    <w:r w:rsidRPr="00337271">
      <w:fldChar w:fldCharType="separate"/>
    </w:r>
    <w:r w:rsidR="00173D29">
      <w:rPr>
        <w:noProof/>
      </w:rPr>
      <w:t>7</w:t>
    </w:r>
    <w:r w:rsidRPr="00337271">
      <w:fldChar w:fldCharType="end"/>
    </w:r>
    <w:r w:rsidRPr="00337271">
      <w:t>/</w:t>
    </w:r>
    <w:fldSimple w:instr=" NUMPAGES  \* MERGEFORMAT ">
      <w:r w:rsidR="00173D29">
        <w:rPr>
          <w:noProof/>
        </w:rPr>
        <w:t>8</w:t>
      </w:r>
    </w:fldSimple>
    <w:r w:rsidRPr="00337271">
      <w:tab/>
      <w:t>PE</w:t>
    </w:r>
    <w:r w:rsidRPr="00337271">
      <w:rPr>
        <w:rStyle w:val="HideTWBExt"/>
      </w:rPr>
      <w:t>&lt;NoPE&gt;</w:t>
    </w:r>
    <w:r w:rsidRPr="00337271">
      <w:t>759.740</w:t>
    </w:r>
    <w:r w:rsidRPr="00337271">
      <w:rPr>
        <w:rStyle w:val="HideTWBExt"/>
      </w:rPr>
      <w:t>&lt;/NoPE&gt;&lt;Version&gt;</w:t>
    </w:r>
    <w:r w:rsidRPr="00337271">
      <w:t>v01-00</w:t>
    </w:r>
    <w:r w:rsidRPr="00337271">
      <w:rPr>
        <w:rStyle w:val="HideTWBExt"/>
      </w:rPr>
      <w:t>&lt;/Version&gt;</w:t>
    </w:r>
  </w:p>
  <w:p w:rsidR="00302A66" w:rsidRPr="00337271" w:rsidRDefault="00337271" w:rsidP="00337271">
    <w:pPr>
      <w:pStyle w:val="EPFooter2"/>
    </w:pPr>
    <w:r w:rsidRPr="00337271">
      <w:tab/>
    </w:r>
    <w:r w:rsidRPr="00337271">
      <w:tab/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7271" w:rsidRPr="00337271" w:rsidRDefault="00337271" w:rsidP="00337271">
    <w:pPr>
      <w:pStyle w:val="EPFooter"/>
    </w:pPr>
    <w:r w:rsidRPr="00337271">
      <w:rPr>
        <w:rStyle w:val="HideTWBExt"/>
      </w:rPr>
      <w:t>&lt;PathFdR&gt;</w:t>
    </w:r>
    <w:r w:rsidRPr="00337271">
      <w:t>PR\1297972PL.docx</w:t>
    </w:r>
    <w:r w:rsidRPr="00337271">
      <w:rPr>
        <w:rStyle w:val="HideTWBExt"/>
      </w:rPr>
      <w:t>&lt;/PathFdR&gt;</w:t>
    </w:r>
    <w:r w:rsidRPr="00337271">
      <w:tab/>
    </w:r>
    <w:r w:rsidRPr="00337271">
      <w:tab/>
      <w:t>PE</w:t>
    </w:r>
    <w:r w:rsidRPr="00337271">
      <w:rPr>
        <w:rStyle w:val="HideTWBExt"/>
      </w:rPr>
      <w:t>&lt;NoPE&gt;</w:t>
    </w:r>
    <w:r w:rsidRPr="00337271">
      <w:t>759.740</w:t>
    </w:r>
    <w:r w:rsidRPr="00337271">
      <w:rPr>
        <w:rStyle w:val="HideTWBExt"/>
      </w:rPr>
      <w:t>&lt;/NoPE&gt;&lt;Version&gt;</w:t>
    </w:r>
    <w:r w:rsidRPr="00337271">
      <w:t>v01-00</w:t>
    </w:r>
    <w:r w:rsidRPr="00337271">
      <w:rPr>
        <w:rStyle w:val="HideTWBExt"/>
      </w:rPr>
      <w:t>&lt;/Version&gt;</w:t>
    </w:r>
  </w:p>
  <w:p w:rsidR="00302A66" w:rsidRPr="00337271" w:rsidRDefault="00337271" w:rsidP="00337271">
    <w:pPr>
      <w:pStyle w:val="EPFooter2"/>
    </w:pPr>
    <w:r w:rsidRPr="00337271">
      <w:t>PL</w:t>
    </w:r>
    <w:r w:rsidRPr="00337271">
      <w:tab/>
    </w:r>
    <w:r w:rsidRPr="00337271">
      <w:rPr>
        <w:b w:val="0"/>
        <w:i/>
        <w:color w:val="C0C0C0"/>
        <w:sz w:val="22"/>
      </w:rPr>
      <w:t>Zjednoczona w różnorodności</w:t>
    </w:r>
    <w:r w:rsidRPr="00337271">
      <w:tab/>
      <w:t>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4FDA" w:rsidRPr="00337271" w:rsidRDefault="00173D29">
      <w:r w:rsidRPr="00337271">
        <w:separator/>
      </w:r>
    </w:p>
  </w:footnote>
  <w:footnote w:type="continuationSeparator" w:id="0">
    <w:p w:rsidR="00624FDA" w:rsidRPr="00337271" w:rsidRDefault="00173D29">
      <w:r w:rsidRPr="00337271">
        <w:continuationSeparator/>
      </w:r>
    </w:p>
  </w:footnote>
  <w:footnote w:id="1">
    <w:p w:rsidR="00EC683F" w:rsidRPr="00337271" w:rsidRDefault="00173D29" w:rsidP="00EC683F">
      <w:pPr>
        <w:pStyle w:val="FootnoteText"/>
      </w:pPr>
      <w:r w:rsidRPr="00337271">
        <w:rPr>
          <w:rStyle w:val="FootnoteReference"/>
        </w:rPr>
        <w:footnoteRef/>
      </w:r>
      <w:r w:rsidRPr="00337271">
        <w:tab/>
        <w:t>COM/2016/0277 fina</w:t>
      </w:r>
      <w:r w:rsidRPr="00337271">
        <w:t>l.</w:t>
      </w:r>
    </w:p>
  </w:footnote>
  <w:footnote w:id="2">
    <w:p w:rsidR="00EC683F" w:rsidRPr="00337271" w:rsidRDefault="00173D29" w:rsidP="00EC683F">
      <w:pPr>
        <w:pStyle w:val="FootnoteText"/>
      </w:pPr>
      <w:r w:rsidRPr="00337271">
        <w:rPr>
          <w:rStyle w:val="FootnoteReference"/>
        </w:rPr>
        <w:footnoteRef/>
      </w:r>
      <w:r w:rsidRPr="00337271">
        <w:tab/>
        <w:t>Rozporządzenie Parlamentu Europejskiego i Rady (UE) 2023/850 z dnia 19 kwietnia 2023 r. w sprawie zmiany rozporządzenia (UE) 2018/1806 wymieniającego państwa trzecie, których obywatele muszą posiadać wizy podczas przekraczania granic zewnętrznych, ora</w:t>
      </w:r>
      <w:r w:rsidRPr="00337271">
        <w:t>z te, których obywatele są zwolnieni z tego wymogu (Kosowo (Użycie tej nazwy nie wpływa na stanowiska w sprawie statusu Kosowa i jest zgodne z rezolucją Rady Bezpieczeństwa ONZ nr 1244/1999 oraz z opinią Międzynarodowego Trybunału Sprawiedliwości w sprawie</w:t>
      </w:r>
      <w:r w:rsidRPr="00337271">
        <w:t xml:space="preserve"> Deklaracji niepodległości Kosowa.)) (Dz.U. L 110 z 25.4.2023, s. 1–4).</w:t>
      </w:r>
    </w:p>
  </w:footnote>
  <w:footnote w:id="3">
    <w:p w:rsidR="00EC683F" w:rsidRPr="00337271" w:rsidRDefault="00173D29" w:rsidP="00EC683F">
      <w:pPr>
        <w:pStyle w:val="FootnoteText"/>
      </w:pPr>
      <w:r w:rsidRPr="00337271">
        <w:rPr>
          <w:rStyle w:val="FootnoteReference"/>
        </w:rPr>
        <w:footnoteRef/>
      </w:r>
      <w:r w:rsidRPr="00337271">
        <w:tab/>
        <w:t>Rozporządzenie Parlamentu Europejskiego i Rady (UE) 2018/1806 z dnia 14 listopada 2018 r. wymieniające państwa trzecie, których obywatele muszą posiadać wizy podczas przekraczania gr</w:t>
      </w:r>
      <w:r w:rsidRPr="00337271">
        <w:t>anic zewnętrznych, oraz te, których obywatele są zwolnieni z tego wymogu (Dz.U. L 303 z 28.11.2018, s. 39).</w:t>
      </w:r>
    </w:p>
  </w:footnote>
  <w:footnote w:id="4">
    <w:p w:rsidR="00EC683F" w:rsidRPr="00337271" w:rsidRDefault="00173D29" w:rsidP="00EC683F">
      <w:pPr>
        <w:pStyle w:val="FootnoteText"/>
      </w:pPr>
      <w:r w:rsidRPr="00337271">
        <w:rPr>
          <w:rStyle w:val="FootnoteReference"/>
        </w:rPr>
        <w:footnoteRef/>
      </w:r>
      <w:r w:rsidRPr="00337271">
        <w:tab/>
        <w:t>Rozporządzenie Parlamentu Europejskiego i Rady (UE) 2018/1240 z dnia 12 września 2018 r. ustanawiające europejski system informacji o podróży oraz</w:t>
      </w:r>
      <w:r w:rsidRPr="00337271">
        <w:t xml:space="preserve"> zezwoleń na podróż (ETIAS) i zmieniające rozporządzenia (UE) nr 1077/2011, (UE) nr 515/2014, (UE) 2016/399, (UE) 2016/1624 i (UE) 2017/2226, (Dz.U. L 236 z 19.9.2018, s. 1–71).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3D29" w:rsidRDefault="00173D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3D29" w:rsidRDefault="00173D2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3D29" w:rsidRDefault="00173D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KEY" w:val="LIBE"/>
    <w:docVar w:name="CopyToNetwork" w:val="-1"/>
    <w:docVar w:name="DOCMNU" w:val=" 1"/>
    <w:docVar w:name="EPOJMNU" w:val=" 3"/>
    <w:docVar w:name="EPSTATMNU" w:val=" 1"/>
    <w:docVar w:name="EPSTATPLURMNU" w:val=" 1"/>
    <w:docVar w:name="INSTITUTIONSMNU" w:val=" 2"/>
    <w:docVar w:name="JURI1MNU" w:val=" 2"/>
    <w:docVar w:name="JURI2MNU" w:val=" 2"/>
    <w:docVar w:name="LastEditedSection" w:val=" 1"/>
    <w:docVar w:name="OTHERSTATMNU" w:val=" 4"/>
    <w:docVar w:name="PARLIAMENTSMNU" w:val=" 2"/>
    <w:docVar w:name="strDocTypeID" w:val="PR_COD_1app"/>
    <w:docVar w:name="strSubDir" w:val="1297"/>
    <w:docVar w:name="TXTLANGUE" w:val="PL"/>
    <w:docVar w:name="TXTLANGUEMIN" w:val="pl"/>
    <w:docVar w:name="TXTNRC" w:val="0412/2023"/>
    <w:docVar w:name="TXTNRCOD" w:val="2023/0418"/>
    <w:docVar w:name="TXTNRCOM" w:val="(2023)0733"/>
    <w:docVar w:name="TXTNRPE" w:val="759.740"/>
    <w:docVar w:name="TXTPEorAP" w:val="PE"/>
    <w:docVar w:name="TXTROUTE" w:val="PR\1297972PL.docx"/>
    <w:docVar w:name="TXTTITLE" w:val="amending Regulation (EU) 2018/1806 as regards holders of Serbian passports issued by the Serbian Coordination Directorate (Koordinaciona uprava)"/>
    <w:docVar w:name="TXTVERSION" w:val="01-00"/>
  </w:docVars>
  <w:rsids>
    <w:rsidRoot w:val="00624FDA"/>
    <w:rsid w:val="00053B97"/>
    <w:rsid w:val="000A0C2E"/>
    <w:rsid w:val="000B5585"/>
    <w:rsid w:val="000C5EDC"/>
    <w:rsid w:val="000F59C5"/>
    <w:rsid w:val="00104AEE"/>
    <w:rsid w:val="00164B9B"/>
    <w:rsid w:val="00173D29"/>
    <w:rsid w:val="00182506"/>
    <w:rsid w:val="001907B9"/>
    <w:rsid w:val="001A06D8"/>
    <w:rsid w:val="001D3524"/>
    <w:rsid w:val="00260FAA"/>
    <w:rsid w:val="002A0B11"/>
    <w:rsid w:val="002A1CE3"/>
    <w:rsid w:val="002B272A"/>
    <w:rsid w:val="002C0F2B"/>
    <w:rsid w:val="002C3187"/>
    <w:rsid w:val="00302A66"/>
    <w:rsid w:val="0031764E"/>
    <w:rsid w:val="00321788"/>
    <w:rsid w:val="00337271"/>
    <w:rsid w:val="003506ED"/>
    <w:rsid w:val="00382606"/>
    <w:rsid w:val="003A53CE"/>
    <w:rsid w:val="003B55E9"/>
    <w:rsid w:val="003C5583"/>
    <w:rsid w:val="004078CB"/>
    <w:rsid w:val="0041661E"/>
    <w:rsid w:val="00433573"/>
    <w:rsid w:val="00434AC3"/>
    <w:rsid w:val="00490742"/>
    <w:rsid w:val="00490D5F"/>
    <w:rsid w:val="004D7B3B"/>
    <w:rsid w:val="004F67E3"/>
    <w:rsid w:val="00543B7B"/>
    <w:rsid w:val="005571A0"/>
    <w:rsid w:val="005663F7"/>
    <w:rsid w:val="00624FDA"/>
    <w:rsid w:val="0065285A"/>
    <w:rsid w:val="0069092A"/>
    <w:rsid w:val="00695056"/>
    <w:rsid w:val="007908B5"/>
    <w:rsid w:val="007D611D"/>
    <w:rsid w:val="00814B44"/>
    <w:rsid w:val="00837978"/>
    <w:rsid w:val="008663F8"/>
    <w:rsid w:val="008927F6"/>
    <w:rsid w:val="00894923"/>
    <w:rsid w:val="008A07E3"/>
    <w:rsid w:val="008B26BF"/>
    <w:rsid w:val="008B5034"/>
    <w:rsid w:val="008D6E09"/>
    <w:rsid w:val="008E22DF"/>
    <w:rsid w:val="008E4B14"/>
    <w:rsid w:val="00913414"/>
    <w:rsid w:val="00961182"/>
    <w:rsid w:val="00972ED6"/>
    <w:rsid w:val="009D1771"/>
    <w:rsid w:val="00A02CEA"/>
    <w:rsid w:val="00A40C66"/>
    <w:rsid w:val="00A43E6A"/>
    <w:rsid w:val="00A62C81"/>
    <w:rsid w:val="00A7512E"/>
    <w:rsid w:val="00A82A11"/>
    <w:rsid w:val="00A83E46"/>
    <w:rsid w:val="00A84BA1"/>
    <w:rsid w:val="00AD26AD"/>
    <w:rsid w:val="00AE4E74"/>
    <w:rsid w:val="00AF7573"/>
    <w:rsid w:val="00B37926"/>
    <w:rsid w:val="00B52B6C"/>
    <w:rsid w:val="00B54EAF"/>
    <w:rsid w:val="00BA5740"/>
    <w:rsid w:val="00BD28D4"/>
    <w:rsid w:val="00BE1457"/>
    <w:rsid w:val="00BE4EC7"/>
    <w:rsid w:val="00BF6269"/>
    <w:rsid w:val="00C54859"/>
    <w:rsid w:val="00C57F8E"/>
    <w:rsid w:val="00C71A3C"/>
    <w:rsid w:val="00C82EBC"/>
    <w:rsid w:val="00C85D0F"/>
    <w:rsid w:val="00CD1FB0"/>
    <w:rsid w:val="00D133F8"/>
    <w:rsid w:val="00D1777C"/>
    <w:rsid w:val="00D919CF"/>
    <w:rsid w:val="00DC3DED"/>
    <w:rsid w:val="00DF6C13"/>
    <w:rsid w:val="00E24902"/>
    <w:rsid w:val="00E51D1E"/>
    <w:rsid w:val="00EC683F"/>
    <w:rsid w:val="00ED0609"/>
    <w:rsid w:val="00ED0821"/>
    <w:rsid w:val="00F0202A"/>
    <w:rsid w:val="00F31E31"/>
    <w:rsid w:val="00F80241"/>
    <w:rsid w:val="00FC479A"/>
    <w:rsid w:val="00FF2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4D80DA"/>
  <w15:chartTrackingRefBased/>
  <w15:docId w15:val="{3799A89D-9F1F-4F3D-802B-FB7EC9531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5583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837978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8E4B14"/>
    <w:pPr>
      <w:spacing w:after="240"/>
    </w:pPr>
  </w:style>
  <w:style w:type="paragraph" w:styleId="TOCHeading">
    <w:name w:val="TOC Heading"/>
    <w:basedOn w:val="Normal"/>
    <w:next w:val="TOCPage"/>
    <w:qFormat/>
    <w:rsid w:val="00FF2A53"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053B97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D1777C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65285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D1777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164B9B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C71A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C71A3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C71A3C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71A3C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053B97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053B97"/>
    <w:pPr>
      <w:jc w:val="right"/>
    </w:pPr>
  </w:style>
  <w:style w:type="paragraph" w:customStyle="1" w:styleId="EPFooter">
    <w:name w:val="EPFooter"/>
    <w:basedOn w:val="Normal"/>
    <w:rsid w:val="00D1777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PageNumber">
    <w:name w:val="page number"/>
    <w:basedOn w:val="DefaultParagraphFont"/>
    <w:semiHidden/>
    <w:rsid w:val="00913414"/>
  </w:style>
  <w:style w:type="character" w:customStyle="1" w:styleId="HeaderChar">
    <w:name w:val="Header Char"/>
    <w:basedOn w:val="DefaultParagraphFont"/>
    <w:link w:val="Header"/>
    <w:semiHidden/>
    <w:rsid w:val="00164B9B"/>
    <w:rPr>
      <w:sz w:val="24"/>
    </w:rPr>
  </w:style>
  <w:style w:type="paragraph" w:customStyle="1" w:styleId="Lgendesigne">
    <w:name w:val="Légende signe"/>
    <w:basedOn w:val="Normal"/>
    <w:rsid w:val="00A83E46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A83E46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A83E46"/>
    <w:rPr>
      <w:sz w:val="18"/>
    </w:rPr>
  </w:style>
  <w:style w:type="paragraph" w:styleId="Footer">
    <w:name w:val="footer"/>
    <w:basedOn w:val="Normal"/>
    <w:link w:val="FooterChar"/>
    <w:semiHidden/>
    <w:rsid w:val="000F59C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0F59C5"/>
    <w:rPr>
      <w:sz w:val="24"/>
    </w:rPr>
  </w:style>
  <w:style w:type="paragraph" w:styleId="FootnoteText">
    <w:name w:val="footnote text"/>
    <w:basedOn w:val="Normal"/>
    <w:link w:val="FootnoteTextChar"/>
    <w:unhideWhenUsed/>
    <w:rsid w:val="00321788"/>
    <w:pPr>
      <w:widowControl/>
      <w:ind w:left="720" w:hanging="720"/>
      <w:jc w:val="both"/>
    </w:pPr>
    <w:rPr>
      <w:rFonts w:eastAsiaTheme="minorHAnsi"/>
      <w:sz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21788"/>
    <w:rPr>
      <w:rFonts w:eastAsiaTheme="minorHAnsi"/>
      <w:lang w:eastAsia="en-US"/>
    </w:rPr>
  </w:style>
  <w:style w:type="character" w:styleId="FootnoteReference">
    <w:name w:val="footnote reference"/>
    <w:basedOn w:val="DefaultParagraphFont"/>
    <w:unhideWhenUsed/>
    <w:rsid w:val="00321788"/>
    <w:rPr>
      <w:vertAlign w:val="superscript"/>
    </w:rPr>
  </w:style>
  <w:style w:type="paragraph" w:customStyle="1" w:styleId="Body">
    <w:name w:val="Body"/>
    <w:rsid w:val="00EC683F"/>
    <w:pPr>
      <w:pBdr>
        <w:top w:val="nil"/>
        <w:left w:val="nil"/>
        <w:bottom w:val="nil"/>
        <w:right w:val="nil"/>
        <w:between w:val="nil"/>
        <w:bar w:val="nil"/>
      </w:pBdr>
      <w:jc w:val="both"/>
    </w:pPr>
    <w:rPr>
      <w:rFonts w:eastAsia="Arial Unicode MS" w:cs="Arial Unicode MS"/>
      <w:color w:val="000000"/>
      <w:sz w:val="24"/>
      <w:szCs w:val="24"/>
      <w:u w:color="000000"/>
      <w:bdr w:val="nil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352335-1FE8-4512-9749-AF9BB112F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1371</Words>
  <Characters>9186</Characters>
  <Application>Microsoft Office Word</Application>
  <DocSecurity>0</DocSecurity>
  <Lines>204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PR_COD_1app</vt:lpstr>
    </vt:vector>
  </TitlesOfParts>
  <Company/>
  <LinksUpToDate>false</LinksUpToDate>
  <CharactersWithSpaces>10484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PR_COD_1app</dc:title>
  <dc:creator>TOADER Maria</dc:creator>
  <cp:lastModifiedBy>KOSYCARZ Kinga</cp:lastModifiedBy>
  <cp:revision>2</cp:revision>
  <cp:lastPrinted>2004-11-04T10:10:00Z</cp:lastPrinted>
  <dcterms:created xsi:type="dcterms:W3CDTF">2024-03-13T16:09:00Z</dcterms:created>
  <dcterms:modified xsi:type="dcterms:W3CDTF">2024-03-13T16:09:00Z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1297972</vt:lpwstr>
  </property>
  <property fmtid="{D5CDD505-2E9C-101B-9397-08002B2CF9AE}" pid="4" name="&lt;Model&gt;">
    <vt:lpwstr>PR_COD_1app</vt:lpwstr>
  </property>
  <property fmtid="{D5CDD505-2E9C-101B-9397-08002B2CF9AE}" pid="5" name="&lt;ModelCod&gt;">
    <vt:lpwstr>\\eiciBRUpr1\pdocep$\DocEP\DOCS\General\PR\PR_Leg\COD\COD_1st\PR_COD_1app.dotx(23/03/2022 10:54:04)</vt:lpwstr>
  </property>
  <property fmtid="{D5CDD505-2E9C-101B-9397-08002B2CF9AE}" pid="6" name="&lt;ModelTra&gt;">
    <vt:lpwstr>\\eiciBRUpr1\pdocep$\DocEP\TRANSFIL\EN\PR_COD_1app.EN(29/06/2022 09:21:37)</vt:lpwstr>
  </property>
  <property fmtid="{D5CDD505-2E9C-101B-9397-08002B2CF9AE}" pid="7" name="&lt;Type&gt;">
    <vt:lpwstr>PR</vt:lpwstr>
  </property>
  <property fmtid="{D5CDD505-2E9C-101B-9397-08002B2CF9AE}" pid="8" name="Created with">
    <vt:lpwstr>9.17.2 Build [20240212]</vt:lpwstr>
  </property>
  <property fmtid="{D5CDD505-2E9C-101B-9397-08002B2CF9AE}" pid="9" name="FooterPath">
    <vt:lpwstr>PR\1297972PL.docx</vt:lpwstr>
  </property>
  <property fmtid="{D5CDD505-2E9C-101B-9397-08002B2CF9AE}" pid="10" name="LastEdited with">
    <vt:lpwstr>9.17.2 Build [20240301]</vt:lpwstr>
  </property>
  <property fmtid="{D5CDD505-2E9C-101B-9397-08002B2CF9AE}" pid="11" name="PE number">
    <vt:lpwstr>759.740</vt:lpwstr>
  </property>
  <property fmtid="{D5CDD505-2E9C-101B-9397-08002B2CF9AE}" pid="12" name="SDLStudio">
    <vt:lpwstr/>
  </property>
  <property fmtid="{D5CDD505-2E9C-101B-9397-08002B2CF9AE}" pid="13" name="SendToEpades">
    <vt:lpwstr>OK - 2024/03/05 15:58</vt:lpwstr>
  </property>
  <property fmtid="{D5CDD505-2E9C-101B-9397-08002B2CF9AE}" pid="14" name="Bookout">
    <vt:lpwstr>OK - 2024/03/13 17:09</vt:lpwstr>
  </property>
</Properties>
</file>