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86105F" w:rsidRPr="002E0712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8B5034" w:rsidRPr="002E0712" w:rsidRDefault="001E52E3" w:rsidP="00C85D0F">
            <w:pPr>
              <w:pStyle w:val="EPName"/>
            </w:pPr>
            <w:r w:rsidRPr="002E0712">
              <w:t>Parlamento Europeu</w:t>
            </w:r>
          </w:p>
          <w:p w:rsidR="008B5034" w:rsidRPr="002E0712" w:rsidRDefault="001E52E3" w:rsidP="00A83E46">
            <w:pPr>
              <w:pStyle w:val="EPTerm"/>
            </w:pPr>
            <w:r w:rsidRPr="002E0712">
              <w:t>2019-2024</w:t>
            </w:r>
          </w:p>
        </w:tc>
        <w:tc>
          <w:tcPr>
            <w:tcW w:w="2268" w:type="dxa"/>
            <w:shd w:val="clear" w:color="auto" w:fill="auto"/>
          </w:tcPr>
          <w:p w:rsidR="008B5034" w:rsidRPr="002E0712" w:rsidRDefault="001E52E3" w:rsidP="00C85D0F">
            <w:pPr>
              <w:pStyle w:val="EPLogo"/>
            </w:pPr>
            <w:r w:rsidRPr="002E0712">
              <w:rPr>
                <w:noProof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71A3C" w:rsidRPr="002E0712" w:rsidRDefault="00C71A3C" w:rsidP="00C71A3C">
      <w:pPr>
        <w:pStyle w:val="LineTop"/>
      </w:pPr>
    </w:p>
    <w:p w:rsidR="00C71A3C" w:rsidRPr="002E0712" w:rsidRDefault="001E52E3" w:rsidP="00C71A3C">
      <w:pPr>
        <w:pStyle w:val="EPBody"/>
      </w:pPr>
      <w:r w:rsidRPr="002E0712">
        <w:rPr>
          <w:rStyle w:val="HideTWBExt"/>
        </w:rPr>
        <w:t>&lt;</w:t>
      </w:r>
      <w:r w:rsidRPr="002E0712">
        <w:rPr>
          <w:rStyle w:val="HideTWBExt"/>
          <w:i w:val="0"/>
        </w:rPr>
        <w:t>Commission</w:t>
      </w:r>
      <w:r w:rsidRPr="002E0712">
        <w:rPr>
          <w:rStyle w:val="HideTWBExt"/>
        </w:rPr>
        <w:t>&gt;</w:t>
      </w:r>
      <w:r w:rsidRPr="002E0712">
        <w:rPr>
          <w:rStyle w:val="HideTWBInt"/>
          <w:color w:val="auto"/>
        </w:rPr>
        <w:t>{LIBE}</w:t>
      </w:r>
      <w:r w:rsidRPr="002E0712">
        <w:t>Comissão das Liberdades Cívicas, da Justiça e dos Assuntos Internos</w:t>
      </w:r>
      <w:r w:rsidRPr="002E0712">
        <w:rPr>
          <w:rStyle w:val="HideTWBExt"/>
        </w:rPr>
        <w:t>&lt;/</w:t>
      </w:r>
      <w:r w:rsidRPr="002E0712">
        <w:rPr>
          <w:rStyle w:val="HideTWBExt"/>
          <w:i w:val="0"/>
        </w:rPr>
        <w:t>Commission</w:t>
      </w:r>
      <w:r w:rsidRPr="002E0712">
        <w:rPr>
          <w:rStyle w:val="HideTWBExt"/>
        </w:rPr>
        <w:t>&gt;</w:t>
      </w:r>
    </w:p>
    <w:p w:rsidR="00C71A3C" w:rsidRPr="002E0712" w:rsidRDefault="00C71A3C" w:rsidP="00C71A3C">
      <w:pPr>
        <w:pStyle w:val="LineBottom"/>
      </w:pPr>
    </w:p>
    <w:p w:rsidR="00ED0821" w:rsidRPr="002E0712" w:rsidRDefault="001E52E3">
      <w:pPr>
        <w:pStyle w:val="CoverReference"/>
      </w:pPr>
      <w:r w:rsidRPr="002E0712">
        <w:rPr>
          <w:rStyle w:val="HideTWBExt"/>
          <w:b w:val="0"/>
        </w:rPr>
        <w:t>&lt;RefProc&gt;</w:t>
      </w:r>
      <w:r w:rsidRPr="002E0712">
        <w:t>2023/0418</w:t>
      </w:r>
      <w:r w:rsidRPr="002E0712">
        <w:rPr>
          <w:rStyle w:val="HideTWBExt"/>
          <w:b w:val="0"/>
        </w:rPr>
        <w:t>&lt;/RefProc&gt;&lt;RefTypeProc&gt;</w:t>
      </w:r>
      <w:r w:rsidRPr="002E0712">
        <w:t>(COD)</w:t>
      </w:r>
      <w:r w:rsidRPr="002E0712">
        <w:rPr>
          <w:rStyle w:val="HideTWBExt"/>
          <w:b w:val="0"/>
        </w:rPr>
        <w:t>&lt;/RefTypeProc&gt;</w:t>
      </w:r>
    </w:p>
    <w:p w:rsidR="00ED0821" w:rsidRPr="002E0712" w:rsidRDefault="001E52E3">
      <w:pPr>
        <w:pStyle w:val="CoverDate"/>
      </w:pPr>
      <w:r w:rsidRPr="002E0712">
        <w:rPr>
          <w:rStyle w:val="HideTWBExt"/>
        </w:rPr>
        <w:t>&lt;Date&gt;</w:t>
      </w:r>
      <w:r w:rsidRPr="002E0712">
        <w:rPr>
          <w:rStyle w:val="HideTWBInt"/>
          <w:color w:val="auto"/>
        </w:rPr>
        <w:t>{05/03/2024}</w:t>
      </w:r>
      <w:r w:rsidRPr="002E0712">
        <w:t>5.3.2024</w:t>
      </w:r>
      <w:r w:rsidRPr="002E0712">
        <w:rPr>
          <w:rStyle w:val="HideTWBExt"/>
        </w:rPr>
        <w:t>&lt;/Date&gt;</w:t>
      </w:r>
    </w:p>
    <w:p w:rsidR="00ED0821" w:rsidRPr="002E0712" w:rsidRDefault="001E52E3">
      <w:pPr>
        <w:pStyle w:val="CoverDocType"/>
      </w:pPr>
      <w:r w:rsidRPr="002E0712">
        <w:rPr>
          <w:rStyle w:val="HideTWBExt"/>
          <w:b w:val="0"/>
        </w:rPr>
        <w:t>&lt;RefProcLect&gt;</w:t>
      </w:r>
      <w:r w:rsidRPr="002E0712">
        <w:t>***I</w:t>
      </w:r>
      <w:r w:rsidRPr="002E0712">
        <w:rPr>
          <w:rStyle w:val="HideTWBExt"/>
          <w:b w:val="0"/>
        </w:rPr>
        <w:t>&lt;/RefProcLect&gt;</w:t>
      </w:r>
    </w:p>
    <w:p w:rsidR="00ED0821" w:rsidRPr="002E0712" w:rsidRDefault="001E52E3">
      <w:pPr>
        <w:pStyle w:val="CoverDocType24a"/>
      </w:pPr>
      <w:r w:rsidRPr="002E0712">
        <w:rPr>
          <w:rStyle w:val="HideTWBExt"/>
          <w:b w:val="0"/>
        </w:rPr>
        <w:t>&lt;TitreType&gt;</w:t>
      </w:r>
      <w:r w:rsidRPr="002E0712">
        <w:t>PROJETO DE RELATÓRIO</w:t>
      </w:r>
      <w:r w:rsidRPr="002E0712">
        <w:rPr>
          <w:rStyle w:val="HideTWBExt"/>
          <w:b w:val="0"/>
        </w:rPr>
        <w:t>&lt;/TitreType&gt;</w:t>
      </w:r>
    </w:p>
    <w:p w:rsidR="00ED0821" w:rsidRPr="002E0712" w:rsidRDefault="001E52E3">
      <w:pPr>
        <w:pStyle w:val="CoverNormal"/>
      </w:pPr>
      <w:r w:rsidRPr="002E0712">
        <w:rPr>
          <w:rStyle w:val="HideTWBExt"/>
        </w:rPr>
        <w:t>&lt;Titre&gt;</w:t>
      </w:r>
      <w:r w:rsidRPr="002E0712">
        <w:t xml:space="preserve">sobre a proposta de regulamento do Parlamento Europeu e do Conselho que altera o Regulamento (UE) 2018/1806 no que diz respeito aos titulares de passaportes sérvios emitidos pela Direção de </w:t>
      </w:r>
      <w:r w:rsidRPr="002E0712">
        <w:t>Coordenação sérvia (Koordinaciona uprava)</w:t>
      </w:r>
      <w:r w:rsidRPr="002E0712">
        <w:rPr>
          <w:rStyle w:val="HideTWBExt"/>
        </w:rPr>
        <w:t>&lt;/Titre&gt;</w:t>
      </w:r>
    </w:p>
    <w:p w:rsidR="00ED0821" w:rsidRPr="002E0712" w:rsidRDefault="001E52E3">
      <w:pPr>
        <w:pStyle w:val="CoverNormal24a"/>
      </w:pPr>
      <w:r w:rsidRPr="002E0712">
        <w:rPr>
          <w:rStyle w:val="HideTWBExt"/>
        </w:rPr>
        <w:t>&lt;DocRef&gt;</w:t>
      </w:r>
      <w:r w:rsidRPr="002E0712">
        <w:t>(COM(2023)0733 – C9</w:t>
      </w:r>
      <w:r w:rsidRPr="002E0712">
        <w:noBreakHyphen/>
        <w:t>0412/2023 – 2023/0418(COD))</w:t>
      </w:r>
      <w:r w:rsidRPr="002E0712">
        <w:rPr>
          <w:rStyle w:val="HideTWBExt"/>
        </w:rPr>
        <w:t>&lt;/DocRef&gt;</w:t>
      </w:r>
    </w:p>
    <w:p w:rsidR="00ED0821" w:rsidRPr="002E0712" w:rsidRDefault="001E52E3">
      <w:pPr>
        <w:pStyle w:val="CoverNormal24a"/>
      </w:pPr>
      <w:r w:rsidRPr="002E0712">
        <w:rPr>
          <w:rStyle w:val="HideTWBExt"/>
        </w:rPr>
        <w:t>&lt;Commission&gt;</w:t>
      </w:r>
      <w:r w:rsidRPr="002E0712">
        <w:rPr>
          <w:rStyle w:val="HideTWBInt"/>
          <w:color w:val="auto"/>
        </w:rPr>
        <w:t>{LIBE}</w:t>
      </w:r>
      <w:r w:rsidRPr="002E0712">
        <w:t>Comissão das Liberdades Cívicas, da Justiça e dos Assuntos Internos</w:t>
      </w:r>
      <w:r w:rsidRPr="002E0712">
        <w:rPr>
          <w:rStyle w:val="HideTWBExt"/>
        </w:rPr>
        <w:t>&lt;/Commission&gt;</w:t>
      </w:r>
    </w:p>
    <w:p w:rsidR="00ED0821" w:rsidRPr="002E0712" w:rsidRDefault="001E52E3">
      <w:pPr>
        <w:pStyle w:val="CoverNormal24a"/>
      </w:pPr>
      <w:r w:rsidRPr="002E0712">
        <w:t xml:space="preserve">Relator: </w:t>
      </w:r>
      <w:r w:rsidRPr="002E0712">
        <w:rPr>
          <w:rStyle w:val="HideTWBExt"/>
        </w:rPr>
        <w:t>&lt;Depute&gt;</w:t>
      </w:r>
      <w:r w:rsidRPr="002E0712">
        <w:t>Matjaž Nemec</w:t>
      </w:r>
      <w:r w:rsidRPr="002E0712">
        <w:rPr>
          <w:rStyle w:val="HideTWBExt"/>
        </w:rPr>
        <w:t>&lt;/Depute&gt;</w:t>
      </w:r>
    </w:p>
    <w:p w:rsidR="00BE4EC7" w:rsidRPr="002E0712" w:rsidRDefault="00BE4EC7" w:rsidP="00BE4EC7">
      <w:pPr>
        <w:pStyle w:val="CoverNormal"/>
      </w:pPr>
    </w:p>
    <w:p w:rsidR="00A83E46" w:rsidRPr="002E0712" w:rsidRDefault="001E52E3" w:rsidP="00894923">
      <w:r w:rsidRPr="002E0712">
        <w:br w:type="page"/>
      </w:r>
      <w:r w:rsidRPr="002E0712">
        <w:lastRenderedPageBreak/>
        <w:fldChar w:fldCharType="begin"/>
      </w:r>
      <w:r w:rsidRPr="002E0712">
        <w:instrText xml:space="preserve"> TITLE  \* MERGEFORMAT </w:instrText>
      </w:r>
      <w:r w:rsidRPr="002E0712">
        <w:fldChar w:fldCharType="separate"/>
      </w:r>
      <w:r>
        <w:t>PR_COD_1app</w:t>
      </w:r>
      <w:r w:rsidRPr="002E0712">
        <w:fldChar w:fldCharType="end"/>
      </w:r>
    </w:p>
    <w:p w:rsidR="00A83E46" w:rsidRPr="002E0712" w:rsidRDefault="00A83E46" w:rsidP="00894923"/>
    <w:p w:rsidR="00A83E46" w:rsidRPr="002E0712" w:rsidRDefault="00A83E46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86105F" w:rsidRPr="002E0712">
        <w:tc>
          <w:tcPr>
            <w:tcW w:w="5811" w:type="dxa"/>
          </w:tcPr>
          <w:p w:rsidR="00A83E46" w:rsidRPr="002E0712" w:rsidRDefault="001E52E3" w:rsidP="00894923">
            <w:pPr>
              <w:pStyle w:val="Lgendetitre"/>
            </w:pPr>
            <w:r w:rsidRPr="002E0712">
              <w:t>Legenda dos símbolos utilizados</w:t>
            </w:r>
          </w:p>
        </w:tc>
      </w:tr>
      <w:tr w:rsidR="0086105F" w:rsidRPr="002E0712" w:rsidTr="007452CB">
        <w:trPr>
          <w:cantSplit/>
          <w:trHeight w:val="1807"/>
        </w:trPr>
        <w:tc>
          <w:tcPr>
            <w:tcW w:w="5811" w:type="dxa"/>
            <w:tcBorders>
              <w:bottom w:val="single" w:sz="4" w:space="0" w:color="auto"/>
            </w:tcBorders>
          </w:tcPr>
          <w:p w:rsidR="00A83E46" w:rsidRPr="002E0712" w:rsidRDefault="001E52E3" w:rsidP="003506ED">
            <w:pPr>
              <w:pStyle w:val="Lgendesigne"/>
            </w:pPr>
            <w:r w:rsidRPr="002E0712">
              <w:tab/>
              <w:t>*</w:t>
            </w:r>
            <w:r w:rsidRPr="002E0712">
              <w:tab/>
              <w:t>Processo de consulta</w:t>
            </w:r>
          </w:p>
          <w:p w:rsidR="00A83E46" w:rsidRPr="002E0712" w:rsidRDefault="001E52E3" w:rsidP="003506ED">
            <w:pPr>
              <w:pStyle w:val="Lgendesigne"/>
            </w:pPr>
            <w:r w:rsidRPr="002E0712">
              <w:tab/>
              <w:t>***</w:t>
            </w:r>
            <w:r w:rsidRPr="002E0712">
              <w:tab/>
              <w:t>Processo de aprovação</w:t>
            </w:r>
          </w:p>
          <w:p w:rsidR="00A83E46" w:rsidRPr="002E0712" w:rsidRDefault="001E52E3" w:rsidP="003506ED">
            <w:pPr>
              <w:pStyle w:val="Lgendesigne"/>
            </w:pPr>
            <w:r w:rsidRPr="002E0712">
              <w:tab/>
              <w:t>***I</w:t>
            </w:r>
            <w:r w:rsidRPr="002E0712">
              <w:tab/>
              <w:t>Processo legislativo ordinário (primeira leitura)</w:t>
            </w:r>
          </w:p>
          <w:p w:rsidR="00A83E46" w:rsidRPr="002E0712" w:rsidRDefault="001E52E3" w:rsidP="003506ED">
            <w:pPr>
              <w:pStyle w:val="Lgendesigne"/>
            </w:pPr>
            <w:r w:rsidRPr="002E0712">
              <w:tab/>
              <w:t>***II</w:t>
            </w:r>
            <w:r w:rsidRPr="002E0712">
              <w:tab/>
              <w:t>Processo legislativo ordinário (segunda leitura)</w:t>
            </w:r>
          </w:p>
          <w:p w:rsidR="00A83E46" w:rsidRPr="002E0712" w:rsidRDefault="001E52E3" w:rsidP="003506ED">
            <w:pPr>
              <w:pStyle w:val="Lgendesigne"/>
            </w:pPr>
            <w:r w:rsidRPr="002E0712">
              <w:tab/>
              <w:t>***III</w:t>
            </w:r>
            <w:r w:rsidRPr="002E0712">
              <w:tab/>
              <w:t xml:space="preserve">Processo </w:t>
            </w:r>
            <w:r w:rsidRPr="002E0712">
              <w:t>legislativo ordinário (terceira leitura)</w:t>
            </w:r>
          </w:p>
          <w:p w:rsidR="00A83E46" w:rsidRPr="002E0712" w:rsidRDefault="00A83E46" w:rsidP="003506ED">
            <w:pPr>
              <w:pStyle w:val="Lgendestandard"/>
            </w:pPr>
          </w:p>
          <w:p w:rsidR="00A83E46" w:rsidRPr="002E0712" w:rsidRDefault="001E52E3" w:rsidP="003506ED">
            <w:pPr>
              <w:pStyle w:val="Lgendestandard"/>
            </w:pPr>
            <w:r w:rsidRPr="002E0712">
              <w:t>(O processo indicado tem por fundamento a base jurídica proposta no projeto de ato.)</w:t>
            </w:r>
          </w:p>
          <w:p w:rsidR="00A83E46" w:rsidRPr="002E0712" w:rsidRDefault="00A83E46" w:rsidP="00B54EAF">
            <w:pPr>
              <w:pStyle w:val="Lgendestandard"/>
            </w:pPr>
          </w:p>
        </w:tc>
      </w:tr>
    </w:tbl>
    <w:p w:rsidR="00A83E46" w:rsidRPr="002E0712" w:rsidRDefault="00A83E46" w:rsidP="00894923"/>
    <w:p w:rsidR="00A83E46" w:rsidRPr="002E0712" w:rsidRDefault="00A83E46" w:rsidP="00894923"/>
    <w:p w:rsidR="00A83E46" w:rsidRPr="002E0712" w:rsidRDefault="00A83E46" w:rsidP="00894923"/>
    <w:p w:rsidR="00A83E46" w:rsidRPr="002E0712" w:rsidRDefault="00A83E46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86105F" w:rsidRPr="002E0712">
        <w:tc>
          <w:tcPr>
            <w:tcW w:w="5811" w:type="dxa"/>
          </w:tcPr>
          <w:p w:rsidR="00A83E46" w:rsidRPr="002E0712" w:rsidRDefault="001E52E3" w:rsidP="00894923">
            <w:pPr>
              <w:pStyle w:val="Lgendetitre"/>
            </w:pPr>
            <w:r w:rsidRPr="002E0712">
              <w:t>Alterações a um projeto de ato</w:t>
            </w:r>
          </w:p>
        </w:tc>
      </w:tr>
      <w:tr w:rsidR="0086105F" w:rsidRPr="002E0712" w:rsidTr="00554250">
        <w:trPr>
          <w:trHeight w:val="4496"/>
        </w:trPr>
        <w:tc>
          <w:tcPr>
            <w:tcW w:w="5811" w:type="dxa"/>
          </w:tcPr>
          <w:p w:rsidR="00A83E46" w:rsidRPr="002E0712" w:rsidRDefault="001E52E3" w:rsidP="003506ED">
            <w:pPr>
              <w:pStyle w:val="Lgendestandard"/>
              <w:rPr>
                <w:szCs w:val="24"/>
              </w:rPr>
            </w:pPr>
            <w:r w:rsidRPr="002E0712">
              <w:rPr>
                <w:b/>
              </w:rPr>
              <w:t>Alterações do Parlamento apresentadas em duas colunas</w:t>
            </w:r>
          </w:p>
          <w:p w:rsidR="00A83E46" w:rsidRPr="002E0712" w:rsidRDefault="00A83E46" w:rsidP="003506ED">
            <w:pPr>
              <w:pStyle w:val="Lgendestandard"/>
              <w:rPr>
                <w:szCs w:val="24"/>
              </w:rPr>
            </w:pPr>
          </w:p>
          <w:p w:rsidR="00A83E46" w:rsidRPr="002E0712" w:rsidRDefault="001E52E3" w:rsidP="003506ED">
            <w:pPr>
              <w:pStyle w:val="Lgendestandard"/>
              <w:rPr>
                <w:szCs w:val="24"/>
              </w:rPr>
            </w:pPr>
            <w:r w:rsidRPr="002E0712">
              <w:t xml:space="preserve">As supressões são assinaladas em </w:t>
            </w:r>
            <w:r w:rsidRPr="002E0712">
              <w:rPr>
                <w:b/>
                <w:bCs/>
                <w:i/>
                <w:iCs/>
              </w:rPr>
              <w:t>itálico</w:t>
            </w:r>
            <w:r w:rsidRPr="002E0712">
              <w:t xml:space="preserve"> e a </w:t>
            </w:r>
            <w:r w:rsidRPr="002E0712">
              <w:rPr>
                <w:b/>
                <w:bCs/>
                <w:i/>
                <w:iCs/>
              </w:rPr>
              <w:t>negrito</w:t>
            </w:r>
            <w:r w:rsidRPr="002E0712">
              <w:t xml:space="preserve"> na coluna da esquerda. As substituições são assinaladas em </w:t>
            </w:r>
            <w:r w:rsidRPr="002E0712">
              <w:rPr>
                <w:b/>
                <w:bCs/>
                <w:i/>
                <w:iCs/>
              </w:rPr>
              <w:t>itálico</w:t>
            </w:r>
            <w:r w:rsidRPr="002E0712">
              <w:t xml:space="preserve"> e a </w:t>
            </w:r>
            <w:r w:rsidRPr="002E0712">
              <w:rPr>
                <w:b/>
                <w:bCs/>
                <w:i/>
                <w:iCs/>
              </w:rPr>
              <w:t>negrito</w:t>
            </w:r>
            <w:r w:rsidRPr="002E0712">
              <w:t xml:space="preserve"> na coluna da esquerda e na coluna da direita. O texto novo é assinalado em </w:t>
            </w:r>
            <w:r w:rsidRPr="002E0712">
              <w:rPr>
                <w:b/>
                <w:bCs/>
                <w:i/>
                <w:iCs/>
              </w:rPr>
              <w:t>itálico</w:t>
            </w:r>
            <w:r w:rsidRPr="002E0712">
              <w:t xml:space="preserve"> e a </w:t>
            </w:r>
            <w:r w:rsidRPr="002E0712">
              <w:rPr>
                <w:b/>
                <w:bCs/>
                <w:i/>
                <w:iCs/>
              </w:rPr>
              <w:t>negrito</w:t>
            </w:r>
            <w:r w:rsidRPr="002E0712">
              <w:t xml:space="preserve"> na coluna da direita.</w:t>
            </w:r>
          </w:p>
          <w:p w:rsidR="00A83E46" w:rsidRPr="002E0712" w:rsidRDefault="00A83E46" w:rsidP="003506ED">
            <w:pPr>
              <w:pStyle w:val="Lgendestandard"/>
              <w:rPr>
                <w:szCs w:val="24"/>
              </w:rPr>
            </w:pPr>
          </w:p>
          <w:p w:rsidR="00A83E46" w:rsidRPr="002E0712" w:rsidRDefault="001E52E3" w:rsidP="003506ED">
            <w:pPr>
              <w:pStyle w:val="Lgendestandard"/>
              <w:rPr>
                <w:szCs w:val="24"/>
              </w:rPr>
            </w:pPr>
            <w:r w:rsidRPr="002E0712">
              <w:t>A primeira e a segunda linhas do cabeça</w:t>
            </w:r>
            <w:r w:rsidRPr="002E0712">
              <w:t xml:space="preserve">lho de cada alteração identificam o passo relevante do projeto de ato em apreço. Se uma alteração disser respeito a um ato já existente, que o projeto de ato pretenda modificar, o cabeçalho comporta ainda uma terceira e uma quarta linhas, que identificam, </w:t>
            </w:r>
            <w:r w:rsidRPr="002E0712">
              <w:t>respetivamente, o ato existente e a disposição visada do ato em causa.</w:t>
            </w:r>
          </w:p>
          <w:p w:rsidR="00A83E46" w:rsidRPr="002E0712" w:rsidRDefault="00A83E46" w:rsidP="003506ED">
            <w:pPr>
              <w:pStyle w:val="Lgendestandard"/>
              <w:rPr>
                <w:szCs w:val="24"/>
              </w:rPr>
            </w:pPr>
          </w:p>
          <w:p w:rsidR="00A83E46" w:rsidRPr="002E0712" w:rsidRDefault="001E52E3" w:rsidP="003506ED">
            <w:pPr>
              <w:pStyle w:val="Lgendestandard"/>
              <w:rPr>
                <w:b/>
                <w:szCs w:val="24"/>
              </w:rPr>
            </w:pPr>
            <w:r w:rsidRPr="002E0712">
              <w:rPr>
                <w:b/>
              </w:rPr>
              <w:t>Alterações do Parlamento apresentadas sob a forma de texto consolidado</w:t>
            </w:r>
          </w:p>
          <w:p w:rsidR="00A83E46" w:rsidRPr="002E0712" w:rsidRDefault="00A83E46" w:rsidP="003506ED">
            <w:pPr>
              <w:pStyle w:val="Lgendestandard"/>
              <w:rPr>
                <w:szCs w:val="24"/>
              </w:rPr>
            </w:pPr>
          </w:p>
          <w:p w:rsidR="00A83E46" w:rsidRPr="002E0712" w:rsidRDefault="001E52E3" w:rsidP="003506ED">
            <w:pPr>
              <w:pStyle w:val="Lgendestandard"/>
              <w:rPr>
                <w:szCs w:val="24"/>
              </w:rPr>
            </w:pPr>
            <w:r w:rsidRPr="002E0712">
              <w:t xml:space="preserve">Os trechos novos são assinalados em </w:t>
            </w:r>
            <w:r w:rsidRPr="002E0712">
              <w:rPr>
                <w:b/>
                <w:bCs/>
                <w:i/>
                <w:iCs/>
              </w:rPr>
              <w:t>itálico</w:t>
            </w:r>
            <w:r w:rsidRPr="002E0712">
              <w:t xml:space="preserve"> e a </w:t>
            </w:r>
            <w:r w:rsidRPr="002E0712">
              <w:rPr>
                <w:b/>
                <w:bCs/>
                <w:i/>
                <w:iCs/>
              </w:rPr>
              <w:t>negrito</w:t>
            </w:r>
            <w:r w:rsidRPr="002E0712">
              <w:t xml:space="preserve">. Os trechos suprimidos são assinalados pelo símbolo ▌ou </w:t>
            </w:r>
            <w:r w:rsidRPr="002E0712">
              <w:t xml:space="preserve">rasurados. As substituições são assinaladas formatando o texto novo em </w:t>
            </w:r>
            <w:r w:rsidRPr="002E0712">
              <w:rPr>
                <w:b/>
                <w:bCs/>
                <w:i/>
                <w:iCs/>
              </w:rPr>
              <w:t>itálico</w:t>
            </w:r>
            <w:r w:rsidRPr="002E0712">
              <w:t xml:space="preserve"> e a </w:t>
            </w:r>
            <w:r w:rsidRPr="002E0712">
              <w:rPr>
                <w:b/>
                <w:bCs/>
                <w:i/>
                <w:iCs/>
              </w:rPr>
              <w:t>negrito</w:t>
            </w:r>
            <w:r w:rsidRPr="002E0712">
              <w:t xml:space="preserve"> e suprimindo, ou rasurando, o texto substituído. </w:t>
            </w:r>
          </w:p>
          <w:p w:rsidR="00A83E46" w:rsidRPr="002E0712" w:rsidRDefault="001E52E3" w:rsidP="003506ED">
            <w:pPr>
              <w:pStyle w:val="Lgendestandard"/>
            </w:pPr>
            <w:r w:rsidRPr="002E0712">
              <w:t>Exceção: as modificações de natureza estritamente técnica introduzidas pelos serviços com vista à elaboração do tex</w:t>
            </w:r>
            <w:r w:rsidRPr="002E0712">
              <w:t>to final não são assinaladas.</w:t>
            </w:r>
          </w:p>
          <w:p w:rsidR="00A83E46" w:rsidRPr="002E0712" w:rsidRDefault="00A83E46" w:rsidP="0069092A">
            <w:pPr>
              <w:pStyle w:val="Lgendestandard"/>
            </w:pPr>
          </w:p>
        </w:tc>
      </w:tr>
    </w:tbl>
    <w:p w:rsidR="00A83E46" w:rsidRPr="002E0712" w:rsidRDefault="00A83E46" w:rsidP="00894923"/>
    <w:p w:rsidR="00ED0821" w:rsidRPr="002E0712" w:rsidRDefault="00ED0821" w:rsidP="00053B97">
      <w:pPr>
        <w:widowControl/>
        <w:tabs>
          <w:tab w:val="center" w:pos="4677"/>
        </w:tabs>
      </w:pPr>
    </w:p>
    <w:p w:rsidR="00ED0821" w:rsidRPr="002E0712" w:rsidRDefault="001E52E3">
      <w:pPr>
        <w:pStyle w:val="TOCHeading"/>
      </w:pPr>
      <w:r w:rsidRPr="002E0712">
        <w:br w:type="page"/>
      </w:r>
      <w:r w:rsidRPr="002E0712">
        <w:lastRenderedPageBreak/>
        <w:t>ÍNDICE</w:t>
      </w:r>
    </w:p>
    <w:p w:rsidR="00ED0821" w:rsidRPr="002E0712" w:rsidRDefault="001E52E3">
      <w:pPr>
        <w:pStyle w:val="TOCPage"/>
      </w:pPr>
      <w:r w:rsidRPr="002E0712">
        <w:t>Página</w:t>
      </w:r>
    </w:p>
    <w:p w:rsidR="001E52E3" w:rsidRDefault="001E52E3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2E0712">
        <w:rPr>
          <w:b/>
        </w:rPr>
        <w:fldChar w:fldCharType="begin"/>
      </w:r>
      <w:r w:rsidRPr="002E0712">
        <w:rPr>
          <w:b/>
        </w:rPr>
        <w:instrText xml:space="preserve"> TOC \t "PageHeading</w:instrText>
      </w:r>
      <w:r w:rsidR="008927F6" w:rsidRPr="002E0712">
        <w:rPr>
          <w:b/>
        </w:rPr>
        <w:instrText>;</w:instrText>
      </w:r>
      <w:r w:rsidRPr="002E0712">
        <w:rPr>
          <w:b/>
        </w:rPr>
        <w:instrText xml:space="preserve">1" </w:instrText>
      </w:r>
      <w:r w:rsidRPr="002E0712">
        <w:rPr>
          <w:b/>
        </w:rPr>
        <w:fldChar w:fldCharType="separate"/>
      </w:r>
      <w:r>
        <w:rPr>
          <w:noProof/>
        </w:rPr>
        <w:t>PROJETO DE RESOLUÇÃO LEGISLATIVA DO PARLAMENTO EUROPEU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_Toc161302580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1E52E3" w:rsidRDefault="001E52E3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EXPOSIÇÃO DE MOTIVOS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_Toc161302581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1A06D8" w:rsidRPr="002E0712" w:rsidRDefault="001E52E3" w:rsidP="008E4B14">
      <w:r w:rsidRPr="002E0712">
        <w:rPr>
          <w:b/>
        </w:rPr>
        <w:fldChar w:fldCharType="end"/>
      </w:r>
    </w:p>
    <w:p w:rsidR="00ED0821" w:rsidRPr="002E0712" w:rsidRDefault="001E52E3">
      <w:pPr>
        <w:pStyle w:val="PageHeading"/>
      </w:pPr>
      <w:r w:rsidRPr="002E0712">
        <w:br w:type="page"/>
      </w:r>
      <w:r w:rsidRPr="002E0712">
        <w:br w:type="page"/>
      </w:r>
      <w:bookmarkStart w:id="0" w:name="_Toc161302580"/>
      <w:r w:rsidRPr="002E0712">
        <w:t>PROJETO DE RESOLUÇÃO LEGISLATIVA DO PARLAMENTO EUROPEU</w:t>
      </w:r>
      <w:bookmarkEnd w:id="0"/>
    </w:p>
    <w:p w:rsidR="00ED0821" w:rsidRPr="002E0712" w:rsidRDefault="001E52E3">
      <w:pPr>
        <w:pStyle w:val="NormalBold"/>
      </w:pPr>
      <w:r w:rsidRPr="002E0712">
        <w:t>sobre a proposta de regulamento do Parlamento Europeu e do Conselho que altera o Regulamento (UE) 2018/1806 no que diz respeito ao</w:t>
      </w:r>
      <w:r w:rsidRPr="002E0712">
        <w:t>s titulares de passaportes sérvios emitidos pela Direção de Coordenação sérvia (Koordinaciona uprava)</w:t>
      </w:r>
    </w:p>
    <w:p w:rsidR="00ED0821" w:rsidRPr="002E0712" w:rsidRDefault="001E52E3">
      <w:pPr>
        <w:pStyle w:val="NormalBold12a"/>
      </w:pPr>
      <w:r w:rsidRPr="002E0712">
        <w:t>(COM(2023)0733 – C9</w:t>
      </w:r>
      <w:r w:rsidRPr="002E0712">
        <w:noBreakHyphen/>
        <w:t>0412/2023 – 2023/0418(COD))</w:t>
      </w:r>
    </w:p>
    <w:p w:rsidR="00ED0821" w:rsidRPr="002E0712" w:rsidRDefault="001E52E3" w:rsidP="00837978">
      <w:pPr>
        <w:pStyle w:val="NormalBold"/>
      </w:pPr>
      <w:r w:rsidRPr="002E0712">
        <w:t>(Processo legislativo ordinário: primeira leitura)</w:t>
      </w:r>
    </w:p>
    <w:p w:rsidR="00ED0821" w:rsidRPr="002E0712" w:rsidRDefault="001E52E3">
      <w:pPr>
        <w:pStyle w:val="EPComma"/>
      </w:pPr>
      <w:r w:rsidRPr="002E0712">
        <w:rPr>
          <w:i/>
          <w:iCs/>
        </w:rPr>
        <w:t>O Parlamento Europeu,</w:t>
      </w:r>
    </w:p>
    <w:p w:rsidR="00ED0821" w:rsidRPr="002E0712" w:rsidRDefault="001E52E3">
      <w:pPr>
        <w:pStyle w:val="NormalHanging12a"/>
      </w:pPr>
      <w:r w:rsidRPr="002E0712">
        <w:t>–</w:t>
      </w:r>
      <w:r w:rsidRPr="002E0712">
        <w:tab/>
        <w:t>Tendo em conta a proposta da Co</w:t>
      </w:r>
      <w:r w:rsidRPr="002E0712">
        <w:t>missão ao Parlamento Europeu e ao Conselho (COM(2023)0733),</w:t>
      </w:r>
    </w:p>
    <w:p w:rsidR="00ED0821" w:rsidRPr="002E0712" w:rsidRDefault="001E52E3">
      <w:pPr>
        <w:pStyle w:val="NormalHanging12a"/>
      </w:pPr>
      <w:r w:rsidRPr="002E0712">
        <w:t>–</w:t>
      </w:r>
      <w:r w:rsidRPr="002E0712">
        <w:tab/>
        <w:t>Tendo em conta o artigo 294.º, n.º 2, e o artigo 77.º, n.º 2, alínea a), do Tratado sobre o Funcionamento da União Europeia, nos termos dos quais a proposta lhe foi apresentada pela Comissão (C9</w:t>
      </w:r>
      <w:r w:rsidRPr="002E0712">
        <w:noBreakHyphen/>
        <w:t>0412/2023),</w:t>
      </w:r>
    </w:p>
    <w:p w:rsidR="00ED0609" w:rsidRPr="002E0712" w:rsidRDefault="001E52E3" w:rsidP="00ED0609">
      <w:pPr>
        <w:pStyle w:val="NormalHanging12a"/>
      </w:pPr>
      <w:r w:rsidRPr="002E0712">
        <w:t>–</w:t>
      </w:r>
      <w:r w:rsidRPr="002E0712">
        <w:tab/>
        <w:t>Tendo em conta o artigo 294.º, n.º 3, do Tratado sobre o Funcionamento da União Europeia,</w:t>
      </w:r>
    </w:p>
    <w:p w:rsidR="00ED0821" w:rsidRPr="002E0712" w:rsidRDefault="001E52E3">
      <w:pPr>
        <w:pStyle w:val="NormalHanging12a"/>
      </w:pPr>
      <w:r w:rsidRPr="002E0712">
        <w:t>–</w:t>
      </w:r>
      <w:r w:rsidRPr="002E0712">
        <w:tab/>
        <w:t>Tendo em conta o artigo 59.º do seu Regimento,</w:t>
      </w:r>
    </w:p>
    <w:p w:rsidR="00DF6C13" w:rsidRPr="002E0712" w:rsidRDefault="001E52E3" w:rsidP="00DF6C13">
      <w:pPr>
        <w:pStyle w:val="NormalHanging12a"/>
      </w:pPr>
      <w:r w:rsidRPr="002E0712">
        <w:t>–</w:t>
      </w:r>
      <w:r w:rsidRPr="002E0712">
        <w:tab/>
        <w:t>Tendo em conta o relatório da Comissão das Liberdades Cívicas, da Justiça e dos Assuntos Internos (A</w:t>
      </w:r>
      <w:r w:rsidRPr="002E0712">
        <w:t>9</w:t>
      </w:r>
      <w:r w:rsidRPr="002E0712">
        <w:noBreakHyphen/>
        <w:t>0000/2024),</w:t>
      </w:r>
    </w:p>
    <w:p w:rsidR="00ED0821" w:rsidRPr="002E0712" w:rsidRDefault="001E52E3">
      <w:pPr>
        <w:pStyle w:val="NormalHanging12a"/>
      </w:pPr>
      <w:r w:rsidRPr="002E0712">
        <w:t>1.</w:t>
      </w:r>
      <w:r w:rsidRPr="002E0712">
        <w:tab/>
        <w:t>Aprova a sua posição em primeira leitura, fazendo su</w:t>
      </w:r>
      <w:bookmarkStart w:id="1" w:name="_GoBack"/>
      <w:bookmarkEnd w:id="1"/>
      <w:r w:rsidRPr="002E0712">
        <w:t>a a proposta da Comissão;</w:t>
      </w:r>
    </w:p>
    <w:p w:rsidR="00ED0821" w:rsidRPr="002E0712" w:rsidRDefault="001E52E3">
      <w:pPr>
        <w:pStyle w:val="NormalHanging12a"/>
      </w:pPr>
      <w:r w:rsidRPr="002E0712">
        <w:t>2.</w:t>
      </w:r>
      <w:r w:rsidRPr="002E0712">
        <w:tab/>
        <w:t>Requer à Comissão que lhe submeta de novo a sua proposta, se a substituir, se a alterar substancialmente ou se pretender alterá-la substancialmente;</w:t>
      </w:r>
    </w:p>
    <w:p w:rsidR="00ED0821" w:rsidRPr="002E0712" w:rsidRDefault="001E52E3">
      <w:pPr>
        <w:pStyle w:val="NormalHanging12a"/>
      </w:pPr>
      <w:r w:rsidRPr="002E0712">
        <w:t>3.</w:t>
      </w:r>
      <w:r w:rsidRPr="002E0712">
        <w:tab/>
        <w:t>Encarr</w:t>
      </w:r>
      <w:r w:rsidRPr="002E0712">
        <w:t>ega a sua Presidente de transmitir a posição do Parlamento ao Conselho, à Comissão e aos parlamentos nacionais.</w:t>
      </w:r>
    </w:p>
    <w:p w:rsidR="00321788" w:rsidRPr="002E0712" w:rsidRDefault="00321788" w:rsidP="002A1CE3">
      <w:pPr>
        <w:sectPr w:rsidR="00321788" w:rsidRPr="002E0712" w:rsidSect="002E071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2A1CE3" w:rsidRPr="002E0712" w:rsidRDefault="001E52E3" w:rsidP="00321788">
      <w:pPr>
        <w:pStyle w:val="PageHeading"/>
      </w:pPr>
      <w:bookmarkStart w:id="2" w:name="_Toc161302581"/>
      <w:r w:rsidRPr="002E0712">
        <w:t>EXPOSIÇÃO DE MOTIVOS</w:t>
      </w:r>
      <w:bookmarkEnd w:id="2"/>
    </w:p>
    <w:p w:rsidR="00EC683F" w:rsidRPr="002E0712" w:rsidRDefault="001E52E3" w:rsidP="00EC683F">
      <w:pPr>
        <w:pStyle w:val="Body"/>
        <w:rPr>
          <w:sz w:val="22"/>
          <w:szCs w:val="22"/>
        </w:rPr>
      </w:pPr>
      <w:r w:rsidRPr="002E0712">
        <w:rPr>
          <w:b/>
        </w:rPr>
        <w:t>a. Contexto</w:t>
      </w:r>
      <w:r w:rsidRPr="002E0712">
        <w:rPr>
          <w:sz w:val="22"/>
        </w:rPr>
        <w:t xml:space="preserve"> </w:t>
      </w:r>
    </w:p>
    <w:p w:rsidR="00EC683F" w:rsidRPr="002E0712" w:rsidRDefault="00EC683F" w:rsidP="00EC683F">
      <w:pPr>
        <w:pStyle w:val="Body"/>
      </w:pPr>
    </w:p>
    <w:p w:rsidR="00EC683F" w:rsidRPr="002E0712" w:rsidRDefault="001E52E3" w:rsidP="00EC683F">
      <w:pPr>
        <w:pStyle w:val="Body"/>
      </w:pPr>
      <w:r w:rsidRPr="002E0712">
        <w:t>Em 16 de novembro de 2023, a Comissão apresentou uma proposta de regulamento do Parlamento Europeu e do C</w:t>
      </w:r>
      <w:r w:rsidRPr="002E0712">
        <w:t>onselho que altera o Regulamento (UE) 2018/1806 no que diz respeito aos titulares de passaportes sérvios emitidos pela Direção de Coordenação sérvia (Koordinaciona uprava).</w:t>
      </w:r>
    </w:p>
    <w:p w:rsidR="00EC683F" w:rsidRPr="002E0712" w:rsidRDefault="00EC683F" w:rsidP="00EC683F">
      <w:pPr>
        <w:pStyle w:val="Body"/>
      </w:pPr>
    </w:p>
    <w:p w:rsidR="00EC683F" w:rsidRPr="002E0712" w:rsidRDefault="001E52E3" w:rsidP="00EC683F">
      <w:pPr>
        <w:pStyle w:val="Body"/>
        <w:spacing w:after="240"/>
      </w:pPr>
      <w:r w:rsidRPr="002E0712">
        <w:t>Segundo a Comissão, esta alteração do Regulamento (UE) 2018/1806 permitiria isenta</w:t>
      </w:r>
      <w:r w:rsidRPr="002E0712">
        <w:t xml:space="preserve">r os titulares de </w:t>
      </w:r>
      <w:bookmarkStart w:id="3" w:name="_Hlk148994817"/>
      <w:r w:rsidRPr="002E0712">
        <w:t>passaportes sérvios emitidos pela Direção de Coordenação sérvia</w:t>
      </w:r>
      <w:bookmarkEnd w:id="3"/>
      <w:r w:rsidRPr="002E0712">
        <w:t xml:space="preserve"> da obrigação de visto para transpor as fronteiras externas dos Estados-Membros para estadas de duração total não superior a 90 dias num período de 180 dias.</w:t>
      </w:r>
    </w:p>
    <w:p w:rsidR="00EC683F" w:rsidRPr="002E0712" w:rsidRDefault="001E52E3" w:rsidP="00EC683F">
      <w:pPr>
        <w:pStyle w:val="Body"/>
        <w:spacing w:after="240"/>
      </w:pPr>
      <w:r w:rsidRPr="002E0712">
        <w:t>Em 2009, o Kosovo</w:t>
      </w:r>
      <w:r w:rsidRPr="002E0712">
        <w:t xml:space="preserve"> foi incluído na parte 2 do anexo I do Regulamento (CE) n.º 539/2001, implicando que os titulares de passaportes emitidos por esse país estavam sujeitos à obrigação de visto para transpor as fronteiras externas dos Estados-Membros. Em 19 de janeiro de 2012</w:t>
      </w:r>
      <w:r w:rsidRPr="002E0712">
        <w:t>, a Comissão iniciou um diálogo com o Kosovo sobre a liberalização de vistos. Em 14 de junho de 2012, apresentou ao Kosovo um roteiro que indicava todas as medidas legislativas e de outro tipo que o país devia adotar e aplicar para avançar para a liberaliz</w:t>
      </w:r>
      <w:r w:rsidRPr="002E0712">
        <w:t>ação dos vistos. Concluído com êxito este diálogo, a Comissão apresentou, em 4 de maio de 2016, uma proposta</w:t>
      </w:r>
      <w:r w:rsidRPr="002E0712">
        <w:rPr>
          <w:rStyle w:val="FootnoteReference"/>
        </w:rPr>
        <w:footnoteReference w:id="1"/>
      </w:r>
      <w:r w:rsidRPr="002E0712">
        <w:t xml:space="preserve"> relativa à transferência do Kosovo para o anexo II do Regulamento (CE) n.º 539/2001.</w:t>
      </w:r>
    </w:p>
    <w:p w:rsidR="00EC683F" w:rsidRPr="002E0712" w:rsidRDefault="001E52E3" w:rsidP="00EC683F">
      <w:pPr>
        <w:pStyle w:val="Body"/>
        <w:spacing w:after="240"/>
      </w:pPr>
      <w:r w:rsidRPr="002E0712">
        <w:t>Esta proposta foi finalmente aprovada e adotada em 19 de abri</w:t>
      </w:r>
      <w:r w:rsidRPr="002E0712">
        <w:t>l de 2023. O Regulamento (UE) 2023/850</w:t>
      </w:r>
      <w:r w:rsidRPr="002E0712">
        <w:rPr>
          <w:rStyle w:val="FootnoteReference"/>
        </w:rPr>
        <w:footnoteReference w:id="2"/>
      </w:r>
      <w:r w:rsidRPr="002E0712">
        <w:t xml:space="preserve"> alterou o Regulamento (UE) 2018/1806</w:t>
      </w:r>
      <w:r w:rsidRPr="002E0712">
        <w:rPr>
          <w:rStyle w:val="FootnoteReference"/>
        </w:rPr>
        <w:footnoteReference w:id="3"/>
      </w:r>
      <w:r w:rsidRPr="002E0712">
        <w:t xml:space="preserve"> (que entretanto substituiu o Regulamento (CE) n.º 539/2001), transferindo o Kosovo do anexo I, parte 2, para o anexo II, parte 4, do referido regulamento. Tal como no caso de tod</w:t>
      </w:r>
      <w:r w:rsidRPr="002E0712">
        <w:t xml:space="preserve">os os diálogos anteriores concluídos com êxito sobre a liberalização do regime de vistos, ficou decidido que a isenção da obrigação de visto deveria aplicar-se apenas aos titulares de passaportes biométricos. Decidiu-se igualmente que a isenção não deverá </w:t>
      </w:r>
      <w:r w:rsidRPr="002E0712">
        <w:t>ser aplicável até à data de início do funcionamento do Sistema Europeu de Informação e Autorização de Viagem (ETIAS), criado pelo Regulamento (UE) 2018/1240 do Parlamento Europeu e do Conselho</w:t>
      </w:r>
      <w:r w:rsidRPr="002E0712">
        <w:rPr>
          <w:rStyle w:val="FootnoteReference"/>
        </w:rPr>
        <w:footnoteReference w:id="4"/>
      </w:r>
      <w:r w:rsidRPr="002E0712">
        <w:t xml:space="preserve">, ou até 1 de janeiro de 2024, consoante a data que ocorrer </w:t>
      </w:r>
      <w:r w:rsidRPr="002E0712">
        <w:t>primeiro. Na sequência da adoção do Regulamento (UE) 2023/850, os titulares de passaportes sérvios emitidos pela Direção de Coordenação sérvia passariam a ser os únicos cidadãos da região dos Balcãs Ocidentais sujeitos à obrigação de visto quando viajam pa</w:t>
      </w:r>
      <w:r w:rsidRPr="002E0712">
        <w:t xml:space="preserve">ra a UE para estadas de curta duração. </w:t>
      </w:r>
    </w:p>
    <w:p w:rsidR="00EC683F" w:rsidRPr="002E0712" w:rsidRDefault="001E52E3" w:rsidP="00EC683F">
      <w:pPr>
        <w:pStyle w:val="Body"/>
        <w:spacing w:after="240"/>
      </w:pPr>
      <w:r w:rsidRPr="002E0712">
        <w:t xml:space="preserve">Com a entrada em vigor da isenção de visto para os titulares de passaportes do Kosovo, a Comissão considerou, na sua proposta, que as razões subjacentes à exclusão dos </w:t>
      </w:r>
      <w:bookmarkStart w:id="4" w:name="_Hlk148994149"/>
      <w:r w:rsidRPr="002E0712">
        <w:t>titulares de passaportes sérvios emitidos pela D</w:t>
      </w:r>
      <w:r w:rsidRPr="002E0712">
        <w:t>ireção de Coordenação sérvia</w:t>
      </w:r>
      <w:bookmarkEnd w:id="4"/>
      <w:r w:rsidRPr="002E0712">
        <w:t xml:space="preserve"> dessa isenção de visto já não existem e que todos os cidadãos da região dos Balcãs Ocidentais devem beneficiar da isenção de visto para viajar para o espaço Schengen.</w:t>
      </w:r>
    </w:p>
    <w:p w:rsidR="00EC683F" w:rsidRPr="002E0712" w:rsidRDefault="00EC683F" w:rsidP="00EC683F">
      <w:pPr>
        <w:pStyle w:val="Body"/>
        <w:rPr>
          <w:b/>
          <w:bCs/>
        </w:rPr>
      </w:pPr>
    </w:p>
    <w:p w:rsidR="00EC683F" w:rsidRPr="002E0712" w:rsidRDefault="001E52E3" w:rsidP="00EC683F">
      <w:pPr>
        <w:pStyle w:val="Body"/>
        <w:rPr>
          <w:b/>
          <w:bCs/>
        </w:rPr>
      </w:pPr>
      <w:r w:rsidRPr="002E0712">
        <w:rPr>
          <w:b/>
        </w:rPr>
        <w:t>b. A Direção de Coordenação sérvia</w:t>
      </w:r>
    </w:p>
    <w:p w:rsidR="00EC683F" w:rsidRPr="002E0712" w:rsidRDefault="00EC683F" w:rsidP="00EC683F">
      <w:pPr>
        <w:pStyle w:val="Body"/>
        <w:spacing w:after="240"/>
      </w:pPr>
    </w:p>
    <w:p w:rsidR="00EC683F" w:rsidRPr="002E0712" w:rsidRDefault="001E52E3" w:rsidP="00EC683F">
      <w:pPr>
        <w:pStyle w:val="Body"/>
        <w:spacing w:after="240"/>
      </w:pPr>
      <w:r w:rsidRPr="002E0712">
        <w:t>A Direção de Coordenaçã</w:t>
      </w:r>
      <w:r w:rsidRPr="002E0712">
        <w:t>o sérvia foi criada durante o diálogo sobre a liberalização do regime de vistos com a Sérvia. Tinha por objetivo substituir as sete direções regionais de polícia espalhadas pelo território sérvio, que até então tinham sido responsáveis pela emissão de pass</w:t>
      </w:r>
      <w:r w:rsidRPr="002E0712">
        <w:t>aportes aos sérvios do Kosovo. Os passaportes emitidos pela Direção de Coordenação sérvia são biométricos e foram utilizados pelos seus titulares como documentos de viagem para efeitos de viagem para a UE desde a criação da direção.</w:t>
      </w:r>
    </w:p>
    <w:p w:rsidR="00EC683F" w:rsidRPr="002E0712" w:rsidRDefault="001E52E3" w:rsidP="00EC683F">
      <w:pPr>
        <w:pStyle w:val="Body"/>
        <w:spacing w:after="240"/>
      </w:pPr>
      <w:r w:rsidRPr="002E0712">
        <w:t xml:space="preserve">Desde o lançamento dos </w:t>
      </w:r>
      <w:r w:rsidRPr="002E0712">
        <w:t>primeiros diálogos sobre a liberalização do regime de vistos, em 2008, a Comissão estabeleceu um objetivo geral de conceder a toda a região dos Balcãs Ocidentais um acesso isento de visto ao espaço Schengen. A obrigação de visto para o Montenegro, a Macedó</w:t>
      </w:r>
      <w:r w:rsidRPr="002E0712">
        <w:t xml:space="preserve">nia do Norte e a Sérvia foi suprimida em 2009, para a Albânia e a Bósnia-Herzegovina em 2010 e para o Kosovo em 2023. Neste contexto, a supressão </w:t>
      </w:r>
      <w:bookmarkStart w:id="5" w:name="_Hlk148995018"/>
      <w:r w:rsidRPr="002E0712">
        <w:t xml:space="preserve">da exclusão da isenção de visto para os titulares de passaportes sérvios emitidos pela Direção de Coordenação </w:t>
      </w:r>
      <w:r w:rsidRPr="002E0712">
        <w:t xml:space="preserve">sérvia </w:t>
      </w:r>
      <w:bookmarkEnd w:id="5"/>
      <w:r w:rsidRPr="002E0712">
        <w:t>assegurará que toda a região dos Balcãs Ocidentais fique sujeita ao mesmo regime de vistos.</w:t>
      </w:r>
    </w:p>
    <w:p w:rsidR="00EC683F" w:rsidRPr="002E0712" w:rsidRDefault="001E52E3" w:rsidP="00EC683F">
      <w:pPr>
        <w:pStyle w:val="Body"/>
      </w:pPr>
      <w:r w:rsidRPr="002E0712">
        <w:rPr>
          <w:b/>
        </w:rPr>
        <w:t>c. Posição do relator</w:t>
      </w:r>
    </w:p>
    <w:p w:rsidR="00EC683F" w:rsidRPr="002E0712" w:rsidRDefault="00EC683F" w:rsidP="00EC683F">
      <w:pPr>
        <w:pStyle w:val="Body"/>
        <w:tabs>
          <w:tab w:val="left" w:pos="1989"/>
        </w:tabs>
      </w:pPr>
    </w:p>
    <w:p w:rsidR="00EC683F" w:rsidRPr="002E0712" w:rsidRDefault="00EC683F" w:rsidP="00EC683F">
      <w:pPr>
        <w:pStyle w:val="Body"/>
        <w:tabs>
          <w:tab w:val="left" w:pos="1989"/>
        </w:tabs>
      </w:pPr>
    </w:p>
    <w:p w:rsidR="00EC683F" w:rsidRPr="002E0712" w:rsidRDefault="001E52E3" w:rsidP="00EC683F">
      <w:pPr>
        <w:pStyle w:val="Body"/>
        <w:tabs>
          <w:tab w:val="left" w:pos="1989"/>
        </w:tabs>
      </w:pPr>
      <w:r w:rsidRPr="002E0712">
        <w:t xml:space="preserve">A política de vistos da União Europeia, incluindo o seu regime de liberalização de vistos, tem sido, sem dúvida, um dos instrumentos </w:t>
      </w:r>
      <w:r w:rsidRPr="002E0712">
        <w:t xml:space="preserve">de política externa não vinculativos mais influentes da Europa. No entanto, devido à complexidade da geopolítica mundial, mas também, muitas vezes, às divisões internas da União Europeia, foram necessários alguns compromissos e decisões que, muitas vezes, </w:t>
      </w:r>
      <w:r w:rsidRPr="002E0712">
        <w:t xml:space="preserve">criam problemas no futuro.  É o que acontece com os Balcãs Ocidentais, onde as questões nunca são simples e raramente fáceis de resolver. </w:t>
      </w:r>
    </w:p>
    <w:p w:rsidR="00EC683F" w:rsidRPr="002E0712" w:rsidRDefault="00EC683F" w:rsidP="00EC683F">
      <w:pPr>
        <w:pStyle w:val="Body"/>
        <w:tabs>
          <w:tab w:val="left" w:pos="1989"/>
        </w:tabs>
      </w:pPr>
    </w:p>
    <w:p w:rsidR="00EC683F" w:rsidRPr="002E0712" w:rsidRDefault="001E52E3" w:rsidP="00EC683F">
      <w:pPr>
        <w:pStyle w:val="Body"/>
        <w:tabs>
          <w:tab w:val="left" w:pos="1989"/>
        </w:tabs>
      </w:pPr>
      <w:r w:rsidRPr="002E0712">
        <w:t xml:space="preserve">No que diz respeito à proposta da Comissão, o relator considera que esta questão complexa exige o exame de todos os </w:t>
      </w:r>
      <w:r w:rsidRPr="002E0712">
        <w:t xml:space="preserve">factos e aspetos, mas também merece uma abordagem em que a política seja posta de parte por um momento. </w:t>
      </w:r>
    </w:p>
    <w:p w:rsidR="00EC683F" w:rsidRPr="002E0712" w:rsidRDefault="001E52E3" w:rsidP="00EC683F">
      <w:pPr>
        <w:pStyle w:val="Body"/>
        <w:tabs>
          <w:tab w:val="left" w:pos="1989"/>
        </w:tabs>
      </w:pPr>
      <w:r w:rsidRPr="002E0712">
        <w:t>Há que reconhecer que a União Europeia tem sido, em grande medida, um catalisador deste problema e, por conseguinte, o relator considera que agora cabe</w:t>
      </w:r>
      <w:r w:rsidRPr="002E0712">
        <w:t xml:space="preserve"> também à UE resolvê-lo. </w:t>
      </w:r>
    </w:p>
    <w:p w:rsidR="00EC683F" w:rsidRPr="002E0712" w:rsidRDefault="00EC683F" w:rsidP="00EC683F">
      <w:pPr>
        <w:pStyle w:val="Body"/>
        <w:tabs>
          <w:tab w:val="left" w:pos="1989"/>
        </w:tabs>
      </w:pPr>
    </w:p>
    <w:p w:rsidR="00EC683F" w:rsidRPr="002E0712" w:rsidRDefault="001E52E3" w:rsidP="00EC683F">
      <w:pPr>
        <w:pStyle w:val="Body"/>
        <w:tabs>
          <w:tab w:val="left" w:pos="1989"/>
        </w:tabs>
      </w:pPr>
      <w:r w:rsidRPr="002E0712">
        <w:t>Talvez não tenha sido sensato impor à Sérvia, no âmbito do seu diálogo sobre a liberalização do regime de vistos em 2008, uma distinção para a emissão de passaportes dos sérvios residentes no Kosovo, sabendo que tal solução só po</w:t>
      </w:r>
      <w:r w:rsidRPr="002E0712">
        <w:t xml:space="preserve">deria ser temporária por natureza e não sendo, ao mesmo tempo, introduzidas salvaguardas suficientes nesta solução que previssem a sua cessação a um dado momento. </w:t>
      </w:r>
    </w:p>
    <w:p w:rsidR="00EC683F" w:rsidRPr="002E0712" w:rsidRDefault="00EC683F" w:rsidP="00EC683F">
      <w:pPr>
        <w:pStyle w:val="Body"/>
        <w:tabs>
          <w:tab w:val="left" w:pos="1989"/>
        </w:tabs>
      </w:pPr>
    </w:p>
    <w:p w:rsidR="00EC683F" w:rsidRPr="002E0712" w:rsidRDefault="001E52E3" w:rsidP="00EC683F">
      <w:pPr>
        <w:pStyle w:val="Body"/>
      </w:pPr>
      <w:r w:rsidRPr="002E0712">
        <w:t xml:space="preserve">Além disso, a falta de progressos na normalização das relações entre a Sérvia e o Kosovo e </w:t>
      </w:r>
      <w:r w:rsidRPr="002E0712">
        <w:t xml:space="preserve">o facto de não haver ainda reconhecimento mútuo dos documentos emitidos pela Sérvia e pelo Kosovo também não contribuíram de forma útil para evitar que esta questão se torne um problema. </w:t>
      </w:r>
    </w:p>
    <w:p w:rsidR="00EC683F" w:rsidRPr="002E0712" w:rsidRDefault="00EC683F" w:rsidP="00EC683F">
      <w:pPr>
        <w:pStyle w:val="Body"/>
        <w:tabs>
          <w:tab w:val="left" w:pos="1989"/>
        </w:tabs>
      </w:pPr>
    </w:p>
    <w:p w:rsidR="00EC683F" w:rsidRPr="002E0712" w:rsidRDefault="001E52E3" w:rsidP="00EC683F">
      <w:pPr>
        <w:pStyle w:val="Body"/>
        <w:tabs>
          <w:tab w:val="left" w:pos="1989"/>
        </w:tabs>
      </w:pPr>
      <w:r w:rsidRPr="002E0712">
        <w:t>O relator está bem ciente de que os residentes sérvios do Kosovo qu</w:t>
      </w:r>
      <w:r w:rsidRPr="002E0712">
        <w:t>e são titulares dos passaportes emitidos pela Direção de Coordenação sérvia são hoje a última categoria de pessoas nos Balcãs Ocidentais que, sem qualquer culpa própria, não estão isentas de visto da UE. O relator considera que tal constitui uma discrimina</w:t>
      </w:r>
      <w:r w:rsidRPr="002E0712">
        <w:t xml:space="preserve">ção e defende firmemente, como princípio, que qualquer discriminação deve ser proibida e, caso ocorra, imediatamente corrigida. Este mesmo princípio deve aplicar-se também a esta proposta. </w:t>
      </w:r>
    </w:p>
    <w:p w:rsidR="00EC683F" w:rsidRPr="002E0712" w:rsidRDefault="00EC683F" w:rsidP="00EC683F">
      <w:pPr>
        <w:pStyle w:val="Body"/>
        <w:tabs>
          <w:tab w:val="left" w:pos="1989"/>
        </w:tabs>
      </w:pPr>
    </w:p>
    <w:p w:rsidR="00EC683F" w:rsidRPr="002E0712" w:rsidRDefault="001E52E3" w:rsidP="00EC683F">
      <w:pPr>
        <w:pStyle w:val="Body"/>
        <w:tabs>
          <w:tab w:val="left" w:pos="1989"/>
        </w:tabs>
      </w:pPr>
      <w:r w:rsidRPr="002E0712">
        <w:t>Até que o estatuto definitivo do Kosovo seja resolvido ou se regi</w:t>
      </w:r>
      <w:r w:rsidRPr="002E0712">
        <w:t xml:space="preserve">stem progressos significativos na normalização das relações entre o Kosovo e a Sérvia, o relator considera que a presente proposta não deve tentar resolver o litígio entre a Sérvia e o Kosovo, nem se pode esperar que tal aconteça. O relator considera que, </w:t>
      </w:r>
      <w:r w:rsidRPr="002E0712">
        <w:t xml:space="preserve">de modo a alcançar os melhores resultados, deve-se deixar de lado a política e adotar uma abordagem técnica para esta questão. </w:t>
      </w:r>
    </w:p>
    <w:p w:rsidR="00C57F8E" w:rsidRPr="002E0712" w:rsidRDefault="00C57F8E" w:rsidP="00EC683F">
      <w:pPr>
        <w:pStyle w:val="Body"/>
        <w:tabs>
          <w:tab w:val="left" w:pos="1989"/>
        </w:tabs>
      </w:pPr>
    </w:p>
    <w:p w:rsidR="00EC683F" w:rsidRPr="002E0712" w:rsidRDefault="001E52E3" w:rsidP="00EC683F">
      <w:pPr>
        <w:pStyle w:val="Body"/>
        <w:tabs>
          <w:tab w:val="left" w:pos="1989"/>
        </w:tabs>
      </w:pPr>
      <w:r w:rsidRPr="002E0712">
        <w:t>Por conseguinte, compreendendo a complexidade das questões e tendo tido em conta todos os diferentes aspetos, o relator congrat</w:t>
      </w:r>
      <w:r w:rsidRPr="002E0712">
        <w:t>ula-se com a proposta da Comissão e apoia a sua rápida adoção no Parlamento, sem alterações, ainda na atual legislatura.</w:t>
      </w:r>
    </w:p>
    <w:p w:rsidR="00321788" w:rsidRPr="002E0712" w:rsidRDefault="00321788" w:rsidP="00EC683F">
      <w:pPr>
        <w:jc w:val="both"/>
      </w:pPr>
    </w:p>
    <w:sectPr w:rsidR="00321788" w:rsidRPr="002E0712" w:rsidSect="00321788"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2E0712" w:rsidRDefault="001E52E3">
      <w:r w:rsidRPr="002E0712">
        <w:separator/>
      </w:r>
    </w:p>
  </w:endnote>
  <w:endnote w:type="continuationSeparator" w:id="0">
    <w:p w:rsidR="00000000" w:rsidRPr="002E0712" w:rsidRDefault="001E52E3">
      <w:r w:rsidRPr="002E071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DokChampa">
    <w:altName w:val="Leelawadee UI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712" w:rsidRPr="002E0712" w:rsidRDefault="002E0712" w:rsidP="002E0712">
    <w:pPr>
      <w:pStyle w:val="EPFooter"/>
    </w:pPr>
    <w:r w:rsidRPr="002E0712">
      <w:t>PE</w:t>
    </w:r>
    <w:r w:rsidRPr="002E0712">
      <w:rPr>
        <w:rStyle w:val="HideTWBExt"/>
      </w:rPr>
      <w:t>&lt;NoPE&gt;</w:t>
    </w:r>
    <w:r w:rsidRPr="002E0712">
      <w:t>759.740</w:t>
    </w:r>
    <w:r w:rsidRPr="002E0712">
      <w:rPr>
        <w:rStyle w:val="HideTWBExt"/>
      </w:rPr>
      <w:t>&lt;/NoPE&gt;&lt;Version&gt;</w:t>
    </w:r>
    <w:r w:rsidRPr="002E0712">
      <w:t>v01-00</w:t>
    </w:r>
    <w:r w:rsidRPr="002E0712">
      <w:rPr>
        <w:rStyle w:val="HideTWBExt"/>
      </w:rPr>
      <w:t>&lt;/Version&gt;</w:t>
    </w:r>
    <w:r w:rsidRPr="002E0712">
      <w:tab/>
    </w:r>
    <w:r w:rsidRPr="002E0712">
      <w:fldChar w:fldCharType="begin"/>
    </w:r>
    <w:r w:rsidRPr="002E0712">
      <w:instrText xml:space="preserve"> PAGE  \* MERGEFORMAT </w:instrText>
    </w:r>
    <w:r w:rsidRPr="002E0712">
      <w:fldChar w:fldCharType="separate"/>
    </w:r>
    <w:r w:rsidR="001E52E3">
      <w:rPr>
        <w:noProof/>
      </w:rPr>
      <w:t>6</w:t>
    </w:r>
    <w:r w:rsidRPr="002E0712">
      <w:fldChar w:fldCharType="end"/>
    </w:r>
    <w:r w:rsidRPr="002E0712">
      <w:t>/</w:t>
    </w:r>
    <w:fldSimple w:instr=" NUMPAGES  \* MERGEFORMAT ">
      <w:r w:rsidR="001E52E3">
        <w:rPr>
          <w:noProof/>
        </w:rPr>
        <w:t>8</w:t>
      </w:r>
    </w:fldSimple>
    <w:r w:rsidRPr="002E0712">
      <w:tab/>
    </w:r>
    <w:r w:rsidRPr="002E0712">
      <w:rPr>
        <w:rStyle w:val="HideTWBExt"/>
      </w:rPr>
      <w:t>&lt;PathFdR&gt;</w:t>
    </w:r>
    <w:r w:rsidRPr="002E0712">
      <w:t>PR\1297972PT.docx</w:t>
    </w:r>
    <w:r w:rsidRPr="002E0712">
      <w:rPr>
        <w:rStyle w:val="HideTWBExt"/>
      </w:rPr>
      <w:t>&lt;/PathFdR&gt;</w:t>
    </w:r>
  </w:p>
  <w:p w:rsidR="00302A66" w:rsidRPr="002E0712" w:rsidRDefault="002E0712" w:rsidP="002E0712">
    <w:pPr>
      <w:pStyle w:val="EPFooter2"/>
    </w:pPr>
    <w:r w:rsidRPr="002E0712">
      <w:t>PT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712" w:rsidRPr="002E0712" w:rsidRDefault="002E0712" w:rsidP="002E0712">
    <w:pPr>
      <w:pStyle w:val="EPFooter"/>
    </w:pPr>
    <w:r w:rsidRPr="002E0712">
      <w:rPr>
        <w:rStyle w:val="HideTWBExt"/>
      </w:rPr>
      <w:t>&lt;PathFdR&gt;</w:t>
    </w:r>
    <w:r w:rsidRPr="002E0712">
      <w:t>PR\1297972PT.docx</w:t>
    </w:r>
    <w:r w:rsidRPr="002E0712">
      <w:rPr>
        <w:rStyle w:val="HideTWBExt"/>
      </w:rPr>
      <w:t>&lt;/PathFdR&gt;</w:t>
    </w:r>
    <w:r w:rsidRPr="002E0712">
      <w:tab/>
    </w:r>
    <w:r w:rsidRPr="002E0712">
      <w:fldChar w:fldCharType="begin"/>
    </w:r>
    <w:r w:rsidRPr="002E0712">
      <w:instrText xml:space="preserve"> PAGE  \* MERGEFORMAT </w:instrText>
    </w:r>
    <w:r w:rsidRPr="002E0712">
      <w:fldChar w:fldCharType="separate"/>
    </w:r>
    <w:r w:rsidR="001E52E3">
      <w:rPr>
        <w:noProof/>
      </w:rPr>
      <w:t>5</w:t>
    </w:r>
    <w:r w:rsidRPr="002E0712">
      <w:fldChar w:fldCharType="end"/>
    </w:r>
    <w:r w:rsidRPr="002E0712">
      <w:t>/</w:t>
    </w:r>
    <w:fldSimple w:instr=" NUMPAGES  \* MERGEFORMAT ">
      <w:r w:rsidR="001E52E3">
        <w:rPr>
          <w:noProof/>
        </w:rPr>
        <w:t>8</w:t>
      </w:r>
    </w:fldSimple>
    <w:r w:rsidRPr="002E0712">
      <w:tab/>
      <w:t>PE</w:t>
    </w:r>
    <w:r w:rsidRPr="002E0712">
      <w:rPr>
        <w:rStyle w:val="HideTWBExt"/>
      </w:rPr>
      <w:t>&lt;NoPE&gt;</w:t>
    </w:r>
    <w:r w:rsidRPr="002E0712">
      <w:t>759.740</w:t>
    </w:r>
    <w:r w:rsidRPr="002E0712">
      <w:rPr>
        <w:rStyle w:val="HideTWBExt"/>
      </w:rPr>
      <w:t>&lt;/NoPE&gt;&lt;Version&gt;</w:t>
    </w:r>
    <w:r w:rsidRPr="002E0712">
      <w:t>v01-00</w:t>
    </w:r>
    <w:r w:rsidRPr="002E0712">
      <w:rPr>
        <w:rStyle w:val="HideTWBExt"/>
      </w:rPr>
      <w:t>&lt;/Version&gt;</w:t>
    </w:r>
  </w:p>
  <w:p w:rsidR="00302A66" w:rsidRPr="002E0712" w:rsidRDefault="002E0712" w:rsidP="002E0712">
    <w:pPr>
      <w:pStyle w:val="EPFooter2"/>
    </w:pPr>
    <w:r w:rsidRPr="002E0712">
      <w:tab/>
    </w:r>
    <w:r w:rsidRPr="002E0712">
      <w:tab/>
      <w:t>PT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712" w:rsidRPr="002E0712" w:rsidRDefault="002E0712" w:rsidP="002E0712">
    <w:pPr>
      <w:pStyle w:val="EPFooter"/>
    </w:pPr>
    <w:r w:rsidRPr="002E0712">
      <w:rPr>
        <w:rStyle w:val="HideTWBExt"/>
      </w:rPr>
      <w:t>&lt;PathFdR&gt;</w:t>
    </w:r>
    <w:r w:rsidRPr="002E0712">
      <w:t>PR\1297972PT.docx</w:t>
    </w:r>
    <w:r w:rsidRPr="002E0712">
      <w:rPr>
        <w:rStyle w:val="HideTWBExt"/>
      </w:rPr>
      <w:t>&lt;/PathFdR&gt;</w:t>
    </w:r>
    <w:r w:rsidRPr="002E0712">
      <w:tab/>
    </w:r>
    <w:r w:rsidRPr="002E0712">
      <w:tab/>
      <w:t>PE</w:t>
    </w:r>
    <w:r w:rsidRPr="002E0712">
      <w:rPr>
        <w:rStyle w:val="HideTWBExt"/>
      </w:rPr>
      <w:t>&lt;NoPE&gt;</w:t>
    </w:r>
    <w:r w:rsidRPr="002E0712">
      <w:t>759.740</w:t>
    </w:r>
    <w:r w:rsidRPr="002E0712">
      <w:rPr>
        <w:rStyle w:val="HideTWBExt"/>
      </w:rPr>
      <w:t>&lt;/NoPE&gt;&lt;Version&gt;</w:t>
    </w:r>
    <w:r w:rsidRPr="002E0712">
      <w:t>v01-00</w:t>
    </w:r>
    <w:r w:rsidRPr="002E0712">
      <w:rPr>
        <w:rStyle w:val="HideTWBExt"/>
      </w:rPr>
      <w:t>&lt;/Version&gt;</w:t>
    </w:r>
  </w:p>
  <w:p w:rsidR="00302A66" w:rsidRPr="002E0712" w:rsidRDefault="002E0712" w:rsidP="002E0712">
    <w:pPr>
      <w:pStyle w:val="EPFooter2"/>
    </w:pPr>
    <w:r w:rsidRPr="002E0712">
      <w:t>PT</w:t>
    </w:r>
    <w:r w:rsidRPr="002E0712">
      <w:tab/>
    </w:r>
    <w:r w:rsidRPr="002E0712">
      <w:rPr>
        <w:b w:val="0"/>
        <w:i/>
        <w:color w:val="C0C0C0"/>
        <w:sz w:val="22"/>
      </w:rPr>
      <w:t>Unida na diversidade</w:t>
    </w:r>
    <w:r w:rsidRPr="002E0712">
      <w:tab/>
      <w:t>PT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4FDA" w:rsidRPr="002E0712" w:rsidRDefault="001E52E3">
      <w:r w:rsidRPr="002E0712">
        <w:separator/>
      </w:r>
    </w:p>
  </w:footnote>
  <w:footnote w:type="continuationSeparator" w:id="0">
    <w:p w:rsidR="00624FDA" w:rsidRPr="002E0712" w:rsidRDefault="001E52E3">
      <w:r w:rsidRPr="002E0712">
        <w:continuationSeparator/>
      </w:r>
    </w:p>
  </w:footnote>
  <w:footnote w:id="1">
    <w:p w:rsidR="00EC683F" w:rsidRPr="002E0712" w:rsidRDefault="001E52E3" w:rsidP="00EC683F">
      <w:pPr>
        <w:pStyle w:val="FootnoteText"/>
      </w:pPr>
      <w:r w:rsidRPr="002E0712">
        <w:rPr>
          <w:rStyle w:val="FootnoteReference"/>
        </w:rPr>
        <w:footnoteRef/>
      </w:r>
      <w:r w:rsidRPr="002E0712">
        <w:tab/>
        <w:t>COM/2016/0277 final.</w:t>
      </w:r>
    </w:p>
  </w:footnote>
  <w:footnote w:id="2">
    <w:p w:rsidR="00EC683F" w:rsidRPr="002E0712" w:rsidRDefault="001E52E3" w:rsidP="00EC683F">
      <w:pPr>
        <w:pStyle w:val="FootnoteText"/>
      </w:pPr>
      <w:r w:rsidRPr="002E0712">
        <w:rPr>
          <w:rStyle w:val="FootnoteReference"/>
        </w:rPr>
        <w:footnoteRef/>
      </w:r>
      <w:r w:rsidRPr="002E0712">
        <w:tab/>
        <w:t>Regulamento (UE) 2023/850 do Parlamento Europeu e do Conselho de 19 de abril de 2023 que altera o Regulam</w:t>
      </w:r>
      <w:r w:rsidRPr="002E0712">
        <w:t>ento (UE) 2018/1806 que fixa a lista dos países terceiros cujos nacionais estão sujeitos à obrigação de visto para transpor as fronteiras externas e a lista dos países terceiros cujos nacionais estão isentos dessa obrigação [Kosovo (Esta designação não pre</w:t>
      </w:r>
      <w:r w:rsidRPr="002E0712">
        <w:t>judica as posições relativas ao estatuto e está conforme com a Resolução 1244/1999 do CSNU e com o parecer do TIJ sobre a declaração de independência do Kosovo.)] (JO L 110 de 25.4.2023, p. 1)</w:t>
      </w:r>
    </w:p>
  </w:footnote>
  <w:footnote w:id="3">
    <w:p w:rsidR="00EC683F" w:rsidRPr="002E0712" w:rsidRDefault="001E52E3" w:rsidP="00EC683F">
      <w:pPr>
        <w:pStyle w:val="FootnoteText"/>
      </w:pPr>
      <w:r w:rsidRPr="002E0712">
        <w:rPr>
          <w:rStyle w:val="FootnoteReference"/>
        </w:rPr>
        <w:footnoteRef/>
      </w:r>
      <w:r w:rsidRPr="002E0712">
        <w:tab/>
        <w:t>Regulamento (UE) 2018/1806 do Parlamento Europeu e do Conselh</w:t>
      </w:r>
      <w:r w:rsidRPr="002E0712">
        <w:t>o, de 14 de novembro de 2018, que fixa a lista dos países terceiros cujos nacionais estão sujeitos à obrigação de visto para transpor as fronteiras externas e a lista dos países terceiros cujos nacionais estão isentos dessa obrigação (JO L 303 de 28.11.201</w:t>
      </w:r>
      <w:r w:rsidRPr="002E0712">
        <w:t>8, p. 39).</w:t>
      </w:r>
    </w:p>
  </w:footnote>
  <w:footnote w:id="4">
    <w:p w:rsidR="00EC683F" w:rsidRPr="002E0712" w:rsidRDefault="001E52E3" w:rsidP="00EC683F">
      <w:pPr>
        <w:pStyle w:val="FootnoteText"/>
      </w:pPr>
      <w:r w:rsidRPr="002E0712">
        <w:rPr>
          <w:rStyle w:val="FootnoteReference"/>
        </w:rPr>
        <w:footnoteRef/>
      </w:r>
      <w:r w:rsidRPr="002E0712">
        <w:tab/>
        <w:t>Regulamento (UE) 2018/1240 do Parlamento Europeu e do Conselho, de 12 de setembro de 2018, que cria um Sistema Europeu de Informação e Autorização de Viagem (ETIAS) e altera os Regulamentos (UE) n.º 1077/2011, (UE) n.º 515/2014, (UE) 2016/399,</w:t>
      </w:r>
      <w:r w:rsidRPr="002E0712">
        <w:t xml:space="preserve"> (UE) 2016/1624 e (UE) 2017/2226 (JO L 236 de 19.9.2018, p. 1-71).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2E3" w:rsidRDefault="001E52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2E3" w:rsidRDefault="001E52E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2E3" w:rsidRDefault="001E52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KEY" w:val="LIBE"/>
    <w:docVar w:name="CopyToNetwork" w:val="-1"/>
    <w:docVar w:name="DOCMNU" w:val=" 1"/>
    <w:docVar w:name="EPOJMNU" w:val=" 3"/>
    <w:docVar w:name="EPSTATMNU" w:val=" 1"/>
    <w:docVar w:name="EPSTATPLURMNU" w:val=" 1"/>
    <w:docVar w:name="INSTITUTIONSMNU" w:val=" 2"/>
    <w:docVar w:name="JURI1MNU" w:val=" 2"/>
    <w:docVar w:name="JURI2MNU" w:val=" 2"/>
    <w:docVar w:name="LastEditedSection" w:val=" 1"/>
    <w:docVar w:name="OTHERSTATMNU" w:val=" 4"/>
    <w:docVar w:name="PARLIAMENTSMNU" w:val=" 2"/>
    <w:docVar w:name="strDocTypeID" w:val="PR_COD_1app"/>
    <w:docVar w:name="strSubDir" w:val="1297"/>
    <w:docVar w:name="TXTLANGUE" w:val="EN"/>
    <w:docVar w:name="TXTLANGUEMIN" w:val="en"/>
    <w:docVar w:name="TXTNRC" w:val="0412/2023"/>
    <w:docVar w:name="TXTNRCOD" w:val="2023/0418"/>
    <w:docVar w:name="TXTNRCOM" w:val="(2023)0733"/>
    <w:docVar w:name="TXTNRPE" w:val="759.740"/>
    <w:docVar w:name="TXTPEorAP" w:val="PE"/>
    <w:docVar w:name="TXTROUTE" w:val="PR\1297972EN.docx"/>
    <w:docVar w:name="TXTTITLE" w:val="amending Regulation (EU) 2018/1806 as regards holders of Serbian passports issued by the Serbian Coordination Directorate (Koordinaciona uprava)"/>
    <w:docVar w:name="TXTVERSION" w:val="01-00"/>
  </w:docVars>
  <w:rsids>
    <w:rsidRoot w:val="00624FDA"/>
    <w:rsid w:val="00053B97"/>
    <w:rsid w:val="000A0C2E"/>
    <w:rsid w:val="000B5585"/>
    <w:rsid w:val="000C5EDC"/>
    <w:rsid w:val="000F59C5"/>
    <w:rsid w:val="00104AEE"/>
    <w:rsid w:val="00164B9B"/>
    <w:rsid w:val="00182506"/>
    <w:rsid w:val="001907B9"/>
    <w:rsid w:val="001A06D8"/>
    <w:rsid w:val="001D3524"/>
    <w:rsid w:val="001E52E3"/>
    <w:rsid w:val="00260FAA"/>
    <w:rsid w:val="002A0B11"/>
    <w:rsid w:val="002A1CE3"/>
    <w:rsid w:val="002B272A"/>
    <w:rsid w:val="002C0F2B"/>
    <w:rsid w:val="002C3187"/>
    <w:rsid w:val="002E0712"/>
    <w:rsid w:val="00302A66"/>
    <w:rsid w:val="0031764E"/>
    <w:rsid w:val="00321788"/>
    <w:rsid w:val="003506ED"/>
    <w:rsid w:val="003A53CE"/>
    <w:rsid w:val="003B55E9"/>
    <w:rsid w:val="003C5583"/>
    <w:rsid w:val="004078CB"/>
    <w:rsid w:val="0041661E"/>
    <w:rsid w:val="00433573"/>
    <w:rsid w:val="00434AC3"/>
    <w:rsid w:val="00490742"/>
    <w:rsid w:val="00490D5F"/>
    <w:rsid w:val="004D7B3B"/>
    <w:rsid w:val="004F67E3"/>
    <w:rsid w:val="00543B7B"/>
    <w:rsid w:val="005571A0"/>
    <w:rsid w:val="005663F7"/>
    <w:rsid w:val="00624FDA"/>
    <w:rsid w:val="0065285A"/>
    <w:rsid w:val="0069092A"/>
    <w:rsid w:val="00695056"/>
    <w:rsid w:val="007908B5"/>
    <w:rsid w:val="007D611D"/>
    <w:rsid w:val="00814B44"/>
    <w:rsid w:val="00837978"/>
    <w:rsid w:val="0086105F"/>
    <w:rsid w:val="008663F8"/>
    <w:rsid w:val="008927F6"/>
    <w:rsid w:val="00894923"/>
    <w:rsid w:val="008A07E3"/>
    <w:rsid w:val="008B26BF"/>
    <w:rsid w:val="008B5034"/>
    <w:rsid w:val="008D6E09"/>
    <w:rsid w:val="008E22DF"/>
    <w:rsid w:val="008E4B14"/>
    <w:rsid w:val="00913414"/>
    <w:rsid w:val="00961182"/>
    <w:rsid w:val="00972ED6"/>
    <w:rsid w:val="009D1771"/>
    <w:rsid w:val="00A02CEA"/>
    <w:rsid w:val="00A40C66"/>
    <w:rsid w:val="00A43E6A"/>
    <w:rsid w:val="00A62C81"/>
    <w:rsid w:val="00A7512E"/>
    <w:rsid w:val="00A82A11"/>
    <w:rsid w:val="00A83E46"/>
    <w:rsid w:val="00A84BA1"/>
    <w:rsid w:val="00AD26AD"/>
    <w:rsid w:val="00AE4E74"/>
    <w:rsid w:val="00AF7573"/>
    <w:rsid w:val="00B37926"/>
    <w:rsid w:val="00B52B6C"/>
    <w:rsid w:val="00B54EAF"/>
    <w:rsid w:val="00BA5740"/>
    <w:rsid w:val="00BD28D4"/>
    <w:rsid w:val="00BE1457"/>
    <w:rsid w:val="00BE4EC7"/>
    <w:rsid w:val="00BF6269"/>
    <w:rsid w:val="00C54859"/>
    <w:rsid w:val="00C57F8E"/>
    <w:rsid w:val="00C71A3C"/>
    <w:rsid w:val="00C82EBC"/>
    <w:rsid w:val="00C85D0F"/>
    <w:rsid w:val="00CD1FB0"/>
    <w:rsid w:val="00D133F8"/>
    <w:rsid w:val="00D1777C"/>
    <w:rsid w:val="00D919CF"/>
    <w:rsid w:val="00DC3DED"/>
    <w:rsid w:val="00DF6C13"/>
    <w:rsid w:val="00E24902"/>
    <w:rsid w:val="00E51D1E"/>
    <w:rsid w:val="00EC683F"/>
    <w:rsid w:val="00ED0609"/>
    <w:rsid w:val="00ED0821"/>
    <w:rsid w:val="00F0202A"/>
    <w:rsid w:val="00F31E31"/>
    <w:rsid w:val="00F80241"/>
    <w:rsid w:val="00FC479A"/>
    <w:rsid w:val="00FF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99A89D-9F1F-4F3D-802B-FB7EC9531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P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583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837978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8E4B14"/>
    <w:pPr>
      <w:spacing w:after="240"/>
    </w:pPr>
  </w:style>
  <w:style w:type="paragraph" w:styleId="TOCHeading">
    <w:name w:val="TOC Heading"/>
    <w:basedOn w:val="Normal"/>
    <w:next w:val="TOCPage"/>
    <w:qFormat/>
    <w:rsid w:val="00FF2A53"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053B9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D1777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65285A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D1777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64B9B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C71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C71A3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C71A3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C71A3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053B9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053B97"/>
    <w:pPr>
      <w:jc w:val="right"/>
    </w:pPr>
  </w:style>
  <w:style w:type="paragraph" w:customStyle="1" w:styleId="EPFooter">
    <w:name w:val="EPFooter"/>
    <w:basedOn w:val="Normal"/>
    <w:rsid w:val="00D1777C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3414"/>
  </w:style>
  <w:style w:type="character" w:customStyle="1" w:styleId="HeaderChar">
    <w:name w:val="Header Char"/>
    <w:basedOn w:val="DefaultParagraphFont"/>
    <w:link w:val="Header"/>
    <w:semiHidden/>
    <w:rsid w:val="00164B9B"/>
    <w:rPr>
      <w:sz w:val="24"/>
    </w:rPr>
  </w:style>
  <w:style w:type="paragraph" w:customStyle="1" w:styleId="Lgendesigne">
    <w:name w:val="Légende signe"/>
    <w:basedOn w:val="Normal"/>
    <w:rsid w:val="00A83E46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A83E46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A83E46"/>
    <w:rPr>
      <w:sz w:val="18"/>
    </w:rPr>
  </w:style>
  <w:style w:type="paragraph" w:styleId="Footer">
    <w:name w:val="footer"/>
    <w:basedOn w:val="Normal"/>
    <w:link w:val="FooterChar"/>
    <w:semiHidden/>
    <w:rsid w:val="000F59C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0F59C5"/>
    <w:rPr>
      <w:sz w:val="24"/>
    </w:rPr>
  </w:style>
  <w:style w:type="paragraph" w:styleId="FootnoteText">
    <w:name w:val="footnote text"/>
    <w:basedOn w:val="Normal"/>
    <w:link w:val="FootnoteTextChar"/>
    <w:unhideWhenUsed/>
    <w:rsid w:val="00321788"/>
    <w:pPr>
      <w:widowControl/>
      <w:ind w:left="720" w:hanging="720"/>
      <w:jc w:val="both"/>
    </w:pPr>
    <w:rPr>
      <w:rFonts w:eastAsiaTheme="minorHAnsi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21788"/>
    <w:rPr>
      <w:rFonts w:eastAsiaTheme="minorHAnsi"/>
      <w:lang w:eastAsia="en-US"/>
    </w:rPr>
  </w:style>
  <w:style w:type="character" w:styleId="FootnoteReference">
    <w:name w:val="footnote reference"/>
    <w:basedOn w:val="DefaultParagraphFont"/>
    <w:unhideWhenUsed/>
    <w:rsid w:val="00321788"/>
    <w:rPr>
      <w:vertAlign w:val="superscript"/>
    </w:rPr>
  </w:style>
  <w:style w:type="paragraph" w:customStyle="1" w:styleId="Body">
    <w:name w:val="Body"/>
    <w:rsid w:val="00EC683F"/>
    <w:pPr>
      <w:pBdr>
        <w:top w:val="nil"/>
        <w:left w:val="nil"/>
        <w:bottom w:val="nil"/>
        <w:right w:val="nil"/>
        <w:between w:val="nil"/>
        <w:bar w:val="nil"/>
      </w:pBdr>
      <w:jc w:val="both"/>
    </w:pPr>
    <w:rPr>
      <w:rFonts w:eastAsia="Arial Unicode MS" w:cs="Arial Unicode MS"/>
      <w:color w:val="000000"/>
      <w:sz w:val="24"/>
      <w:szCs w:val="24"/>
      <w:u w:color="00000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15F0B-34B8-4EAB-8F28-E3E016687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1699</Words>
  <Characters>9043</Characters>
  <Application>Microsoft Office Word</Application>
  <DocSecurity>0</DocSecurity>
  <Lines>200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PR_COD_1app</vt:lpstr>
    </vt:vector>
  </TitlesOfParts>
  <Company/>
  <LinksUpToDate>false</LinksUpToDate>
  <CharactersWithSpaces>10666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PR_COD_1app</dc:title>
  <dc:creator>TOADER Maria</dc:creator>
  <cp:lastModifiedBy>ALVES CANELAS Regina Manuela</cp:lastModifiedBy>
  <cp:revision>2</cp:revision>
  <cp:lastPrinted>2004-11-04T10:10:00Z</cp:lastPrinted>
  <dcterms:created xsi:type="dcterms:W3CDTF">2024-03-14T08:56:00Z</dcterms:created>
  <dcterms:modified xsi:type="dcterms:W3CDTF">2024-03-14T08:56:00Z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PT</vt:lpwstr>
  </property>
  <property fmtid="{D5CDD505-2E9C-101B-9397-08002B2CF9AE}" pid="3" name="&lt;FdR&gt;">
    <vt:lpwstr>1297972</vt:lpwstr>
  </property>
  <property fmtid="{D5CDD505-2E9C-101B-9397-08002B2CF9AE}" pid="4" name="&lt;Model&gt;">
    <vt:lpwstr>PR_COD_1app</vt:lpwstr>
  </property>
  <property fmtid="{D5CDD505-2E9C-101B-9397-08002B2CF9AE}" pid="5" name="&lt;ModelCod&gt;">
    <vt:lpwstr>\\eiciBRUpr1\pdocep$\DocEP\DOCS\General\PR\PR_Leg\COD\COD_1st\PR_COD_1app.dotx(23/03/2022 10:54:04)</vt:lpwstr>
  </property>
  <property fmtid="{D5CDD505-2E9C-101B-9397-08002B2CF9AE}" pid="6" name="&lt;ModelTra&gt;">
    <vt:lpwstr>\\eiciBRUpr1\pdocep$\DocEP\TRANSFIL\EN\PR_COD_1app.EN(29/06/2022 09:21:37)</vt:lpwstr>
  </property>
  <property fmtid="{D5CDD505-2E9C-101B-9397-08002B2CF9AE}" pid="7" name="&lt;Type&gt;">
    <vt:lpwstr>PR</vt:lpwstr>
  </property>
  <property fmtid="{D5CDD505-2E9C-101B-9397-08002B2CF9AE}" pid="8" name="Created with">
    <vt:lpwstr>9.17.2 Build [20240212]</vt:lpwstr>
  </property>
  <property fmtid="{D5CDD505-2E9C-101B-9397-08002B2CF9AE}" pid="9" name="FooterPath">
    <vt:lpwstr>PR\1297972PT.docx</vt:lpwstr>
  </property>
  <property fmtid="{D5CDD505-2E9C-101B-9397-08002B2CF9AE}" pid="10" name="LastEdited with">
    <vt:lpwstr>9.17.2 Build [20240212]</vt:lpwstr>
  </property>
  <property fmtid="{D5CDD505-2E9C-101B-9397-08002B2CF9AE}" pid="11" name="PE number">
    <vt:lpwstr>759.740</vt:lpwstr>
  </property>
  <property fmtid="{D5CDD505-2E9C-101B-9397-08002B2CF9AE}" pid="12" name="SDLStudio">
    <vt:lpwstr/>
  </property>
  <property fmtid="{D5CDD505-2E9C-101B-9397-08002B2CF9AE}" pid="13" name="SendToEpades">
    <vt:lpwstr>OK - 2024/03/05 15:58</vt:lpwstr>
  </property>
  <property fmtid="{D5CDD505-2E9C-101B-9397-08002B2CF9AE}" pid="14" name="Bookout">
    <vt:lpwstr>OK - 2024/03/14 09:56</vt:lpwstr>
  </property>
</Properties>
</file>