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E44C6D" w:rsidTr="00C85D0F">
        <w:trPr>
          <w:trHeight w:hRule="exact" w:val="1418"/>
        </w:trPr>
        <w:tc>
          <w:tcPr>
            <w:tcW w:w="6804" w:type="dxa"/>
            <w:shd w:val="clear" w:color="auto" w:fill="auto"/>
            <w:vAlign w:val="center"/>
          </w:tcPr>
          <w:p w:rsidR="008B5034" w:rsidRPr="00F22BA9" w:rsidRDefault="00AF7516" w:rsidP="00C85D0F">
            <w:pPr>
              <w:pStyle w:val="EPName"/>
            </w:pPr>
            <w:bookmarkStart w:id="0" w:name="_GoBack"/>
            <w:bookmarkEnd w:id="0"/>
            <w:r>
              <w:t>Parlamentul European</w:t>
            </w:r>
          </w:p>
          <w:p w:rsidR="008B5034" w:rsidRPr="00F22BA9" w:rsidRDefault="00AF7516" w:rsidP="00A83E46">
            <w:pPr>
              <w:pStyle w:val="EPTerm"/>
            </w:pPr>
            <w:r>
              <w:t>2019-2024</w:t>
            </w:r>
          </w:p>
        </w:tc>
        <w:tc>
          <w:tcPr>
            <w:tcW w:w="2268" w:type="dxa"/>
            <w:shd w:val="clear" w:color="auto" w:fill="auto"/>
          </w:tcPr>
          <w:p w:rsidR="008B5034" w:rsidRPr="00F22BA9" w:rsidRDefault="00AF7516" w:rsidP="00C85D0F">
            <w:pPr>
              <w:pStyle w:val="EPLogo"/>
            </w:pPr>
            <w:r w:rsidRPr="00F22BA9">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C71A3C" w:rsidRPr="00F22BA9" w:rsidRDefault="00C71A3C" w:rsidP="00C71A3C">
      <w:pPr>
        <w:pStyle w:val="LineTop"/>
      </w:pPr>
    </w:p>
    <w:p w:rsidR="00C71A3C" w:rsidRPr="00F22BA9" w:rsidRDefault="00AF7516" w:rsidP="00C71A3C">
      <w:pPr>
        <w:pStyle w:val="EPBody"/>
      </w:pPr>
      <w:r>
        <w:rPr>
          <w:rStyle w:val="HideTWBExt"/>
        </w:rPr>
        <w:t>&lt;</w:t>
      </w:r>
      <w:r>
        <w:rPr>
          <w:rStyle w:val="HideTWBExt"/>
          <w:i w:val="0"/>
        </w:rPr>
        <w:t>Commission</w:t>
      </w:r>
      <w:r>
        <w:rPr>
          <w:rStyle w:val="HideTWBExt"/>
        </w:rPr>
        <w:t>&gt;</w:t>
      </w:r>
      <w:r>
        <w:rPr>
          <w:rStyle w:val="HideTWBInt"/>
          <w:color w:val="auto"/>
        </w:rPr>
        <w:t>{LIBE}</w:t>
      </w:r>
      <w:r>
        <w:t>Comisia pentru libertăț</w:t>
      </w:r>
      <w:r>
        <w:t>i civile, justiț</w:t>
      </w:r>
      <w:r>
        <w:t>ie ș</w:t>
      </w:r>
      <w:r>
        <w:t>i afaceri interne</w:t>
      </w:r>
      <w:r>
        <w:rPr>
          <w:rStyle w:val="HideTWBExt"/>
        </w:rPr>
        <w:t>&lt;/</w:t>
      </w:r>
      <w:r>
        <w:rPr>
          <w:rStyle w:val="HideTWBExt"/>
          <w:i w:val="0"/>
        </w:rPr>
        <w:t>Commission</w:t>
      </w:r>
      <w:r>
        <w:rPr>
          <w:rStyle w:val="HideTWBExt"/>
        </w:rPr>
        <w:t>&gt;</w:t>
      </w:r>
    </w:p>
    <w:p w:rsidR="00C71A3C" w:rsidRPr="00F22BA9" w:rsidRDefault="00C71A3C" w:rsidP="00C71A3C">
      <w:pPr>
        <w:pStyle w:val="LineBottom"/>
      </w:pPr>
    </w:p>
    <w:p w:rsidR="00ED0821" w:rsidRPr="00F22BA9" w:rsidRDefault="00AF7516">
      <w:pPr>
        <w:pStyle w:val="CoverReference"/>
      </w:pPr>
      <w:r>
        <w:rPr>
          <w:rStyle w:val="HideTWBExt"/>
          <w:b w:val="0"/>
        </w:rPr>
        <w:t>&lt;RefProc&gt;</w:t>
      </w:r>
      <w:r>
        <w:t>2023/0418</w:t>
      </w:r>
      <w:r>
        <w:rPr>
          <w:rStyle w:val="HideTWBExt"/>
          <w:b w:val="0"/>
        </w:rPr>
        <w:t>&lt;/RefProc&gt;&lt;RefTypeProc&gt;</w:t>
      </w:r>
      <w:r>
        <w:t>(COD)</w:t>
      </w:r>
      <w:r>
        <w:rPr>
          <w:rStyle w:val="HideTWBExt"/>
          <w:b w:val="0"/>
        </w:rPr>
        <w:t>&lt;/RefTypeProc&gt;</w:t>
      </w:r>
    </w:p>
    <w:p w:rsidR="00ED0821" w:rsidRPr="00F22BA9" w:rsidRDefault="00AF7516">
      <w:pPr>
        <w:pStyle w:val="CoverDate"/>
      </w:pPr>
      <w:r>
        <w:rPr>
          <w:rStyle w:val="HideTWBExt"/>
        </w:rPr>
        <w:t>&lt;Date&gt;</w:t>
      </w:r>
      <w:r>
        <w:rPr>
          <w:rStyle w:val="HideTWBInt"/>
          <w:color w:val="auto"/>
        </w:rPr>
        <w:t>{05/03/2024}</w:t>
      </w:r>
      <w:r>
        <w:t>5.3.2024</w:t>
      </w:r>
      <w:r>
        <w:rPr>
          <w:rStyle w:val="HideTWBExt"/>
        </w:rPr>
        <w:t>&lt;/Date&gt;</w:t>
      </w:r>
    </w:p>
    <w:p w:rsidR="00ED0821" w:rsidRPr="00F22BA9" w:rsidRDefault="00AF7516">
      <w:pPr>
        <w:pStyle w:val="CoverDocType"/>
      </w:pPr>
      <w:r>
        <w:rPr>
          <w:rStyle w:val="HideTWBExt"/>
          <w:b w:val="0"/>
        </w:rPr>
        <w:t>&lt;RefProcLect&gt;</w:t>
      </w:r>
      <w:r>
        <w:t>***I</w:t>
      </w:r>
      <w:r>
        <w:rPr>
          <w:rStyle w:val="HideTWBExt"/>
          <w:b w:val="0"/>
        </w:rPr>
        <w:t>&lt;/RefProcLect&gt;</w:t>
      </w:r>
    </w:p>
    <w:p w:rsidR="00ED0821" w:rsidRPr="00F22BA9" w:rsidRDefault="00AF7516">
      <w:pPr>
        <w:pStyle w:val="CoverDocType24a"/>
      </w:pPr>
      <w:r>
        <w:rPr>
          <w:rStyle w:val="HideTWBExt"/>
          <w:b w:val="0"/>
        </w:rPr>
        <w:t>&lt;TitreType&gt;</w:t>
      </w:r>
      <w:r>
        <w:t>PROIECT DE RAPORT</w:t>
      </w:r>
      <w:r>
        <w:rPr>
          <w:rStyle w:val="HideTWBExt"/>
          <w:b w:val="0"/>
        </w:rPr>
        <w:t>&lt;/TitreType&gt;</w:t>
      </w:r>
    </w:p>
    <w:p w:rsidR="00ED0821" w:rsidRPr="00F22BA9" w:rsidRDefault="00AF7516">
      <w:pPr>
        <w:pStyle w:val="CoverNormal"/>
      </w:pPr>
      <w:r>
        <w:rPr>
          <w:rStyle w:val="HideTWBExt"/>
        </w:rPr>
        <w:t>&lt;Titre&gt;</w:t>
      </w:r>
      <w:r>
        <w:t>referitor la propunerea de regulament al Parlamentului European ș</w:t>
      </w:r>
      <w:r>
        <w:t>i al Consiliului de modificare a Regulamentului (UE) 2018/1806 în ceea ce priveș</w:t>
      </w:r>
      <w:r>
        <w:t>te titularii de paș</w:t>
      </w:r>
      <w:r>
        <w:t>apoarte sârbeș</w:t>
      </w:r>
      <w:r>
        <w:t>ti eliberate de Direcț</w:t>
      </w:r>
      <w:r>
        <w:t>ia de co</w:t>
      </w:r>
      <w:r>
        <w:t>ordonare sârbă (Koordinaciona uprava)</w:t>
      </w:r>
      <w:r>
        <w:rPr>
          <w:rStyle w:val="HideTWBExt"/>
        </w:rPr>
        <w:t>&lt;/Titre&gt;</w:t>
      </w:r>
    </w:p>
    <w:p w:rsidR="00ED0821" w:rsidRPr="00F22BA9" w:rsidRDefault="00AF7516">
      <w:pPr>
        <w:pStyle w:val="CoverNormal24a"/>
      </w:pPr>
      <w:r>
        <w:rPr>
          <w:rStyle w:val="HideTWBExt"/>
        </w:rPr>
        <w:t>&lt;DocRef&gt;</w:t>
      </w:r>
      <w:r>
        <w:t>(COM(2023)0733 – C9</w:t>
      </w:r>
      <w:r>
        <w:noBreakHyphen/>
        <w:t>0412/2023 – 2023/0418(COD))</w:t>
      </w:r>
      <w:r>
        <w:rPr>
          <w:rStyle w:val="HideTWBExt"/>
        </w:rPr>
        <w:t>&lt;/DocRef&gt;</w:t>
      </w:r>
    </w:p>
    <w:p w:rsidR="00ED0821" w:rsidRPr="00F22BA9" w:rsidRDefault="00AF7516">
      <w:pPr>
        <w:pStyle w:val="CoverNormal24a"/>
      </w:pPr>
      <w:r>
        <w:rPr>
          <w:rStyle w:val="HideTWBExt"/>
        </w:rPr>
        <w:t>&lt;Commission&gt;</w:t>
      </w:r>
      <w:r>
        <w:rPr>
          <w:rStyle w:val="HideTWBInt"/>
          <w:color w:val="auto"/>
        </w:rPr>
        <w:t>{LIBE}</w:t>
      </w:r>
      <w:r>
        <w:t>Comisia pentru libertăț</w:t>
      </w:r>
      <w:r>
        <w:t>i civile, justiț</w:t>
      </w:r>
      <w:r>
        <w:t>ie ș</w:t>
      </w:r>
      <w:r>
        <w:t>i afaceri interne</w:t>
      </w:r>
      <w:r>
        <w:rPr>
          <w:rStyle w:val="HideTWBExt"/>
        </w:rPr>
        <w:t>&lt;/Commission&gt;</w:t>
      </w:r>
    </w:p>
    <w:p w:rsidR="00ED0821" w:rsidRPr="00F22BA9" w:rsidRDefault="00AF7516">
      <w:pPr>
        <w:pStyle w:val="CoverNormal24a"/>
      </w:pPr>
      <w:r>
        <w:t xml:space="preserve">Raportor: </w:t>
      </w:r>
      <w:r>
        <w:rPr>
          <w:rStyle w:val="HideTWBExt"/>
        </w:rPr>
        <w:t>&lt;Depute&gt;</w:t>
      </w:r>
      <w:r>
        <w:t>Matjaž Nemec</w:t>
      </w:r>
      <w:r>
        <w:rPr>
          <w:rStyle w:val="HideTWBExt"/>
        </w:rPr>
        <w:t>&lt;/Depute&gt;</w:t>
      </w:r>
    </w:p>
    <w:p w:rsidR="00BE4EC7" w:rsidRPr="00F22BA9" w:rsidRDefault="00BE4EC7" w:rsidP="00BE4EC7">
      <w:pPr>
        <w:pStyle w:val="CoverNormal"/>
      </w:pPr>
    </w:p>
    <w:p w:rsidR="00A83E46" w:rsidRPr="00F22BA9" w:rsidRDefault="00AF7516" w:rsidP="00894923">
      <w:r>
        <w:br w:type="page"/>
      </w:r>
      <w:r w:rsidR="00B40533">
        <w:lastRenderedPageBreak/>
        <w:fldChar w:fldCharType="begin"/>
      </w:r>
      <w:r>
        <w:instrText xml:space="preserve"> TITLE  \* MERGEFORMAT </w:instrText>
      </w:r>
      <w:r w:rsidR="00B40533">
        <w:fldChar w:fldCharType="separate"/>
      </w:r>
      <w:r>
        <w:t>PR_COD_1app</w:t>
      </w:r>
      <w:r w:rsidR="00B40533">
        <w:fldChar w:fldCharType="end"/>
      </w:r>
    </w:p>
    <w:p w:rsidR="00A83E46" w:rsidRPr="00F22BA9" w:rsidRDefault="00A83E46" w:rsidP="00894923"/>
    <w:p w:rsidR="00B40533" w:rsidRPr="00807CEA" w:rsidRDefault="00B40533" w:rsidP="00B40533">
      <w:pPr>
        <w:tabs>
          <w:tab w:val="center" w:pos="4677"/>
        </w:tabs>
        <w:rPr>
          <w:szCs w:val="24"/>
        </w:rPr>
      </w:pPr>
    </w:p>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E44C6D" w:rsidTr="0041732D">
        <w:tc>
          <w:tcPr>
            <w:tcW w:w="5811" w:type="dxa"/>
            <w:tcBorders>
              <w:top w:val="single" w:sz="4" w:space="0" w:color="auto"/>
            </w:tcBorders>
          </w:tcPr>
          <w:p w:rsidR="00B40533" w:rsidRPr="00807CEA" w:rsidRDefault="00AF7516" w:rsidP="0041732D">
            <w:pPr>
              <w:pStyle w:val="Lgendetitre"/>
              <w:rPr>
                <w:szCs w:val="24"/>
              </w:rPr>
            </w:pPr>
            <w:r>
              <w:t>Legenda simbolurilor utilizate</w:t>
            </w:r>
          </w:p>
        </w:tc>
      </w:tr>
      <w:tr w:rsidR="00E44C6D" w:rsidTr="0041732D">
        <w:trPr>
          <w:cantSplit/>
          <w:trHeight w:val="1949"/>
        </w:trPr>
        <w:tc>
          <w:tcPr>
            <w:tcW w:w="5811" w:type="dxa"/>
            <w:tcBorders>
              <w:bottom w:val="single" w:sz="4" w:space="0" w:color="auto"/>
            </w:tcBorders>
          </w:tcPr>
          <w:p w:rsidR="00B40533" w:rsidRPr="00807CEA" w:rsidRDefault="00AF7516" w:rsidP="0041732D">
            <w:pPr>
              <w:pStyle w:val="Lgendesigne"/>
              <w:rPr>
                <w:szCs w:val="24"/>
              </w:rPr>
            </w:pPr>
            <w:r>
              <w:tab/>
              <w:t>*</w:t>
            </w:r>
            <w:r>
              <w:tab/>
              <w:t>Procedura de consultare</w:t>
            </w:r>
            <w:r>
              <w:tab/>
            </w:r>
          </w:p>
          <w:p w:rsidR="00B40533" w:rsidRPr="00807CEA" w:rsidRDefault="00AF7516" w:rsidP="0041732D">
            <w:pPr>
              <w:pStyle w:val="Lgendesigne"/>
              <w:rPr>
                <w:szCs w:val="24"/>
              </w:rPr>
            </w:pPr>
            <w:r>
              <w:tab/>
              <w:t>***</w:t>
            </w:r>
            <w:r>
              <w:tab/>
              <w:t>Procedura de aprobare</w:t>
            </w:r>
          </w:p>
          <w:p w:rsidR="00B40533" w:rsidRPr="00807CEA" w:rsidRDefault="00AF7516" w:rsidP="0041732D">
            <w:pPr>
              <w:pStyle w:val="Lgendesigne"/>
              <w:rPr>
                <w:szCs w:val="24"/>
              </w:rPr>
            </w:pPr>
            <w:r>
              <w:tab/>
              <w:t>***I</w:t>
            </w:r>
            <w:r>
              <w:tab/>
              <w:t>Procedura legislativă ordinară (prima lectură)</w:t>
            </w:r>
          </w:p>
          <w:p w:rsidR="00B40533" w:rsidRPr="00807CEA" w:rsidRDefault="00AF7516" w:rsidP="0041732D">
            <w:pPr>
              <w:pStyle w:val="Lgendesigne"/>
              <w:rPr>
                <w:szCs w:val="24"/>
              </w:rPr>
            </w:pPr>
            <w:r>
              <w:tab/>
              <w:t>***II</w:t>
            </w:r>
            <w:r>
              <w:tab/>
              <w:t>Procedura legislativă ordinară (a doua lectură)</w:t>
            </w:r>
          </w:p>
          <w:p w:rsidR="00B40533" w:rsidRPr="00807CEA" w:rsidRDefault="00AF7516" w:rsidP="0041732D">
            <w:pPr>
              <w:pStyle w:val="Lgendesigne"/>
              <w:rPr>
                <w:szCs w:val="24"/>
              </w:rPr>
            </w:pPr>
            <w:r>
              <w:tab/>
              <w:t>***III</w:t>
            </w:r>
            <w:r>
              <w:tab/>
              <w:t xml:space="preserve">Procedura </w:t>
            </w:r>
            <w:r>
              <w:t>legislativă ordinară (a treia lectură)</w:t>
            </w:r>
            <w:r>
              <w:br/>
            </w:r>
          </w:p>
          <w:p w:rsidR="00B40533" w:rsidRPr="00807CEA" w:rsidRDefault="00AF7516" w:rsidP="0041732D">
            <w:pPr>
              <w:pStyle w:val="Lgendestandard"/>
              <w:rPr>
                <w:szCs w:val="24"/>
              </w:rPr>
            </w:pPr>
            <w:r>
              <w:t>(Procedura indicată se bazează pe temeiul juridic propus în proiectul de act.)</w:t>
            </w:r>
          </w:p>
          <w:p w:rsidR="00B40533" w:rsidRPr="00807CEA" w:rsidRDefault="00B40533" w:rsidP="0041732D">
            <w:pPr>
              <w:pStyle w:val="Lgendestandard"/>
              <w:rPr>
                <w:szCs w:val="24"/>
              </w:rPr>
            </w:pPr>
          </w:p>
        </w:tc>
      </w:tr>
    </w:tbl>
    <w:p w:rsidR="00B40533" w:rsidRPr="00807CEA" w:rsidRDefault="00B40533" w:rsidP="00B40533">
      <w:pPr>
        <w:rPr>
          <w:szCs w:val="24"/>
        </w:rPr>
      </w:pPr>
    </w:p>
    <w:p w:rsidR="00B40533" w:rsidRPr="00807CEA" w:rsidRDefault="00B40533" w:rsidP="00B40533">
      <w:pPr>
        <w:rPr>
          <w:szCs w:val="24"/>
        </w:rPr>
      </w:pPr>
    </w:p>
    <w:p w:rsidR="00B40533" w:rsidRPr="00807CEA" w:rsidRDefault="00B40533" w:rsidP="00B40533">
      <w:pPr>
        <w:rPr>
          <w:szCs w:val="24"/>
        </w:rPr>
      </w:pPr>
    </w:p>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E44C6D" w:rsidTr="0041732D">
        <w:tc>
          <w:tcPr>
            <w:tcW w:w="5811" w:type="dxa"/>
            <w:tcBorders>
              <w:top w:val="single" w:sz="4" w:space="0" w:color="auto"/>
            </w:tcBorders>
          </w:tcPr>
          <w:p w:rsidR="00B40533" w:rsidRPr="00807CEA" w:rsidRDefault="00AF7516" w:rsidP="0041732D">
            <w:pPr>
              <w:pStyle w:val="Lgendetitre"/>
              <w:rPr>
                <w:szCs w:val="24"/>
              </w:rPr>
            </w:pPr>
            <w:r>
              <w:t>Amendamente la un proiect de act</w:t>
            </w:r>
          </w:p>
        </w:tc>
      </w:tr>
      <w:tr w:rsidR="00E44C6D" w:rsidTr="0041732D">
        <w:tc>
          <w:tcPr>
            <w:tcW w:w="5811" w:type="dxa"/>
            <w:tcBorders>
              <w:bottom w:val="single" w:sz="4" w:space="0" w:color="auto"/>
            </w:tcBorders>
          </w:tcPr>
          <w:p w:rsidR="00B40533" w:rsidRPr="00807CEA" w:rsidRDefault="00B40533" w:rsidP="0041732D">
            <w:pPr>
              <w:pStyle w:val="Lgendestandard"/>
              <w:rPr>
                <w:szCs w:val="24"/>
              </w:rPr>
            </w:pPr>
          </w:p>
          <w:p w:rsidR="00B40533" w:rsidRPr="00807CEA" w:rsidRDefault="00AF7516" w:rsidP="0041732D">
            <w:pPr>
              <w:pStyle w:val="Lgendestandard"/>
              <w:rPr>
                <w:szCs w:val="24"/>
              </w:rPr>
            </w:pPr>
            <w:r>
              <w:rPr>
                <w:b/>
              </w:rPr>
              <w:t>Amendamentele Parlamentului prezentate pe două coloane</w:t>
            </w:r>
          </w:p>
          <w:p w:rsidR="00B40533" w:rsidRPr="00807CEA" w:rsidRDefault="00B40533" w:rsidP="0041732D">
            <w:pPr>
              <w:pStyle w:val="Lgendestandard"/>
              <w:rPr>
                <w:szCs w:val="24"/>
              </w:rPr>
            </w:pPr>
          </w:p>
          <w:p w:rsidR="00B40533" w:rsidRPr="00807CEA" w:rsidRDefault="00AF7516" w:rsidP="0041732D">
            <w:pPr>
              <w:pStyle w:val="Lgendestandard"/>
              <w:rPr>
                <w:szCs w:val="24"/>
              </w:rPr>
            </w:pPr>
            <w:r>
              <w:t>Textul eliminat este evidenț</w:t>
            </w:r>
            <w:r>
              <w:t xml:space="preserve">iat prin caractere </w:t>
            </w:r>
            <w:r>
              <w:rPr>
                <w:b/>
                <w:i/>
              </w:rPr>
              <w:t>cursive aldine</w:t>
            </w:r>
            <w:r>
              <w:t xml:space="preserve"> în coloana din stânga. Textul înlocuit este evidenț</w:t>
            </w:r>
            <w:r>
              <w:t xml:space="preserve">iat prin caractere </w:t>
            </w:r>
            <w:r>
              <w:rPr>
                <w:b/>
                <w:i/>
              </w:rPr>
              <w:t>cursive aldine</w:t>
            </w:r>
            <w:r>
              <w:t xml:space="preserve"> în ambele coloane. Textul nou este evidenț</w:t>
            </w:r>
            <w:r>
              <w:t xml:space="preserve">iat prin caractere </w:t>
            </w:r>
            <w:r>
              <w:rPr>
                <w:b/>
                <w:i/>
              </w:rPr>
              <w:t>cursive aldine</w:t>
            </w:r>
            <w:r>
              <w:t xml:space="preserve"> în coloana din dreapta.</w:t>
            </w:r>
          </w:p>
          <w:p w:rsidR="00B40533" w:rsidRPr="00807CEA" w:rsidRDefault="00B40533" w:rsidP="0041732D">
            <w:pPr>
              <w:pStyle w:val="Lgendestandard"/>
              <w:rPr>
                <w:szCs w:val="24"/>
              </w:rPr>
            </w:pPr>
          </w:p>
          <w:p w:rsidR="00B40533" w:rsidRPr="00807CEA" w:rsidRDefault="00AF7516" w:rsidP="0041732D">
            <w:pPr>
              <w:pStyle w:val="Lgendestandard"/>
              <w:rPr>
                <w:szCs w:val="24"/>
              </w:rPr>
            </w:pPr>
            <w:r>
              <w:t>În primu</w:t>
            </w:r>
            <w:r>
              <w:t>l ș</w:t>
            </w:r>
            <w:r>
              <w:t>i în al doilea rând din antetul fiecărui amendament se identifică fragmentul vizat din proiectul de act supus examinării. În cazul în care un amendament vizează un act existent care urmează să fie modificat prin proiectul de act, antetul conț</w:t>
            </w:r>
            <w:r>
              <w:t>ine două râ</w:t>
            </w:r>
            <w:r>
              <w:t>nduri suplimentare în care se indică actul existent ș</w:t>
            </w:r>
            <w:r>
              <w:t>i, respectiv, dispoziț</w:t>
            </w:r>
            <w:r>
              <w:t xml:space="preserve">ia din acesta vizată de modificare. </w:t>
            </w:r>
          </w:p>
          <w:p w:rsidR="00B40533" w:rsidRPr="00807CEA" w:rsidRDefault="00B40533" w:rsidP="0041732D">
            <w:pPr>
              <w:pStyle w:val="Lgendestandard"/>
              <w:rPr>
                <w:szCs w:val="24"/>
              </w:rPr>
            </w:pPr>
          </w:p>
          <w:p w:rsidR="00B40533" w:rsidRPr="00807CEA" w:rsidRDefault="00AF7516" w:rsidP="0041732D">
            <w:pPr>
              <w:pStyle w:val="Lgendestandard"/>
              <w:rPr>
                <w:b/>
                <w:szCs w:val="24"/>
              </w:rPr>
            </w:pPr>
            <w:r>
              <w:rPr>
                <w:b/>
              </w:rPr>
              <w:t>Amendamentele Parlamentului prezentate sub formă de text consolidat</w:t>
            </w:r>
          </w:p>
          <w:p w:rsidR="00B40533" w:rsidRPr="00807CEA" w:rsidRDefault="00B40533" w:rsidP="0041732D">
            <w:pPr>
              <w:pStyle w:val="Lgendestandard"/>
              <w:rPr>
                <w:szCs w:val="24"/>
              </w:rPr>
            </w:pPr>
          </w:p>
          <w:p w:rsidR="00B40533" w:rsidRPr="00807CEA" w:rsidRDefault="00AF7516" w:rsidP="0041732D">
            <w:pPr>
              <w:pStyle w:val="Lgendestandard"/>
              <w:rPr>
                <w:szCs w:val="24"/>
              </w:rPr>
            </w:pPr>
            <w:r>
              <w:t>Părț</w:t>
            </w:r>
            <w:r>
              <w:t>ile de text noi sunt evidenț</w:t>
            </w:r>
            <w:r>
              <w:t xml:space="preserve">iate prin caractere </w:t>
            </w:r>
            <w:r>
              <w:rPr>
                <w:b/>
                <w:i/>
              </w:rPr>
              <w:t>cursive aldine</w:t>
            </w:r>
            <w:r>
              <w:t>. Părț</w:t>
            </w:r>
            <w:r>
              <w:t>il</w:t>
            </w:r>
            <w:r>
              <w:t>e de text eliminate sunt indicate prin simbolul ▌ sau sunt tăiate. Înlocuirile sunt semnalate prin evidenț</w:t>
            </w:r>
            <w:r>
              <w:t xml:space="preserve">ierea cu caractere </w:t>
            </w:r>
            <w:r>
              <w:rPr>
                <w:b/>
                <w:i/>
              </w:rPr>
              <w:t>cursive aldine</w:t>
            </w:r>
            <w:r>
              <w:t xml:space="preserve"> a textului nou ș</w:t>
            </w:r>
            <w:r>
              <w:t xml:space="preserve">i prin eliminarea sau tăierea textului înlocuit. </w:t>
            </w:r>
          </w:p>
          <w:p w:rsidR="00B40533" w:rsidRPr="00807CEA" w:rsidRDefault="00AF7516" w:rsidP="0041732D">
            <w:pPr>
              <w:pStyle w:val="Lgendestandard"/>
              <w:rPr>
                <w:szCs w:val="24"/>
              </w:rPr>
            </w:pPr>
            <w:r>
              <w:t>Fac excepț</w:t>
            </w:r>
            <w:r>
              <w:t>ie de la regulă ș</w:t>
            </w:r>
            <w:r>
              <w:t>i nu se evidenț</w:t>
            </w:r>
            <w:r>
              <w:t>iază mod</w:t>
            </w:r>
            <w:r>
              <w:t>ificările de natură strict tehnică efectuate de serviciile competente în vederea elaborării textului final.</w:t>
            </w:r>
          </w:p>
          <w:p w:rsidR="00B40533" w:rsidRPr="00807CEA" w:rsidRDefault="00B40533" w:rsidP="0041732D">
            <w:pPr>
              <w:pStyle w:val="Lgendestandard"/>
              <w:rPr>
                <w:szCs w:val="24"/>
              </w:rPr>
            </w:pPr>
          </w:p>
        </w:tc>
      </w:tr>
    </w:tbl>
    <w:p w:rsidR="00B40533" w:rsidRPr="00807CEA" w:rsidRDefault="00B40533" w:rsidP="00B40533">
      <w:pPr>
        <w:tabs>
          <w:tab w:val="left" w:pos="-1134"/>
          <w:tab w:val="left" w:pos="-114"/>
          <w:tab w:val="left" w:pos="772"/>
          <w:tab w:val="left" w:pos="1089"/>
          <w:tab w:val="left" w:pos="1700"/>
          <w:tab w:val="left" w:pos="2266"/>
          <w:tab w:val="left" w:pos="3140"/>
          <w:tab w:val="left" w:pos="3399"/>
          <w:tab w:val="left" w:pos="3966"/>
          <w:tab w:val="left" w:pos="4532"/>
          <w:tab w:val="left" w:pos="5098"/>
          <w:tab w:val="left" w:pos="5665"/>
          <w:tab w:val="left" w:pos="6231"/>
          <w:tab w:val="left" w:pos="6798"/>
          <w:tab w:val="left" w:pos="7364"/>
          <w:tab w:val="left" w:pos="7930"/>
          <w:tab w:val="left" w:pos="8497"/>
          <w:tab w:val="left" w:pos="9063"/>
        </w:tabs>
        <w:rPr>
          <w:szCs w:val="24"/>
        </w:rPr>
      </w:pPr>
    </w:p>
    <w:p w:rsidR="00ED0821" w:rsidRPr="00F22BA9" w:rsidRDefault="00ED0821" w:rsidP="00053B97">
      <w:pPr>
        <w:widowControl/>
        <w:tabs>
          <w:tab w:val="center" w:pos="4677"/>
        </w:tabs>
      </w:pPr>
    </w:p>
    <w:p w:rsidR="00ED0821" w:rsidRPr="00F22BA9" w:rsidRDefault="00AF7516">
      <w:pPr>
        <w:pStyle w:val="TOCHeading"/>
      </w:pPr>
      <w:r>
        <w:br w:type="page"/>
      </w:r>
      <w:r>
        <w:lastRenderedPageBreak/>
        <w:t>CUPRINS</w:t>
      </w:r>
    </w:p>
    <w:p w:rsidR="00ED0821" w:rsidRPr="00F22BA9" w:rsidRDefault="00AF7516">
      <w:pPr>
        <w:pStyle w:val="TOCPage"/>
      </w:pPr>
      <w:r>
        <w:t>Pagina</w:t>
      </w:r>
    </w:p>
    <w:p w:rsidR="00AF7516" w:rsidRDefault="00AF7516">
      <w:pPr>
        <w:pStyle w:val="TOC1"/>
        <w:tabs>
          <w:tab w:val="right" w:leader="dot" w:pos="9060"/>
        </w:tabs>
        <w:rPr>
          <w:rFonts w:asciiTheme="minorHAnsi" w:eastAsiaTheme="minorEastAsia" w:hAnsiTheme="minorHAnsi" w:cstheme="minorBidi"/>
          <w:noProof/>
          <w:sz w:val="22"/>
          <w:szCs w:val="22"/>
          <w:lang w:val="en-GB"/>
        </w:rPr>
      </w:pPr>
      <w:r w:rsidRPr="00F22BA9">
        <w:rPr>
          <w:b/>
        </w:rPr>
        <w:fldChar w:fldCharType="begin"/>
      </w:r>
      <w:r w:rsidRPr="00F22BA9">
        <w:rPr>
          <w:b/>
        </w:rPr>
        <w:instrText xml:space="preserve"> TOC \t "PageHeading</w:instrText>
      </w:r>
      <w:r w:rsidR="008927F6" w:rsidRPr="00F22BA9">
        <w:rPr>
          <w:b/>
        </w:rPr>
        <w:instrText>;</w:instrText>
      </w:r>
      <w:r w:rsidRPr="00F22BA9">
        <w:rPr>
          <w:b/>
        </w:rPr>
        <w:instrText xml:space="preserve">1" </w:instrText>
      </w:r>
      <w:r w:rsidRPr="00F22BA9">
        <w:rPr>
          <w:b/>
        </w:rPr>
        <w:fldChar w:fldCharType="separate"/>
      </w:r>
      <w:r>
        <w:rPr>
          <w:noProof/>
        </w:rPr>
        <w:t>PROIECT DE REZOLUȚIE LEGISLATIVĂ A PARLAMENTULUI EUROPEAN</w:t>
      </w:r>
      <w:r>
        <w:rPr>
          <w:noProof/>
        </w:rPr>
        <w:tab/>
      </w:r>
      <w:r>
        <w:rPr>
          <w:noProof/>
        </w:rPr>
        <w:fldChar w:fldCharType="begin"/>
      </w:r>
      <w:r>
        <w:rPr>
          <w:noProof/>
        </w:rPr>
        <w:instrText xml:space="preserve"> PAGEREF _Toc161300516 \h </w:instrText>
      </w:r>
      <w:r>
        <w:rPr>
          <w:noProof/>
        </w:rPr>
      </w:r>
      <w:r>
        <w:rPr>
          <w:noProof/>
        </w:rPr>
        <w:fldChar w:fldCharType="separate"/>
      </w:r>
      <w:r>
        <w:rPr>
          <w:noProof/>
        </w:rPr>
        <w:t>5</w:t>
      </w:r>
      <w:r>
        <w:rPr>
          <w:noProof/>
        </w:rPr>
        <w:fldChar w:fldCharType="end"/>
      </w:r>
    </w:p>
    <w:p w:rsidR="00AF7516" w:rsidRDefault="00AF7516">
      <w:pPr>
        <w:pStyle w:val="TOC1"/>
        <w:tabs>
          <w:tab w:val="right" w:leader="dot" w:pos="9060"/>
        </w:tabs>
        <w:rPr>
          <w:rFonts w:asciiTheme="minorHAnsi" w:eastAsiaTheme="minorEastAsia" w:hAnsiTheme="minorHAnsi" w:cstheme="minorBidi"/>
          <w:noProof/>
          <w:sz w:val="22"/>
          <w:szCs w:val="22"/>
          <w:lang w:val="en-GB"/>
        </w:rPr>
      </w:pPr>
      <w:r>
        <w:rPr>
          <w:noProof/>
        </w:rPr>
        <w:t>EXPUNERE DE MOTIVE</w:t>
      </w:r>
      <w:r>
        <w:rPr>
          <w:noProof/>
        </w:rPr>
        <w:tab/>
      </w:r>
      <w:r>
        <w:rPr>
          <w:noProof/>
        </w:rPr>
        <w:fldChar w:fldCharType="begin"/>
      </w:r>
      <w:r>
        <w:rPr>
          <w:noProof/>
        </w:rPr>
        <w:instrText xml:space="preserve"> PAGEREF _Toc161300517 \h </w:instrText>
      </w:r>
      <w:r>
        <w:rPr>
          <w:noProof/>
        </w:rPr>
      </w:r>
      <w:r>
        <w:rPr>
          <w:noProof/>
        </w:rPr>
        <w:fldChar w:fldCharType="separate"/>
      </w:r>
      <w:r>
        <w:rPr>
          <w:noProof/>
        </w:rPr>
        <w:t>6</w:t>
      </w:r>
      <w:r>
        <w:rPr>
          <w:noProof/>
        </w:rPr>
        <w:fldChar w:fldCharType="end"/>
      </w:r>
    </w:p>
    <w:p w:rsidR="001A06D8" w:rsidRPr="00F22BA9" w:rsidRDefault="00AF7516" w:rsidP="008E4B14">
      <w:r w:rsidRPr="00F22BA9">
        <w:rPr>
          <w:b/>
        </w:rPr>
        <w:fldChar w:fldCharType="end"/>
      </w:r>
    </w:p>
    <w:p w:rsidR="00ED0821" w:rsidRPr="00F22BA9" w:rsidRDefault="00AF7516">
      <w:pPr>
        <w:pStyle w:val="PageHeading"/>
      </w:pPr>
      <w:r>
        <w:br w:type="page"/>
      </w:r>
      <w:r>
        <w:lastRenderedPageBreak/>
        <w:br w:type="page"/>
      </w:r>
      <w:bookmarkStart w:id="1" w:name="_Toc161300516"/>
      <w:r>
        <w:lastRenderedPageBreak/>
        <w:t>PROIECT DE REZOLUȚ</w:t>
      </w:r>
      <w:r>
        <w:t>IE LEGISLATIVĂ A PARLAMENTULUI EUROPEAN</w:t>
      </w:r>
      <w:bookmarkEnd w:id="1"/>
    </w:p>
    <w:p w:rsidR="00ED0821" w:rsidRPr="00F22BA9" w:rsidRDefault="00AF7516">
      <w:pPr>
        <w:pStyle w:val="NormalBold"/>
      </w:pPr>
      <w:r>
        <w:t>referitoare la propunerea de regulament al Parlamentului European ș</w:t>
      </w:r>
      <w:r>
        <w:t>i al Consiliului de modificare a Regulamentului (UE) 2018/1806 în ceea ce priveș</w:t>
      </w:r>
      <w:r>
        <w:t>te titularii de paș</w:t>
      </w:r>
      <w:r>
        <w:t>apoarte sârbeș</w:t>
      </w:r>
      <w:r>
        <w:t>ti eliberate de Direcț</w:t>
      </w:r>
      <w:r>
        <w:t>ia de coordonare sârbă (Koordinaciona uprava)</w:t>
      </w:r>
    </w:p>
    <w:p w:rsidR="00ED0821" w:rsidRPr="00F22BA9" w:rsidRDefault="00AF7516">
      <w:pPr>
        <w:pStyle w:val="NormalBold12a"/>
      </w:pPr>
      <w:r>
        <w:t>(COM(202</w:t>
      </w:r>
      <w:r>
        <w:t>3)0733 – C9</w:t>
      </w:r>
      <w:r>
        <w:noBreakHyphen/>
        <w:t>0412/2023 – 2023/0418(COD))</w:t>
      </w:r>
    </w:p>
    <w:p w:rsidR="00ED0821" w:rsidRPr="00F22BA9" w:rsidRDefault="00AF7516" w:rsidP="00837978">
      <w:pPr>
        <w:pStyle w:val="NormalBold"/>
      </w:pPr>
      <w:r>
        <w:t>(Procedura legislativă ordinară: prima lectură)</w:t>
      </w:r>
    </w:p>
    <w:p w:rsidR="00ED0821" w:rsidRPr="00F22BA9" w:rsidRDefault="00AF7516">
      <w:pPr>
        <w:pStyle w:val="EPComma"/>
      </w:pPr>
      <w:r>
        <w:rPr>
          <w:i/>
        </w:rPr>
        <w:t>Parlamentul European</w:t>
      </w:r>
      <w:r>
        <w:t>,</w:t>
      </w:r>
    </w:p>
    <w:p w:rsidR="00ED0821" w:rsidRPr="00F22BA9" w:rsidRDefault="00AF7516">
      <w:pPr>
        <w:pStyle w:val="NormalHanging12a"/>
      </w:pPr>
      <w:r>
        <w:t>–</w:t>
      </w:r>
      <w:r>
        <w:tab/>
        <w:t>având în vedere propunerea Comisiei prezentată Parlamentului European ș</w:t>
      </w:r>
      <w:r>
        <w:t>i Consiliului (COM(2023)0733),</w:t>
      </w:r>
    </w:p>
    <w:p w:rsidR="00ED0821" w:rsidRPr="00F22BA9" w:rsidRDefault="00AF7516">
      <w:pPr>
        <w:pStyle w:val="NormalHanging12a"/>
      </w:pPr>
      <w:r>
        <w:t>–</w:t>
      </w:r>
      <w:r>
        <w:tab/>
        <w:t>având în vedere articolul 294 alineatul </w:t>
      </w:r>
      <w:r>
        <w:t>(2) ș</w:t>
      </w:r>
      <w:r>
        <w:t>i articolul 77 alineatul (2) litera (a) din Tratatul privind funcț</w:t>
      </w:r>
      <w:r>
        <w:t>ionarea Uniunii Europene, în temeiul cărora propunerea a fost prezentată de către Comisie (C9</w:t>
      </w:r>
      <w:r>
        <w:noBreakHyphen/>
        <w:t>0412/2023),</w:t>
      </w:r>
    </w:p>
    <w:p w:rsidR="00ED0609" w:rsidRPr="00F22BA9" w:rsidRDefault="00AF7516" w:rsidP="00ED0609">
      <w:pPr>
        <w:pStyle w:val="NormalHanging12a"/>
      </w:pPr>
      <w:r>
        <w:t>–</w:t>
      </w:r>
      <w:r>
        <w:tab/>
        <w:t>având în vedere articolul 294 alineatul (3) din Tratatul privind funcț</w:t>
      </w:r>
      <w:r>
        <w:t>ionarea</w:t>
      </w:r>
      <w:r>
        <w:t xml:space="preserve"> Uniunii Europene,</w:t>
      </w:r>
    </w:p>
    <w:p w:rsidR="00ED0821" w:rsidRPr="00F22BA9" w:rsidRDefault="00AF7516">
      <w:pPr>
        <w:pStyle w:val="NormalHanging12a"/>
      </w:pPr>
      <w:r>
        <w:t>–</w:t>
      </w:r>
      <w:r>
        <w:tab/>
        <w:t>având în vedere articolul 59 din Regulamentul său de procedură,</w:t>
      </w:r>
    </w:p>
    <w:p w:rsidR="00DF6C13" w:rsidRPr="00F22BA9" w:rsidRDefault="00AF7516" w:rsidP="00DF6C13">
      <w:pPr>
        <w:pStyle w:val="NormalHanging12a"/>
      </w:pPr>
      <w:r>
        <w:t>–</w:t>
      </w:r>
      <w:r>
        <w:tab/>
        <w:t>având în vedere raportul Comisiei pentru libertăț</w:t>
      </w:r>
      <w:r>
        <w:t>i civile, justiț</w:t>
      </w:r>
      <w:r>
        <w:t>ie ș</w:t>
      </w:r>
      <w:r>
        <w:t>i afaceri interne (A9</w:t>
      </w:r>
      <w:r>
        <w:noBreakHyphen/>
        <w:t>0000/2024),</w:t>
      </w:r>
    </w:p>
    <w:p w:rsidR="00ED0821" w:rsidRPr="00F22BA9" w:rsidRDefault="00AF7516">
      <w:pPr>
        <w:pStyle w:val="NormalHanging12a"/>
      </w:pPr>
      <w:r>
        <w:t>1.</w:t>
      </w:r>
      <w:r>
        <w:tab/>
        <w:t>adoptă poziț</w:t>
      </w:r>
      <w:r>
        <w:t>ia sa în primă lectură, preluând propunerea Comisie</w:t>
      </w:r>
      <w:r>
        <w:t>i;</w:t>
      </w:r>
    </w:p>
    <w:p w:rsidR="00ED0821" w:rsidRPr="00F22BA9" w:rsidRDefault="00AF7516">
      <w:pPr>
        <w:pStyle w:val="NormalHanging12a"/>
      </w:pPr>
      <w:r>
        <w:t>2.</w:t>
      </w:r>
      <w:r>
        <w:tab/>
        <w:t>solicită Comisiei să îl sesizeze din nou în cazul în care îș</w:t>
      </w:r>
      <w:r>
        <w:t>i înlocuieș</w:t>
      </w:r>
      <w:r>
        <w:t>te, îș</w:t>
      </w:r>
      <w:r>
        <w:t>i modifică în mod substanț</w:t>
      </w:r>
      <w:r>
        <w:t>ial sau intenț</w:t>
      </w:r>
      <w:r>
        <w:t>ionează să îș</w:t>
      </w:r>
      <w:r>
        <w:t>i modifice în mod substanț</w:t>
      </w:r>
      <w:r>
        <w:t>ial propunerea;</w:t>
      </w:r>
    </w:p>
    <w:p w:rsidR="00ED0821" w:rsidRPr="00F22BA9" w:rsidRDefault="00AF7516">
      <w:pPr>
        <w:pStyle w:val="NormalHanging12a"/>
      </w:pPr>
      <w:r>
        <w:t>3.</w:t>
      </w:r>
      <w:r>
        <w:tab/>
        <w:t>încredinț</w:t>
      </w:r>
      <w:r>
        <w:t>ează Preș</w:t>
      </w:r>
      <w:r>
        <w:t>edintei sarcina de a transmite Consiliului ș</w:t>
      </w:r>
      <w:r>
        <w:t>i Comisiei, p</w:t>
      </w:r>
      <w:r>
        <w:t>recum ș</w:t>
      </w:r>
      <w:r>
        <w:t>i parlamentelor naț</w:t>
      </w:r>
      <w:r>
        <w:t>ionale poziț</w:t>
      </w:r>
      <w:r>
        <w:t>ia Parlamentului.</w:t>
      </w:r>
    </w:p>
    <w:p w:rsidR="00321788" w:rsidRPr="00F22BA9" w:rsidRDefault="00321788" w:rsidP="002A1CE3">
      <w:pPr>
        <w:sectPr w:rsidR="00321788" w:rsidRPr="00F22BA9" w:rsidSect="006E69BE">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2A1CE3" w:rsidRPr="00F22BA9" w:rsidRDefault="00AF7516" w:rsidP="00321788">
      <w:pPr>
        <w:pStyle w:val="PageHeading"/>
      </w:pPr>
      <w:bookmarkStart w:id="2" w:name="_Toc161300517"/>
      <w:r>
        <w:lastRenderedPageBreak/>
        <w:t>EXPUNERE DE MOTIVE</w:t>
      </w:r>
      <w:bookmarkEnd w:id="2"/>
    </w:p>
    <w:p w:rsidR="00EC683F" w:rsidRPr="00F22BA9" w:rsidRDefault="00AF7516" w:rsidP="00EC683F">
      <w:pPr>
        <w:pStyle w:val="Body"/>
        <w:rPr>
          <w:sz w:val="22"/>
          <w:szCs w:val="22"/>
        </w:rPr>
      </w:pPr>
      <w:r>
        <w:rPr>
          <w:b/>
        </w:rPr>
        <w:t>a. Context</w:t>
      </w:r>
      <w:r>
        <w:rPr>
          <w:sz w:val="22"/>
        </w:rPr>
        <w:t xml:space="preserve"> </w:t>
      </w:r>
    </w:p>
    <w:p w:rsidR="00EC683F" w:rsidRPr="00F22BA9" w:rsidRDefault="00EC683F" w:rsidP="00EC683F">
      <w:pPr>
        <w:pStyle w:val="Body"/>
      </w:pPr>
    </w:p>
    <w:p w:rsidR="00EC683F" w:rsidRPr="00F22BA9" w:rsidRDefault="00AF7516" w:rsidP="00EC683F">
      <w:pPr>
        <w:pStyle w:val="Body"/>
      </w:pPr>
      <w:r>
        <w:t>La 16 noiembrie 2023, Comisia a prezentat o propunere de regulament al Parlamentului European ș</w:t>
      </w:r>
      <w:r>
        <w:t>i al Consiliului de modificare a Regulamentului (UE) 2018/180</w:t>
      </w:r>
      <w:r>
        <w:t>6 în ceea ce priveș</w:t>
      </w:r>
      <w:r>
        <w:t>te titularii de paș</w:t>
      </w:r>
      <w:r>
        <w:t>apoarte sârbeș</w:t>
      </w:r>
      <w:r>
        <w:t>ti eliberate de Direcț</w:t>
      </w:r>
      <w:r>
        <w:t>ia de coordonare sârbă (Koordinaciona uprava).</w:t>
      </w:r>
    </w:p>
    <w:p w:rsidR="00EC683F" w:rsidRPr="00F22BA9" w:rsidRDefault="00EC683F" w:rsidP="00EC683F">
      <w:pPr>
        <w:pStyle w:val="Body"/>
      </w:pPr>
    </w:p>
    <w:p w:rsidR="00EC683F" w:rsidRPr="00F22BA9" w:rsidRDefault="00AF7516" w:rsidP="00EC683F">
      <w:pPr>
        <w:pStyle w:val="Body"/>
        <w:spacing w:after="240"/>
      </w:pPr>
      <w:r>
        <w:t xml:space="preserve">Potrivit Comisiei, această modificare a Regulamentului (UE) 2018/1806 ar permite exonerarea titularilor de </w:t>
      </w:r>
      <w:bookmarkStart w:id="3" w:name="_Hlk148994817"/>
      <w:r>
        <w:t>paș</w:t>
      </w:r>
      <w:r>
        <w:t>apoarte sârbeș</w:t>
      </w:r>
      <w:r>
        <w:t>ti elibera</w:t>
      </w:r>
      <w:r>
        <w:t>te de Direcț</w:t>
      </w:r>
      <w:r>
        <w:t>ia de coordonare sârbă</w:t>
      </w:r>
      <w:bookmarkEnd w:id="3"/>
      <w:r>
        <w:t xml:space="preserve"> de obligaț</w:t>
      </w:r>
      <w:r>
        <w:t>ia de a deț</w:t>
      </w:r>
      <w:r>
        <w:t>ine o viză la trecerea frontierelor externe ale statelor membre pentru ș</w:t>
      </w:r>
      <w:r>
        <w:t>ederi a căror durată nu depăș</w:t>
      </w:r>
      <w:r>
        <w:t>eș</w:t>
      </w:r>
      <w:r>
        <w:t>te 90 de zile în cursul oricărei perioade de 180 de zile.</w:t>
      </w:r>
    </w:p>
    <w:p w:rsidR="00EC683F" w:rsidRPr="00F22BA9" w:rsidRDefault="00AF7516" w:rsidP="00EC683F">
      <w:pPr>
        <w:pStyle w:val="Body"/>
        <w:spacing w:after="240"/>
      </w:pPr>
      <w:r>
        <w:t>În 2009, Kosovo a fost inclus în partea</w:t>
      </w:r>
      <w:r>
        <w:t xml:space="preserve"> 2 din anexa I la Regulamentul (CE) nr. 539/2001, ceea ce implica faptul că titularii de paș</w:t>
      </w:r>
      <w:r>
        <w:t>apoarte eliberate de Kosovo trebuiau să deț</w:t>
      </w:r>
      <w:r>
        <w:t>ină viză la trecerea frontierelor externe ale statelor membre. La 19 ianuarie 2012, Comisia a iniț</w:t>
      </w:r>
      <w:r>
        <w:t>iat un dialog cu Kosovo</w:t>
      </w:r>
      <w:r>
        <w:t xml:space="preserve"> referitor la liberalizarea vizelor. La 14 iunie 2012, aceasta a prezentat Kosovo o foaie de parcurs care a identificat întreaga legislaț</w:t>
      </w:r>
      <w:r>
        <w:t>ie ș</w:t>
      </w:r>
      <w:r>
        <w:t>i toate celelalte măsuri pe care Kosovo a trebuit să le adopte ș</w:t>
      </w:r>
      <w:r>
        <w:t xml:space="preserve">i să le pună în aplicare pentru a face progrese în </w:t>
      </w:r>
      <w:r>
        <w:t>vederea liberalizării vizelor. Acest dialog s-a încheiat cu succes ș</w:t>
      </w:r>
      <w:r>
        <w:t>i, la 4 mai 2016, Comisia a prezentat o propunere</w:t>
      </w:r>
      <w:r>
        <w:rPr>
          <w:rStyle w:val="FootnoteReference"/>
        </w:rPr>
        <w:footnoteReference w:id="1"/>
      </w:r>
      <w:r>
        <w:t xml:space="preserve"> privind transferul Kosovo în anexa II la Regulamentul (CE) nr. 539/2001.</w:t>
      </w:r>
    </w:p>
    <w:p w:rsidR="00EC683F" w:rsidRPr="00F22BA9" w:rsidRDefault="00AF7516" w:rsidP="00EC683F">
      <w:pPr>
        <w:pStyle w:val="Body"/>
        <w:spacing w:after="240"/>
      </w:pPr>
      <w:r>
        <w:t>Această propunere a fost, în cele din urmă, aprobată ș</w:t>
      </w:r>
      <w:r>
        <w:t>i adoptată</w:t>
      </w:r>
      <w:r>
        <w:t xml:space="preserve"> la 19 aprilie 2023. Regulamentul (UE) 2023/850</w:t>
      </w:r>
      <w:r>
        <w:rPr>
          <w:rStyle w:val="FootnoteReference"/>
        </w:rPr>
        <w:footnoteReference w:id="2"/>
      </w:r>
      <w:r>
        <w:t xml:space="preserve"> a modificat Regulamentul (UE) 2018/1806</w:t>
      </w:r>
      <w:r>
        <w:rPr>
          <w:rStyle w:val="FootnoteReference"/>
        </w:rPr>
        <w:footnoteReference w:id="3"/>
      </w:r>
      <w:r>
        <w:t xml:space="preserve"> (care, între timp, a înlocuit Regulamentul (CE) nr. 539/2001), transferând Kosovo din partea 2 a anexei I în partea 4 a anexei II la regulamentul respectiv. La fel ca</w:t>
      </w:r>
      <w:r>
        <w:t xml:space="preserve"> în cazul tuturor dialogurilor anterioare încheiate cu succes privind liberalizarea vizelor, s-a decis că exonerarea de obligaț</w:t>
      </w:r>
      <w:r>
        <w:t>ia de a deț</w:t>
      </w:r>
      <w:r>
        <w:t>ine viză ar trebui să se aplice numai titularilor de paș</w:t>
      </w:r>
      <w:r>
        <w:t>apoarte biometrice. În plus, s-a decis că exonerarea respectiv</w:t>
      </w:r>
      <w:r>
        <w:t>ă nu ar trebui să se aplice până la data la care începe efectiv să funcț</w:t>
      </w:r>
      <w:r>
        <w:t>ioneze Sistemul european de informaț</w:t>
      </w:r>
      <w:r>
        <w:t>ii ș</w:t>
      </w:r>
      <w:r>
        <w:t>i de autorizare privind călătoriile (ETIAS), instituit prin Regulamentul (UE) 2018/1240 al Parlamentului European ș</w:t>
      </w:r>
      <w:r>
        <w:t>i al Consiliului</w:t>
      </w:r>
      <w:r>
        <w:rPr>
          <w:rStyle w:val="FootnoteReference"/>
        </w:rPr>
        <w:footnoteReference w:id="4"/>
      </w:r>
      <w:r>
        <w:t>, ori până l</w:t>
      </w:r>
      <w:r>
        <w:t>a 1 ianuarie 2024, oricare dintre aceste date survine prima. În urma adoptării Regulamentului (UE) 2023/850, titularii de paș</w:t>
      </w:r>
      <w:r>
        <w:t>apoarte sârbeș</w:t>
      </w:r>
      <w:r>
        <w:t>ti eliberate de Direcț</w:t>
      </w:r>
      <w:r>
        <w:t xml:space="preserve">ia de coordonare sârbă ar </w:t>
      </w:r>
      <w:r>
        <w:lastRenderedPageBreak/>
        <w:t>rămâne singurii cetăț</w:t>
      </w:r>
      <w:r>
        <w:t>eni din regiunea Balcanilor de Vest care trebuie</w:t>
      </w:r>
      <w:r>
        <w:t xml:space="preserve"> să deț</w:t>
      </w:r>
      <w:r>
        <w:t>ină viză atunci când călătoresc în UE pentru ș</w:t>
      </w:r>
      <w:r>
        <w:t xml:space="preserve">ederi de scurtă durată. </w:t>
      </w:r>
    </w:p>
    <w:p w:rsidR="00EC683F" w:rsidRPr="00F22BA9" w:rsidRDefault="00AF7516" w:rsidP="00EC683F">
      <w:pPr>
        <w:pStyle w:val="Body"/>
        <w:spacing w:after="240"/>
      </w:pPr>
      <w:r>
        <w:t>Odată cu intrarea în vigoare a exonerării de obligaț</w:t>
      </w:r>
      <w:r>
        <w:t>ia de a deț</w:t>
      </w:r>
      <w:r>
        <w:t>ine viză pentru titularii de paș</w:t>
      </w:r>
      <w:r>
        <w:t>apoarte din Kosovo, în propunerea sa, Comisia a considerat că motivele care stau la</w:t>
      </w:r>
      <w:r>
        <w:t xml:space="preserve"> baza excluderii </w:t>
      </w:r>
      <w:bookmarkStart w:id="4" w:name="_Hlk148994149"/>
      <w:r>
        <w:t>titularilor de paș</w:t>
      </w:r>
      <w:r>
        <w:t>apoarte sârbeș</w:t>
      </w:r>
      <w:r>
        <w:t>ti eliberate de Direcț</w:t>
      </w:r>
      <w:r>
        <w:t xml:space="preserve">ia de coordonare sârbă </w:t>
      </w:r>
      <w:bookmarkEnd w:id="4"/>
      <w:r>
        <w:t>de la această exonerare de obligaț</w:t>
      </w:r>
      <w:r>
        <w:t>ia de a deț</w:t>
      </w:r>
      <w:r>
        <w:t>ine viză nu mai există ș</w:t>
      </w:r>
      <w:r>
        <w:t>i că toț</w:t>
      </w:r>
      <w:r>
        <w:t>i cetăț</w:t>
      </w:r>
      <w:r>
        <w:t>enii din regiunea Balcanilor de Vest ar trebui să beneficieze de un regim de c</w:t>
      </w:r>
      <w:r>
        <w:t>ălătorii fără viză în spaț</w:t>
      </w:r>
      <w:r>
        <w:t>iul Schengen.</w:t>
      </w:r>
    </w:p>
    <w:p w:rsidR="00EC683F" w:rsidRPr="00F22BA9" w:rsidRDefault="00EC683F" w:rsidP="00EC683F">
      <w:pPr>
        <w:pStyle w:val="Body"/>
        <w:rPr>
          <w:b/>
          <w:bCs/>
        </w:rPr>
      </w:pPr>
    </w:p>
    <w:p w:rsidR="00EC683F" w:rsidRPr="00F22BA9" w:rsidRDefault="00AF7516" w:rsidP="00EC683F">
      <w:pPr>
        <w:pStyle w:val="Body"/>
        <w:rPr>
          <w:b/>
          <w:bCs/>
        </w:rPr>
      </w:pPr>
      <w:r>
        <w:rPr>
          <w:b/>
        </w:rPr>
        <w:t>b. Direcț</w:t>
      </w:r>
      <w:r>
        <w:rPr>
          <w:b/>
        </w:rPr>
        <w:t>ia de coordonare sârbă</w:t>
      </w:r>
    </w:p>
    <w:p w:rsidR="00EC683F" w:rsidRPr="00F22BA9" w:rsidRDefault="00EC683F" w:rsidP="00EC683F">
      <w:pPr>
        <w:pStyle w:val="Body"/>
        <w:spacing w:after="240"/>
      </w:pPr>
    </w:p>
    <w:p w:rsidR="00EC683F" w:rsidRPr="00F22BA9" w:rsidRDefault="00AF7516" w:rsidP="00EC683F">
      <w:pPr>
        <w:pStyle w:val="Body"/>
        <w:spacing w:after="240"/>
      </w:pPr>
      <w:r>
        <w:t>Direcț</w:t>
      </w:r>
      <w:r>
        <w:t>ia de coordonare sârbă a fost înființ</w:t>
      </w:r>
      <w:r>
        <w:t>ată în cursul dialogului cu Serbia privind liberalizarea vizelor. Scopul a fost de a înlocui cele ș</w:t>
      </w:r>
      <w:r>
        <w:t>apte direcț</w:t>
      </w:r>
      <w:r>
        <w:t>ii regionale de poliț</w:t>
      </w:r>
      <w:r>
        <w:t>ie răspâ</w:t>
      </w:r>
      <w:r>
        <w:t>ndite pe teritoriul sârb care erau însărcinate cu eliberarea paș</w:t>
      </w:r>
      <w:r>
        <w:t>apoartelor sârbilor kosovari până la momentul respectiv. Paș</w:t>
      </w:r>
      <w:r>
        <w:t>apoartele eliberate de Direcț</w:t>
      </w:r>
      <w:r>
        <w:t>ia de coordonare sârbă sunt biometrice ș</w:t>
      </w:r>
      <w:r>
        <w:t>i, de când a fost înființ</w:t>
      </w:r>
      <w:r>
        <w:t>ată direcț</w:t>
      </w:r>
      <w:r>
        <w:t>ia, au fost utilizate de tit</w:t>
      </w:r>
      <w:r>
        <w:t>ularii lor ca documente de călătorie în scopul deplasării în UE.</w:t>
      </w:r>
    </w:p>
    <w:p w:rsidR="00EC683F" w:rsidRPr="00F22BA9" w:rsidRDefault="00AF7516" w:rsidP="00EC683F">
      <w:pPr>
        <w:pStyle w:val="Body"/>
        <w:spacing w:after="240"/>
      </w:pPr>
      <w:r>
        <w:t>De la lansarea, în 2008, a primelor dialoguri privind liberalizarea vizelor, Comisia a stabilit un obiectiv general constând în acordarea accesului fără viză în spaț</w:t>
      </w:r>
      <w:r>
        <w:t>iul Schengen întregii regi</w:t>
      </w:r>
      <w:r>
        <w:t>uni a Balcanilor de Vest. Obligaț</w:t>
      </w:r>
      <w:r>
        <w:t>ia de a deț</w:t>
      </w:r>
      <w:r>
        <w:t>ine viză pentru Muntenegru, Macedonia de Nord ș</w:t>
      </w:r>
      <w:r>
        <w:t>i Serbia a fost eliminată în 2009, pentru Albania ș</w:t>
      </w:r>
      <w:r>
        <w:t>i Bosnia ș</w:t>
      </w:r>
      <w:r>
        <w:t>i Herț</w:t>
      </w:r>
      <w:r>
        <w:t>egovina, în 2010 ș</w:t>
      </w:r>
      <w:r>
        <w:t xml:space="preserve">i pentru Kosovo, în 2023. În acest context, prin eliminarea </w:t>
      </w:r>
      <w:bookmarkStart w:id="5" w:name="_Hlk148995018"/>
      <w:r>
        <w:t>excluderii de la exo</w:t>
      </w:r>
      <w:r>
        <w:t>nerarea de obligaț</w:t>
      </w:r>
      <w:r>
        <w:t>ia de a deț</w:t>
      </w:r>
      <w:r>
        <w:t>ine viză pentru titularii de paș</w:t>
      </w:r>
      <w:r>
        <w:t>apoarte sârbeș</w:t>
      </w:r>
      <w:r>
        <w:t>ti eliberate de Direcț</w:t>
      </w:r>
      <w:r>
        <w:t xml:space="preserve">ia de coordonare sârbă </w:t>
      </w:r>
      <w:bookmarkEnd w:id="5"/>
      <w:r>
        <w:t>s-ar asigura că întreaga regiune a Balcanilor de Vest face obiectul aceluiaș</w:t>
      </w:r>
      <w:r>
        <w:t>i regim de vize.</w:t>
      </w:r>
    </w:p>
    <w:p w:rsidR="00EC683F" w:rsidRPr="00F22BA9" w:rsidRDefault="00AF7516" w:rsidP="00EC683F">
      <w:pPr>
        <w:pStyle w:val="Body"/>
      </w:pPr>
      <w:r>
        <w:rPr>
          <w:b/>
        </w:rPr>
        <w:t>c. Poziț</w:t>
      </w:r>
      <w:r>
        <w:rPr>
          <w:b/>
        </w:rPr>
        <w:t>ia raportorului</w:t>
      </w:r>
    </w:p>
    <w:p w:rsidR="00EC683F" w:rsidRPr="00F22BA9" w:rsidRDefault="00EC683F" w:rsidP="00EC683F">
      <w:pPr>
        <w:pStyle w:val="Body"/>
        <w:tabs>
          <w:tab w:val="left" w:pos="1989"/>
        </w:tabs>
      </w:pPr>
    </w:p>
    <w:p w:rsidR="00EC683F" w:rsidRPr="00F22BA9" w:rsidRDefault="00EC683F" w:rsidP="00EC683F">
      <w:pPr>
        <w:pStyle w:val="Body"/>
        <w:tabs>
          <w:tab w:val="left" w:pos="1989"/>
        </w:tabs>
      </w:pPr>
    </w:p>
    <w:p w:rsidR="00EC683F" w:rsidRPr="00F22BA9" w:rsidRDefault="00AF7516" w:rsidP="00EC683F">
      <w:pPr>
        <w:pStyle w:val="Body"/>
        <w:tabs>
          <w:tab w:val="left" w:pos="1989"/>
        </w:tabs>
      </w:pPr>
      <w:r>
        <w:t xml:space="preserve">Politica Uniunii </w:t>
      </w:r>
      <w:r>
        <w:t>Europene în domeniul vizelor, inclusiv regimul său de liberalizare a vizelor, a fost, fără nicio îndoială, unul dintre cele mai influente instrumente de politică externă necoercitivă ale Europei. Cu toate acestea, din cauza complexităț</w:t>
      </w:r>
      <w:r>
        <w:t>ii geopoliticii mondi</w:t>
      </w:r>
      <w:r>
        <w:t>ale, dar, de multe ori, ș</w:t>
      </w:r>
      <w:r>
        <w:t>i din cauza diviziunilor interne ale Uniunii Europene, este necesar să se facă anumite compromisuri ș</w:t>
      </w:r>
      <w:r>
        <w:t xml:space="preserve">i să se ia decizii care creează adesea probleme în viitor. </w:t>
      </w:r>
      <w:r>
        <w:t>Acesta este ș</w:t>
      </w:r>
      <w:r>
        <w:t>i cazul Balcanilor de Vest, unde problemele nu sunt nicio</w:t>
      </w:r>
      <w:r>
        <w:t>dată simple ș</w:t>
      </w:r>
      <w:r>
        <w:t>i sunt rareori uș</w:t>
      </w:r>
      <w:r>
        <w:t xml:space="preserve">or de rezolvat. </w:t>
      </w:r>
    </w:p>
    <w:p w:rsidR="00EC683F" w:rsidRPr="00F22BA9" w:rsidRDefault="00EC683F" w:rsidP="00EC683F">
      <w:pPr>
        <w:pStyle w:val="Body"/>
        <w:tabs>
          <w:tab w:val="left" w:pos="1989"/>
        </w:tabs>
      </w:pPr>
    </w:p>
    <w:p w:rsidR="00EC683F" w:rsidRPr="00F22BA9" w:rsidRDefault="00AF7516" w:rsidP="00EC683F">
      <w:pPr>
        <w:pStyle w:val="Body"/>
        <w:tabs>
          <w:tab w:val="left" w:pos="1989"/>
        </w:tabs>
      </w:pPr>
      <w:r>
        <w:t>În ceea ce priveș</w:t>
      </w:r>
      <w:r>
        <w:t>te propunerea Comisiei, raportorul este de părere că această chestiune complexă necesită luarea în considerare a tuturor faptelor ș</w:t>
      </w:r>
      <w:r>
        <w:t>i aspectelor, dar merită, de asemenea, o abordare în care po</w:t>
      </w:r>
      <w:r>
        <w:t xml:space="preserve">litica ar trebui lăsată deoparte pentru moment. </w:t>
      </w:r>
    </w:p>
    <w:p w:rsidR="00EC683F" w:rsidRPr="00F22BA9" w:rsidRDefault="00AF7516" w:rsidP="00EC683F">
      <w:pPr>
        <w:pStyle w:val="Body"/>
        <w:tabs>
          <w:tab w:val="left" w:pos="1989"/>
        </w:tabs>
      </w:pPr>
      <w:r>
        <w:t>Trebuie recunoscut faptul că Uniunea Europeană a fost în mare măsură un catalizator al acestei probleme ș</w:t>
      </w:r>
      <w:r>
        <w:t>i, prin urmare, raportorul consideră că UE trebuie acum să o ș</w:t>
      </w:r>
      <w:r>
        <w:t xml:space="preserve">i rezolve. </w:t>
      </w:r>
    </w:p>
    <w:p w:rsidR="00EC683F" w:rsidRPr="00F22BA9" w:rsidRDefault="00EC683F" w:rsidP="00EC683F">
      <w:pPr>
        <w:pStyle w:val="Body"/>
        <w:tabs>
          <w:tab w:val="left" w:pos="1989"/>
        </w:tabs>
      </w:pPr>
    </w:p>
    <w:p w:rsidR="00EC683F" w:rsidRPr="00F22BA9" w:rsidRDefault="00AF7516" w:rsidP="00EC683F">
      <w:pPr>
        <w:pStyle w:val="Body"/>
        <w:tabs>
          <w:tab w:val="left" w:pos="1989"/>
        </w:tabs>
      </w:pPr>
      <w:r>
        <w:t>A fost poate neînț</w:t>
      </w:r>
      <w:r>
        <w:t xml:space="preserve">elept să </w:t>
      </w:r>
      <w:r>
        <w:t>se impună Serbiei, în cadrul dialogului cu aceasta privind liberalizarea vizelor din 2008, o distincț</w:t>
      </w:r>
      <w:r>
        <w:t>ie pentru eliberarea de paș</w:t>
      </w:r>
      <w:r>
        <w:t>apoarte sârbilor care locuiesc în Kosovo, ș</w:t>
      </w:r>
      <w:r>
        <w:t>tiind că o astfel de soluț</w:t>
      </w:r>
      <w:r>
        <w:t>ie putea avea doar un caracter temporar. În acelaș</w:t>
      </w:r>
      <w:r>
        <w:t>i timp, î</w:t>
      </w:r>
      <w:r>
        <w:t xml:space="preserve">n această </w:t>
      </w:r>
      <w:r>
        <w:lastRenderedPageBreak/>
        <w:t>soluț</w:t>
      </w:r>
      <w:r>
        <w:t>ie temporară nu au fost introduse suficiente garanț</w:t>
      </w:r>
      <w:r>
        <w:t xml:space="preserve">ii care să prevadă eventuala încetare a acesteia. </w:t>
      </w:r>
    </w:p>
    <w:p w:rsidR="00EC683F" w:rsidRPr="00F22BA9" w:rsidRDefault="00EC683F" w:rsidP="00EC683F">
      <w:pPr>
        <w:pStyle w:val="Body"/>
        <w:tabs>
          <w:tab w:val="left" w:pos="1989"/>
        </w:tabs>
      </w:pPr>
    </w:p>
    <w:p w:rsidR="00EC683F" w:rsidRPr="00F22BA9" w:rsidRDefault="00AF7516" w:rsidP="00EC683F">
      <w:pPr>
        <w:pStyle w:val="Body"/>
      </w:pPr>
      <w:r>
        <w:t>În plus, lipsa progreselor în normalizarea relaț</w:t>
      </w:r>
      <w:r>
        <w:t>iilor dintre Serbia ș</w:t>
      </w:r>
      <w:r>
        <w:t>i Kosovo, precum ș</w:t>
      </w:r>
      <w:r>
        <w:t>i faptul că Serbia ș</w:t>
      </w:r>
      <w:r>
        <w:t>i Kosovo încă nu îș</w:t>
      </w:r>
      <w:r>
        <w:t>i recunosc r</w:t>
      </w:r>
      <w:r>
        <w:t xml:space="preserve">eciproc documentele, nu au contribuit în niciun mod util la evitarea transformării acestei chestiuni într-o problemă. </w:t>
      </w:r>
    </w:p>
    <w:p w:rsidR="00EC683F" w:rsidRPr="00F22BA9" w:rsidRDefault="00EC683F" w:rsidP="00EC683F">
      <w:pPr>
        <w:pStyle w:val="Body"/>
        <w:tabs>
          <w:tab w:val="left" w:pos="1989"/>
        </w:tabs>
      </w:pPr>
    </w:p>
    <w:p w:rsidR="00EC683F" w:rsidRPr="00F22BA9" w:rsidRDefault="00AF7516" w:rsidP="00EC683F">
      <w:pPr>
        <w:pStyle w:val="Body"/>
        <w:tabs>
          <w:tab w:val="left" w:pos="1989"/>
        </w:tabs>
      </w:pPr>
      <w:r>
        <w:t>Raportorul este pe deplin conș</w:t>
      </w:r>
      <w:r>
        <w:t>tient de faptul că rezidenț</w:t>
      </w:r>
      <w:r>
        <w:t>ii sârbi din Kosovo care sunt titulari ai paș</w:t>
      </w:r>
      <w:r>
        <w:t>apoartelor eliberate de Direcț</w:t>
      </w:r>
      <w:r>
        <w:t>ia d</w:t>
      </w:r>
      <w:r>
        <w:t>e coordonare sârbă rămân în prezent ultima categorie de persoane din Balcanii de Vest care au nevoie de viză UE, pentru motive care nu le sunt imputabile. Raportorul consideră că acest lucru constituie o discriminare ș</w:t>
      </w:r>
      <w:r>
        <w:t xml:space="preserve">i este, în principiu, ferm convins că </w:t>
      </w:r>
      <w:r>
        <w:t>orice discriminare ar trebui să fie interzisă ș</w:t>
      </w:r>
      <w:r>
        <w:t>i respectiv remediată imediat în cazul în care se produce. Acelaș</w:t>
      </w:r>
      <w:r>
        <w:t>i principiu ar trebui să se aplice ș</w:t>
      </w:r>
      <w:r>
        <w:t xml:space="preserve">i acestei propuneri. </w:t>
      </w:r>
    </w:p>
    <w:p w:rsidR="00EC683F" w:rsidRPr="00F22BA9" w:rsidRDefault="00EC683F" w:rsidP="00EC683F">
      <w:pPr>
        <w:pStyle w:val="Body"/>
        <w:tabs>
          <w:tab w:val="left" w:pos="1989"/>
        </w:tabs>
      </w:pPr>
    </w:p>
    <w:p w:rsidR="00EC683F" w:rsidRPr="00F22BA9" w:rsidRDefault="00AF7516" w:rsidP="00EC683F">
      <w:pPr>
        <w:pStyle w:val="Body"/>
        <w:tabs>
          <w:tab w:val="left" w:pos="1989"/>
        </w:tabs>
      </w:pPr>
      <w:r>
        <w:t>Până când statutul definitiv al Kosovoului va fi stabilit sau până când se vor înregi</w:t>
      </w:r>
      <w:r>
        <w:t>stra progrese semnificative în normalizarea relaț</w:t>
      </w:r>
      <w:r>
        <w:t>iilor dintre Kosovo ș</w:t>
      </w:r>
      <w:r>
        <w:t>i Serbia, raportorul consideră că această propunere nu ar trebui să încerce să soluț</w:t>
      </w:r>
      <w:r>
        <w:t>ioneze conflictul dintre Serbia ș</w:t>
      </w:r>
      <w:r>
        <w:t>i Kosovo, întrucât nu poate face acest lucru ș</w:t>
      </w:r>
      <w:r>
        <w:t>i nici nu ar fi de aș</w:t>
      </w:r>
      <w:r>
        <w:t>te</w:t>
      </w:r>
      <w:r>
        <w:t>ptat să îl poată face. Raportorul consideră că, pentru a obț</w:t>
      </w:r>
      <w:r>
        <w:t>ine cel mai bun rezultat, ar trebui ca politica să fie lăsată deoparte ș</w:t>
      </w:r>
      <w:r>
        <w:t xml:space="preserve">i această problemă să fie abordată ca o chestiune tehnică. </w:t>
      </w:r>
    </w:p>
    <w:p w:rsidR="00C57F8E" w:rsidRPr="00F22BA9" w:rsidRDefault="00C57F8E" w:rsidP="00EC683F">
      <w:pPr>
        <w:pStyle w:val="Body"/>
        <w:tabs>
          <w:tab w:val="left" w:pos="1989"/>
        </w:tabs>
      </w:pPr>
    </w:p>
    <w:p w:rsidR="00EC683F" w:rsidRPr="00F22BA9" w:rsidRDefault="00AF7516" w:rsidP="00EC683F">
      <w:pPr>
        <w:pStyle w:val="Body"/>
        <w:tabs>
          <w:tab w:val="left" w:pos="1989"/>
        </w:tabs>
      </w:pPr>
      <w:r>
        <w:t>Prin urmare, înț</w:t>
      </w:r>
      <w:r>
        <w:t>elegând complexitatea chestiunilor ș</w:t>
      </w:r>
      <w:r>
        <w:t xml:space="preserve">i luând în </w:t>
      </w:r>
      <w:r>
        <w:t>considerare toate aspectele diferite, raportorul salută propunerea Comisiei ș</w:t>
      </w:r>
      <w:r>
        <w:t>i sprijină adoptarea rapidă a acesteia în Parlament, fără amendamente, încă în actuala legislatură.</w:t>
      </w:r>
    </w:p>
    <w:p w:rsidR="00321788" w:rsidRPr="00F22BA9" w:rsidRDefault="00321788" w:rsidP="00EC683F">
      <w:pPr>
        <w:jc w:val="both"/>
      </w:pPr>
    </w:p>
    <w:sectPr w:rsidR="00321788" w:rsidRPr="00F22BA9" w:rsidSect="00321788">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F7516">
      <w:r>
        <w:separator/>
      </w:r>
    </w:p>
  </w:endnote>
  <w:endnote w:type="continuationSeparator" w:id="0">
    <w:p w:rsidR="00000000" w:rsidRDefault="00AF7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DokChampa">
    <w:altName w:val="Leelawadee UI"/>
    <w:charset w:val="DE"/>
    <w:family w:val="swiss"/>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69BE" w:rsidRPr="00F22BA9" w:rsidRDefault="00AF7516" w:rsidP="006E69BE">
    <w:pPr>
      <w:pStyle w:val="EPFooter"/>
    </w:pPr>
    <w:r w:rsidRPr="00F22BA9">
      <w:t>PE</w:t>
    </w:r>
    <w:r w:rsidRPr="00F22BA9">
      <w:rPr>
        <w:rStyle w:val="HideTWBExt"/>
      </w:rPr>
      <w:t>&lt;NoPE&gt;</w:t>
    </w:r>
    <w:r w:rsidRPr="00F22BA9">
      <w:t>759.740</w:t>
    </w:r>
    <w:r w:rsidRPr="00F22BA9">
      <w:rPr>
        <w:rStyle w:val="HideTWBExt"/>
      </w:rPr>
      <w:t>&lt;/NoPE&gt;&lt;Version&gt;</w:t>
    </w:r>
    <w:r w:rsidRPr="00F22BA9">
      <w:t>v01-00</w:t>
    </w:r>
    <w:r w:rsidRPr="00F22BA9">
      <w:rPr>
        <w:rStyle w:val="HideTWBExt"/>
      </w:rPr>
      <w:t>&lt;/Version&gt;</w:t>
    </w:r>
    <w:r w:rsidRPr="00F22BA9">
      <w:tab/>
    </w:r>
    <w:r w:rsidRPr="00F22BA9">
      <w:fldChar w:fldCharType="begin"/>
    </w:r>
    <w:r w:rsidRPr="00F22BA9">
      <w:instrText xml:space="preserve"> PAGE  \* MERGEFORMAT </w:instrText>
    </w:r>
    <w:r w:rsidRPr="00F22BA9">
      <w:fldChar w:fldCharType="separate"/>
    </w:r>
    <w:r>
      <w:rPr>
        <w:noProof/>
      </w:rPr>
      <w:t>2</w:t>
    </w:r>
    <w:r w:rsidRPr="00F22BA9">
      <w:fldChar w:fldCharType="end"/>
    </w:r>
    <w:r w:rsidRPr="00F22BA9">
      <w:t>/</w:t>
    </w:r>
    <w:r w:rsidR="00B40533">
      <w:fldChar w:fldCharType="begin"/>
    </w:r>
    <w:r>
      <w:instrText xml:space="preserve"> NUMPAGES  \* MERGEFORMAT </w:instrText>
    </w:r>
    <w:r w:rsidR="00B40533">
      <w:fldChar w:fldCharType="separate"/>
    </w:r>
    <w:r>
      <w:rPr>
        <w:noProof/>
      </w:rPr>
      <w:t>8</w:t>
    </w:r>
    <w:r w:rsidR="00B40533">
      <w:rPr>
        <w:noProof/>
      </w:rPr>
      <w:fldChar w:fldCharType="end"/>
    </w:r>
    <w:r w:rsidRPr="00F22BA9">
      <w:tab/>
    </w:r>
    <w:r w:rsidRPr="00F22BA9">
      <w:rPr>
        <w:rStyle w:val="HideTWBExt"/>
      </w:rPr>
      <w:t>&lt;PathFdR&gt;</w:t>
    </w:r>
    <w:r w:rsidRPr="00F22BA9">
      <w:t>PR\1297972RO.docx</w:t>
    </w:r>
    <w:r w:rsidRPr="00F22BA9">
      <w:rPr>
        <w:rStyle w:val="HideTWBExt"/>
      </w:rPr>
      <w:t>&lt;/PathFdR&gt;</w:t>
    </w:r>
  </w:p>
  <w:p w:rsidR="00302A66" w:rsidRPr="00F22BA9" w:rsidRDefault="00AF7516" w:rsidP="006E69BE">
    <w:pPr>
      <w:pStyle w:val="EPFooter2"/>
    </w:pPr>
    <w:r w:rsidRPr="00F22BA9">
      <w:t>RO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69BE" w:rsidRPr="00F22BA9" w:rsidRDefault="00AF7516" w:rsidP="006E69BE">
    <w:pPr>
      <w:pStyle w:val="EPFooter"/>
    </w:pPr>
    <w:r w:rsidRPr="00F22BA9">
      <w:rPr>
        <w:rStyle w:val="HideTWBExt"/>
      </w:rPr>
      <w:t>&lt;PathFdR&gt;</w:t>
    </w:r>
    <w:r w:rsidRPr="00F22BA9">
      <w:t>PR\1297972RO.docx</w:t>
    </w:r>
    <w:r w:rsidRPr="00F22BA9">
      <w:rPr>
        <w:rStyle w:val="HideTWBExt"/>
      </w:rPr>
      <w:t>&lt;/PathFdR&gt;</w:t>
    </w:r>
    <w:r w:rsidRPr="00F22BA9">
      <w:tab/>
    </w:r>
    <w:r w:rsidRPr="00F22BA9">
      <w:fldChar w:fldCharType="begin"/>
    </w:r>
    <w:r w:rsidRPr="00F22BA9">
      <w:instrText xml:space="preserve"> PAGE  \* MERGEFORMAT </w:instrText>
    </w:r>
    <w:r w:rsidRPr="00F22BA9">
      <w:fldChar w:fldCharType="separate"/>
    </w:r>
    <w:r>
      <w:rPr>
        <w:noProof/>
      </w:rPr>
      <w:t>3</w:t>
    </w:r>
    <w:r w:rsidRPr="00F22BA9">
      <w:fldChar w:fldCharType="end"/>
    </w:r>
    <w:r w:rsidRPr="00F22BA9">
      <w:t>/</w:t>
    </w:r>
    <w:r w:rsidR="00B40533">
      <w:fldChar w:fldCharType="begin"/>
    </w:r>
    <w:r>
      <w:instrText xml:space="preserve"> NUMPAGES  \* MERGEFORMAT </w:instrText>
    </w:r>
    <w:r w:rsidR="00B40533">
      <w:fldChar w:fldCharType="separate"/>
    </w:r>
    <w:r>
      <w:rPr>
        <w:noProof/>
      </w:rPr>
      <w:t>8</w:t>
    </w:r>
    <w:r w:rsidR="00B40533">
      <w:rPr>
        <w:noProof/>
      </w:rPr>
      <w:fldChar w:fldCharType="end"/>
    </w:r>
    <w:r w:rsidRPr="00F22BA9">
      <w:tab/>
      <w:t>PE</w:t>
    </w:r>
    <w:r w:rsidRPr="00F22BA9">
      <w:rPr>
        <w:rStyle w:val="HideTWBExt"/>
      </w:rPr>
      <w:t>&lt;NoPE&gt;</w:t>
    </w:r>
    <w:r w:rsidRPr="00F22BA9">
      <w:t>759.740</w:t>
    </w:r>
    <w:r w:rsidRPr="00F22BA9">
      <w:rPr>
        <w:rStyle w:val="HideTWBExt"/>
      </w:rPr>
      <w:t>&lt;/NoPE&gt;&lt;Version&gt;</w:t>
    </w:r>
    <w:r w:rsidRPr="00F22BA9">
      <w:t>v01-00</w:t>
    </w:r>
    <w:r w:rsidRPr="00F22BA9">
      <w:rPr>
        <w:rStyle w:val="HideTWBExt"/>
      </w:rPr>
      <w:t>&lt;/Version&gt;</w:t>
    </w:r>
  </w:p>
  <w:p w:rsidR="00302A66" w:rsidRPr="00F22BA9" w:rsidRDefault="00AF7516" w:rsidP="006E69BE">
    <w:pPr>
      <w:pStyle w:val="EPFooter2"/>
    </w:pPr>
    <w:r w:rsidRPr="00F22BA9">
      <w:tab/>
    </w:r>
    <w:r w:rsidRPr="00F22BA9">
      <w:tab/>
      <w:t>RO</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69BE" w:rsidRPr="00F22BA9" w:rsidRDefault="00AF7516" w:rsidP="006E69BE">
    <w:pPr>
      <w:pStyle w:val="EPFooter"/>
    </w:pPr>
    <w:r w:rsidRPr="00F22BA9">
      <w:rPr>
        <w:rStyle w:val="HideTWBExt"/>
      </w:rPr>
      <w:t>&lt;PathFdR&gt;</w:t>
    </w:r>
    <w:r w:rsidRPr="00F22BA9">
      <w:t>PR\1297972RO.docx</w:t>
    </w:r>
    <w:r w:rsidRPr="00F22BA9">
      <w:rPr>
        <w:rStyle w:val="HideTWBExt"/>
      </w:rPr>
      <w:t>&lt;/PathFdR&gt;</w:t>
    </w:r>
    <w:r w:rsidRPr="00F22BA9">
      <w:tab/>
    </w:r>
    <w:r w:rsidRPr="00F22BA9">
      <w:tab/>
      <w:t>PE</w:t>
    </w:r>
    <w:r w:rsidRPr="00F22BA9">
      <w:rPr>
        <w:rStyle w:val="HideTWBExt"/>
      </w:rPr>
      <w:t>&lt;NoPE&gt;</w:t>
    </w:r>
    <w:r w:rsidRPr="00F22BA9">
      <w:t>759.740</w:t>
    </w:r>
    <w:r w:rsidRPr="00F22BA9">
      <w:rPr>
        <w:rStyle w:val="HideTWBExt"/>
      </w:rPr>
      <w:t>&lt;/NoPE&gt;&lt;Version&gt;</w:t>
    </w:r>
    <w:r w:rsidRPr="00F22BA9">
      <w:t>v01-00</w:t>
    </w:r>
    <w:r w:rsidRPr="00F22BA9">
      <w:rPr>
        <w:rStyle w:val="HideTWBExt"/>
      </w:rPr>
      <w:t>&lt;/Version&gt;</w:t>
    </w:r>
  </w:p>
  <w:p w:rsidR="00302A66" w:rsidRPr="00F22BA9" w:rsidRDefault="00AF7516" w:rsidP="006E69BE">
    <w:pPr>
      <w:pStyle w:val="EPFooter2"/>
    </w:pPr>
    <w:r w:rsidRPr="00F22BA9">
      <w:t>RO</w:t>
    </w:r>
    <w:r w:rsidRPr="00F22BA9">
      <w:tab/>
    </w:r>
    <w:r w:rsidRPr="00F22BA9">
      <w:rPr>
        <w:b w:val="0"/>
        <w:i/>
        <w:color w:val="C0C0C0"/>
        <w:sz w:val="22"/>
      </w:rPr>
      <w:t>Unită în diversitate</w:t>
    </w:r>
    <w:r w:rsidRPr="00F22BA9">
      <w:tab/>
      <w:t>RO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4FDA" w:rsidRPr="00F22BA9" w:rsidRDefault="00AF7516">
      <w:r w:rsidRPr="00F22BA9">
        <w:separator/>
      </w:r>
    </w:p>
  </w:footnote>
  <w:footnote w:type="continuationSeparator" w:id="0">
    <w:p w:rsidR="00624FDA" w:rsidRPr="00F22BA9" w:rsidRDefault="00AF7516">
      <w:r w:rsidRPr="00F22BA9">
        <w:continuationSeparator/>
      </w:r>
    </w:p>
  </w:footnote>
  <w:footnote w:id="1">
    <w:p w:rsidR="00EC683F" w:rsidRPr="00F22BA9" w:rsidRDefault="00AF7516" w:rsidP="00EC683F">
      <w:pPr>
        <w:pStyle w:val="FootnoteText"/>
      </w:pPr>
      <w:r>
        <w:rPr>
          <w:rStyle w:val="FootnoteReference"/>
        </w:rPr>
        <w:footnoteRef/>
      </w:r>
      <w:r>
        <w:tab/>
        <w:t>COM/2016/0277 final.</w:t>
      </w:r>
    </w:p>
  </w:footnote>
  <w:footnote w:id="2">
    <w:p w:rsidR="00EC683F" w:rsidRPr="00F22BA9" w:rsidRDefault="00AF7516" w:rsidP="00EC683F">
      <w:pPr>
        <w:pStyle w:val="FootnoteText"/>
      </w:pPr>
      <w:r>
        <w:rPr>
          <w:rStyle w:val="FootnoteReference"/>
        </w:rPr>
        <w:footnoteRef/>
      </w:r>
      <w:r>
        <w:tab/>
        <w:t>Regulamentul (UE) 2023/850 al Parlamentului Europ</w:t>
      </w:r>
      <w:r>
        <w:t>ean ș</w:t>
      </w:r>
      <w:r>
        <w:t>i al Consiliului din 19 aprilie 2023 de modificare a Regulamentului (UE) 2018/1806 de stabilire a listei ț</w:t>
      </w:r>
      <w:r>
        <w:t>ărilor terț</w:t>
      </w:r>
      <w:r>
        <w:t>e ai căror resortisanț</w:t>
      </w:r>
      <w:r>
        <w:t>i trebuie să deț</w:t>
      </w:r>
      <w:r>
        <w:t>ină viză pentru trecerea frontierelor externe ș</w:t>
      </w:r>
      <w:r>
        <w:t>i a listei ț</w:t>
      </w:r>
      <w:r>
        <w:t>ărilor terț</w:t>
      </w:r>
      <w:r>
        <w:t>e ai căror resortisanț</w:t>
      </w:r>
      <w:r>
        <w:t>i su</w:t>
      </w:r>
      <w:r>
        <w:t>nt exoneraț</w:t>
      </w:r>
      <w:r>
        <w:t>i de această obligaț</w:t>
      </w:r>
      <w:r>
        <w:t>ie [Kosovo (Această denumire nu aduce atingere poziț</w:t>
      </w:r>
      <w:r>
        <w:t>iilor privind statutul ș</w:t>
      </w:r>
      <w:r>
        <w:t>i este conformă cu RCSONU 1244/1999, precum ș</w:t>
      </w:r>
      <w:r>
        <w:t>i cu Avizul CIJ privind Declaraț</w:t>
      </w:r>
      <w:r>
        <w:t>ia de independenț</w:t>
      </w:r>
      <w:r>
        <w:t>ă a Kosovoului.)] (JO L 110, 25.4.2023, p. 1).</w:t>
      </w:r>
    </w:p>
  </w:footnote>
  <w:footnote w:id="3">
    <w:p w:rsidR="00EC683F" w:rsidRPr="00F22BA9" w:rsidRDefault="00AF7516" w:rsidP="00EC683F">
      <w:pPr>
        <w:pStyle w:val="FootnoteText"/>
      </w:pPr>
      <w:r>
        <w:rPr>
          <w:rStyle w:val="FootnoteReference"/>
        </w:rPr>
        <w:footnoteRef/>
      </w:r>
      <w:r>
        <w:tab/>
        <w:t>Regula</w:t>
      </w:r>
      <w:r>
        <w:t>mentul (UE) 2018/1806 al Parlamentului European ș</w:t>
      </w:r>
      <w:r>
        <w:t>i al Consiliului din 14 noiembrie 2018 de stabilire a listei ț</w:t>
      </w:r>
      <w:r>
        <w:t>ărilor terț</w:t>
      </w:r>
      <w:r>
        <w:t>e ai căror resortisanț</w:t>
      </w:r>
      <w:r>
        <w:t>i trebuie să deț</w:t>
      </w:r>
      <w:r>
        <w:t>ină viză pentru trecerea frontierelor externe ș</w:t>
      </w:r>
      <w:r>
        <w:t>i a listei ț</w:t>
      </w:r>
      <w:r>
        <w:t>ărilor terț</w:t>
      </w:r>
      <w:r>
        <w:t>e ai căror resortisanț</w:t>
      </w:r>
      <w:r>
        <w:t>i su</w:t>
      </w:r>
      <w:r>
        <w:t>nt exoneraț</w:t>
      </w:r>
      <w:r>
        <w:t>i de această obligaț</w:t>
      </w:r>
      <w:r>
        <w:t>ie (JO L 303, 28.11.2018, p. 39).</w:t>
      </w:r>
    </w:p>
  </w:footnote>
  <w:footnote w:id="4">
    <w:p w:rsidR="00EC683F" w:rsidRPr="00F22BA9" w:rsidRDefault="00AF7516" w:rsidP="00EC683F">
      <w:pPr>
        <w:pStyle w:val="FootnoteText"/>
      </w:pPr>
      <w:r>
        <w:rPr>
          <w:rStyle w:val="FootnoteReference"/>
        </w:rPr>
        <w:footnoteRef/>
      </w:r>
      <w:r>
        <w:tab/>
        <w:t>Regulamentul (UE) 2018/1240 al Parlamentului European ș</w:t>
      </w:r>
      <w:r>
        <w:t>i al Consiliului din 12 septembrie 2018 de instituire a Sistemului european de informaț</w:t>
      </w:r>
      <w:r>
        <w:t>ii ș</w:t>
      </w:r>
      <w:r>
        <w:t>i de autorizare privind călătoriile (ETIAS)</w:t>
      </w:r>
      <w:r>
        <w:t xml:space="preserve"> ș</w:t>
      </w:r>
      <w:r>
        <w:t>i de modificare a Regulamentelor (UE) nr. 1077/2011, (UE) nr. 515/2014, (UE) 2016/399, (UE) 2016/1624 ș</w:t>
      </w:r>
      <w:r>
        <w:t>i (UE) 2017/2226 (JO L 236, 19.9.2018, p. 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7516" w:rsidRDefault="00AF75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7516" w:rsidRDefault="00AF75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7516" w:rsidRDefault="00AF75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KEY" w:val="LIBE"/>
    <w:docVar w:name="CopyToNetwork" w:val="-1"/>
    <w:docVar w:name="DOCMNU" w:val=" 1"/>
    <w:docVar w:name="EPOJMNU" w:val=" 3"/>
    <w:docVar w:name="EPSTATMNU" w:val=" 1"/>
    <w:docVar w:name="EPSTATPLURMNU" w:val=" 1"/>
    <w:docVar w:name="INSTITUTIONSMNU" w:val=" 2"/>
    <w:docVar w:name="JURI1MNU" w:val=" 2"/>
    <w:docVar w:name="JURI2MNU" w:val=" 2"/>
    <w:docVar w:name="LastEditedSection" w:val=" 1"/>
    <w:docVar w:name="OTHERSTATMNU" w:val=" 4"/>
    <w:docVar w:name="PARLIAMENTSMNU" w:val=" 2"/>
    <w:docVar w:name="strSubDir" w:val="1297"/>
    <w:docVar w:name="TXTLANGUE" w:val="RO"/>
    <w:docVar w:name="TXTLANGUEMIN" w:val="ro"/>
    <w:docVar w:name="TXTNRC" w:val="0412/2023"/>
    <w:docVar w:name="TXTNRCOD" w:val="2023/0418"/>
    <w:docVar w:name="TXTNRCOM" w:val="(2023)0733"/>
    <w:docVar w:name="TXTNRPE" w:val="759.740"/>
    <w:docVar w:name="TXTPEorAP" w:val="PE"/>
    <w:docVar w:name="TXTROUTE" w:val="PR\1297972RO.docx"/>
    <w:docVar w:name="TXTTITLE" w:val="amending Regulation (EU) 2018/1806 as regards holders of Serbian passports issued by the Serbian Coordination Directorate (Koordinaciona uprava)"/>
    <w:docVar w:name="TXTVERSION" w:val="01-00"/>
  </w:docVars>
  <w:rsids>
    <w:rsidRoot w:val="00624FDA"/>
    <w:rsid w:val="00053B97"/>
    <w:rsid w:val="000A0C2E"/>
    <w:rsid w:val="000B5585"/>
    <w:rsid w:val="000C5EDC"/>
    <w:rsid w:val="000F59C5"/>
    <w:rsid w:val="00104AEE"/>
    <w:rsid w:val="00164B9B"/>
    <w:rsid w:val="00182506"/>
    <w:rsid w:val="001907B9"/>
    <w:rsid w:val="001A06D8"/>
    <w:rsid w:val="001D3524"/>
    <w:rsid w:val="00260FAA"/>
    <w:rsid w:val="002A0B11"/>
    <w:rsid w:val="002A1CE3"/>
    <w:rsid w:val="002B272A"/>
    <w:rsid w:val="002C0F2B"/>
    <w:rsid w:val="002C3187"/>
    <w:rsid w:val="00302A66"/>
    <w:rsid w:val="0031764E"/>
    <w:rsid w:val="00321788"/>
    <w:rsid w:val="003A53CE"/>
    <w:rsid w:val="003B55E9"/>
    <w:rsid w:val="003C5583"/>
    <w:rsid w:val="004078CB"/>
    <w:rsid w:val="0041661E"/>
    <w:rsid w:val="0041732D"/>
    <w:rsid w:val="00433573"/>
    <w:rsid w:val="00434AC3"/>
    <w:rsid w:val="00490742"/>
    <w:rsid w:val="00490D5F"/>
    <w:rsid w:val="004D7B3B"/>
    <w:rsid w:val="004F67E3"/>
    <w:rsid w:val="00543B7B"/>
    <w:rsid w:val="005571A0"/>
    <w:rsid w:val="005663F7"/>
    <w:rsid w:val="00624FDA"/>
    <w:rsid w:val="0065285A"/>
    <w:rsid w:val="00695056"/>
    <w:rsid w:val="006E69BE"/>
    <w:rsid w:val="007908B5"/>
    <w:rsid w:val="007D611D"/>
    <w:rsid w:val="00807CEA"/>
    <w:rsid w:val="00814B44"/>
    <w:rsid w:val="00837978"/>
    <w:rsid w:val="008663F8"/>
    <w:rsid w:val="008927F6"/>
    <w:rsid w:val="00894923"/>
    <w:rsid w:val="008A07E3"/>
    <w:rsid w:val="008B26BF"/>
    <w:rsid w:val="008B5034"/>
    <w:rsid w:val="008C6E60"/>
    <w:rsid w:val="008D6E09"/>
    <w:rsid w:val="008E22DF"/>
    <w:rsid w:val="008E4B14"/>
    <w:rsid w:val="00913414"/>
    <w:rsid w:val="00961182"/>
    <w:rsid w:val="00972ED6"/>
    <w:rsid w:val="009D1771"/>
    <w:rsid w:val="00A02CEA"/>
    <w:rsid w:val="00A40C66"/>
    <w:rsid w:val="00A43E6A"/>
    <w:rsid w:val="00A62C81"/>
    <w:rsid w:val="00A7512E"/>
    <w:rsid w:val="00A82A11"/>
    <w:rsid w:val="00A83E46"/>
    <w:rsid w:val="00A84BA1"/>
    <w:rsid w:val="00AD26AD"/>
    <w:rsid w:val="00AE4E74"/>
    <w:rsid w:val="00AF7516"/>
    <w:rsid w:val="00AF7573"/>
    <w:rsid w:val="00B242ED"/>
    <w:rsid w:val="00B37926"/>
    <w:rsid w:val="00B40533"/>
    <w:rsid w:val="00B52B6C"/>
    <w:rsid w:val="00BA5740"/>
    <w:rsid w:val="00BD28D4"/>
    <w:rsid w:val="00BE1457"/>
    <w:rsid w:val="00BE4EC7"/>
    <w:rsid w:val="00BF6269"/>
    <w:rsid w:val="00C54859"/>
    <w:rsid w:val="00C57F8E"/>
    <w:rsid w:val="00C71A3C"/>
    <w:rsid w:val="00C82EBC"/>
    <w:rsid w:val="00C85D0F"/>
    <w:rsid w:val="00CD1FB0"/>
    <w:rsid w:val="00D133F8"/>
    <w:rsid w:val="00D1777C"/>
    <w:rsid w:val="00D919CF"/>
    <w:rsid w:val="00DC3DED"/>
    <w:rsid w:val="00DF6C13"/>
    <w:rsid w:val="00E24902"/>
    <w:rsid w:val="00E44C6D"/>
    <w:rsid w:val="00E51D1E"/>
    <w:rsid w:val="00EC683F"/>
    <w:rsid w:val="00ED0609"/>
    <w:rsid w:val="00ED0821"/>
    <w:rsid w:val="00F0202A"/>
    <w:rsid w:val="00F22BA9"/>
    <w:rsid w:val="00F31E31"/>
    <w:rsid w:val="00F80241"/>
    <w:rsid w:val="00FC479A"/>
    <w:rsid w:val="00FF2A53"/>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799A89D-9F1F-4F3D-802B-FB7EC9531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o-RO"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583"/>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837978"/>
    <w:pPr>
      <w:spacing w:before="480" w:after="240"/>
    </w:pPr>
  </w:style>
  <w:style w:type="paragraph" w:styleId="TOC1">
    <w:name w:val="toc 1"/>
    <w:basedOn w:val="Normal"/>
    <w:next w:val="Normal"/>
    <w:autoRedefine/>
    <w:uiPriority w:val="39"/>
    <w:rsid w:val="008E4B14"/>
    <w:pPr>
      <w:spacing w:after="240"/>
    </w:pPr>
  </w:style>
  <w:style w:type="paragraph" w:styleId="TOCHeading">
    <w:name w:val="TOC Heading"/>
    <w:basedOn w:val="Normal"/>
    <w:next w:val="TOCPage"/>
    <w:qFormat/>
    <w:rsid w:val="00FF2A53"/>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pPr>
      <w:spacing w:after="240"/>
    </w:pPr>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053B97"/>
    <w:pPr>
      <w:spacing w:before="80" w:after="80"/>
    </w:pPr>
    <w:rPr>
      <w:rFonts w:ascii="Arial Narrow" w:hAnsi="Arial Narrow" w:cs="Arial"/>
      <w:b/>
      <w:sz w:val="32"/>
      <w:szCs w:val="22"/>
    </w:rPr>
  </w:style>
  <w:style w:type="paragraph" w:customStyle="1" w:styleId="CoverNormal24a">
    <w:name w:val="CoverNormal24a"/>
    <w:basedOn w:val="Normal"/>
    <w:rsid w:val="00D1777C"/>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65285A"/>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D1777C"/>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164B9B"/>
    <w:pPr>
      <w:tabs>
        <w:tab w:val="center" w:pos="4513"/>
        <w:tab w:val="right" w:pos="9026"/>
      </w:tabs>
    </w:pPr>
  </w:style>
  <w:style w:type="table" w:styleId="TableGrid">
    <w:name w:val="Table Grid"/>
    <w:basedOn w:val="TableNormal"/>
    <w:rsid w:val="00C71A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71A3C"/>
    <w:pPr>
      <w:jc w:val="center"/>
    </w:pPr>
    <w:rPr>
      <w:rFonts w:ascii="Arial" w:hAnsi="Arial" w:cs="Arial"/>
      <w:i/>
      <w:sz w:val="22"/>
      <w:szCs w:val="22"/>
    </w:rPr>
  </w:style>
  <w:style w:type="paragraph" w:customStyle="1" w:styleId="LineTop">
    <w:name w:val="LineTop"/>
    <w:basedOn w:val="Normal"/>
    <w:next w:val="Normal"/>
    <w:rsid w:val="00C71A3C"/>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71A3C"/>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053B97"/>
    <w:pPr>
      <w:spacing w:after="80"/>
    </w:pPr>
    <w:rPr>
      <w:rFonts w:ascii="Arial" w:hAnsi="Arial" w:cs="Arial"/>
      <w:sz w:val="20"/>
      <w:szCs w:val="22"/>
    </w:rPr>
  </w:style>
  <w:style w:type="paragraph" w:customStyle="1" w:styleId="EPLogo">
    <w:name w:val="EPLogo"/>
    <w:basedOn w:val="Normal"/>
    <w:qFormat/>
    <w:rsid w:val="00053B97"/>
    <w:pPr>
      <w:jc w:val="right"/>
    </w:pPr>
  </w:style>
  <w:style w:type="paragraph" w:customStyle="1" w:styleId="EPFooter">
    <w:name w:val="EPFooter"/>
    <w:basedOn w:val="Normal"/>
    <w:rsid w:val="00D1777C"/>
    <w:pPr>
      <w:tabs>
        <w:tab w:val="center" w:pos="4535"/>
        <w:tab w:val="right" w:pos="9071"/>
      </w:tabs>
      <w:spacing w:before="240" w:after="240"/>
    </w:pPr>
    <w:rPr>
      <w:color w:val="010000"/>
      <w:sz w:val="22"/>
    </w:rPr>
  </w:style>
  <w:style w:type="character" w:styleId="PageNumber">
    <w:name w:val="page number"/>
    <w:basedOn w:val="DefaultParagraphFont"/>
    <w:semiHidden/>
    <w:rsid w:val="00913414"/>
  </w:style>
  <w:style w:type="character" w:customStyle="1" w:styleId="HeaderChar">
    <w:name w:val="Header Char"/>
    <w:basedOn w:val="DefaultParagraphFont"/>
    <w:link w:val="Header"/>
    <w:semiHidden/>
    <w:rsid w:val="00164B9B"/>
    <w:rPr>
      <w:sz w:val="24"/>
    </w:rPr>
  </w:style>
  <w:style w:type="paragraph" w:customStyle="1" w:styleId="Lgendesigne">
    <w:name w:val="Légende signe"/>
    <w:basedOn w:val="Normal"/>
    <w:rsid w:val="00A83E46"/>
    <w:pPr>
      <w:tabs>
        <w:tab w:val="right" w:pos="454"/>
        <w:tab w:val="left" w:pos="737"/>
      </w:tabs>
      <w:ind w:left="737" w:hanging="737"/>
    </w:pPr>
    <w:rPr>
      <w:snapToGrid w:val="0"/>
      <w:sz w:val="18"/>
      <w:lang w:eastAsia="en-US"/>
    </w:rPr>
  </w:style>
  <w:style w:type="paragraph" w:customStyle="1" w:styleId="Lgendetitre">
    <w:name w:val="Légende titre"/>
    <w:basedOn w:val="Normal"/>
    <w:rsid w:val="00A83E46"/>
    <w:pPr>
      <w:spacing w:before="240" w:after="240"/>
    </w:pPr>
    <w:rPr>
      <w:b/>
      <w:i/>
      <w:snapToGrid w:val="0"/>
      <w:lang w:eastAsia="en-US"/>
    </w:rPr>
  </w:style>
  <w:style w:type="paragraph" w:customStyle="1" w:styleId="Lgendestandard">
    <w:name w:val="Légende standard"/>
    <w:basedOn w:val="Normal"/>
    <w:rsid w:val="00A83E46"/>
    <w:rPr>
      <w:sz w:val="18"/>
    </w:rPr>
  </w:style>
  <w:style w:type="paragraph" w:styleId="Footer">
    <w:name w:val="footer"/>
    <w:basedOn w:val="Normal"/>
    <w:link w:val="FooterChar"/>
    <w:semiHidden/>
    <w:rsid w:val="000F59C5"/>
    <w:pPr>
      <w:tabs>
        <w:tab w:val="center" w:pos="4513"/>
        <w:tab w:val="right" w:pos="9026"/>
      </w:tabs>
    </w:pPr>
  </w:style>
  <w:style w:type="character" w:customStyle="1" w:styleId="FooterChar">
    <w:name w:val="Footer Char"/>
    <w:basedOn w:val="DefaultParagraphFont"/>
    <w:link w:val="Footer"/>
    <w:semiHidden/>
    <w:rsid w:val="000F59C5"/>
    <w:rPr>
      <w:sz w:val="24"/>
    </w:rPr>
  </w:style>
  <w:style w:type="paragraph" w:styleId="FootnoteText">
    <w:name w:val="footnote text"/>
    <w:basedOn w:val="Normal"/>
    <w:link w:val="FootnoteTextChar"/>
    <w:unhideWhenUsed/>
    <w:rsid w:val="00321788"/>
    <w:pPr>
      <w:widowControl/>
      <w:ind w:left="720" w:hanging="720"/>
      <w:jc w:val="both"/>
    </w:pPr>
    <w:rPr>
      <w:rFonts w:eastAsiaTheme="minorHAnsi"/>
      <w:sz w:val="20"/>
      <w:lang w:eastAsia="en-US"/>
    </w:rPr>
  </w:style>
  <w:style w:type="character" w:customStyle="1" w:styleId="FootnoteTextChar">
    <w:name w:val="Footnote Text Char"/>
    <w:basedOn w:val="DefaultParagraphFont"/>
    <w:link w:val="FootnoteText"/>
    <w:uiPriority w:val="99"/>
    <w:rsid w:val="00321788"/>
    <w:rPr>
      <w:rFonts w:eastAsiaTheme="minorHAnsi"/>
      <w:lang w:eastAsia="en-US"/>
    </w:rPr>
  </w:style>
  <w:style w:type="character" w:styleId="FootnoteReference">
    <w:name w:val="footnote reference"/>
    <w:basedOn w:val="DefaultParagraphFont"/>
    <w:unhideWhenUsed/>
    <w:rsid w:val="00321788"/>
    <w:rPr>
      <w:vertAlign w:val="superscript"/>
    </w:rPr>
  </w:style>
  <w:style w:type="paragraph" w:customStyle="1" w:styleId="Body">
    <w:name w:val="Body"/>
    <w:rsid w:val="00EC683F"/>
    <w:pPr>
      <w:pBdr>
        <w:top w:val="nil"/>
        <w:left w:val="nil"/>
        <w:bottom w:val="nil"/>
        <w:right w:val="nil"/>
        <w:between w:val="nil"/>
        <w:bar w:val="nil"/>
      </w:pBdr>
      <w:jc w:val="both"/>
    </w:pPr>
    <w:rPr>
      <w:rFonts w:eastAsia="Arial Unicode MS" w:cs="Arial Unicode MS"/>
      <w:color w:val="000000"/>
      <w:sz w:val="24"/>
      <w:szCs w:val="24"/>
      <w:u w:color="000000"/>
      <w:bdr w:val="nil"/>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7BC46-E948-46E1-95F4-339E19310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1664</Words>
  <Characters>9555</Characters>
  <Application>Microsoft Office Word</Application>
  <DocSecurity>0</DocSecurity>
  <Lines>199</Lines>
  <Paragraphs>75</Paragraphs>
  <ScaleCrop>false</ScaleCrop>
  <HeadingPairs>
    <vt:vector size="2" baseType="variant">
      <vt:variant>
        <vt:lpstr>Title</vt:lpstr>
      </vt:variant>
      <vt:variant>
        <vt:i4>1</vt:i4>
      </vt:variant>
    </vt:vector>
  </HeadingPairs>
  <TitlesOfParts>
    <vt:vector size="1" baseType="lpstr">
      <vt:lpstr>PR_COD_1app</vt:lpstr>
    </vt:vector>
  </TitlesOfParts>
  <Company/>
  <LinksUpToDate>false</LinksUpToDate>
  <CharactersWithSpaces>11144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PR_COD_1app</dc:title>
  <dc:creator>TOADER Maria</dc:creator>
  <cp:lastModifiedBy>MACKEVIČ Vladislav</cp:lastModifiedBy>
  <cp:revision>2</cp:revision>
  <cp:lastPrinted>2004-11-04T10:10:00Z</cp:lastPrinted>
  <dcterms:created xsi:type="dcterms:W3CDTF">2024-03-14T08:21:00Z</dcterms:created>
  <dcterms:modified xsi:type="dcterms:W3CDTF">2024-03-14T08:21:00Z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1297972</vt:lpwstr>
  </property>
  <property fmtid="{D5CDD505-2E9C-101B-9397-08002B2CF9AE}" pid="4" name="&lt;Model&gt;">
    <vt:lpwstr>PR_COD_1app</vt:lpwstr>
  </property>
  <property fmtid="{D5CDD505-2E9C-101B-9397-08002B2CF9AE}" pid="5" name="&lt;ModelCod&gt;">
    <vt:lpwstr>\\eiciBRUpr1\pdocep$\DocEP\DOCS\General\PR\PR_Leg\COD\COD_1st\PR_COD_1app.dotx(23/03/2022 10:54:04)</vt:lpwstr>
  </property>
  <property fmtid="{D5CDD505-2E9C-101B-9397-08002B2CF9AE}" pid="6" name="&lt;ModelTra&gt;">
    <vt:lpwstr>\\eiciBRUpr1\pdocep$\DocEP\TRANSFIL\EN\PR_COD_1app.EN(29/06/2022 09:21:37)</vt:lpwstr>
  </property>
  <property fmtid="{D5CDD505-2E9C-101B-9397-08002B2CF9AE}" pid="7" name="&lt;Type&gt;">
    <vt:lpwstr>PR</vt:lpwstr>
  </property>
  <property fmtid="{D5CDD505-2E9C-101B-9397-08002B2CF9AE}" pid="8" name="Created with">
    <vt:lpwstr>9.17.2 Build [20240212]</vt:lpwstr>
  </property>
  <property fmtid="{D5CDD505-2E9C-101B-9397-08002B2CF9AE}" pid="9" name="FooterPath">
    <vt:lpwstr>PR\1297972RO.docx</vt:lpwstr>
  </property>
  <property fmtid="{D5CDD505-2E9C-101B-9397-08002B2CF9AE}" pid="10" name="LastEdited with">
    <vt:lpwstr>9.17.2 Build [20240212]</vt:lpwstr>
  </property>
  <property fmtid="{D5CDD505-2E9C-101B-9397-08002B2CF9AE}" pid="11" name="PE number">
    <vt:lpwstr>759.740</vt:lpwstr>
  </property>
  <property fmtid="{D5CDD505-2E9C-101B-9397-08002B2CF9AE}" pid="12" name="SDLStudio">
    <vt:lpwstr/>
  </property>
  <property fmtid="{D5CDD505-2E9C-101B-9397-08002B2CF9AE}" pid="13" name="SendToEpades">
    <vt:lpwstr>OK - 2024/03/05 15:58</vt:lpwstr>
  </property>
  <property fmtid="{D5CDD505-2E9C-101B-9397-08002B2CF9AE}" pid="14" name="Bookout">
    <vt:lpwstr>OK - 2024/03/14 09:17</vt:lpwstr>
  </property>
</Properties>
</file>