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404B2" w:rsidTr="00100845">
        <w:trPr>
          <w:trHeight w:hRule="exact" w:val="1418"/>
        </w:trPr>
        <w:tc>
          <w:tcPr>
            <w:tcW w:w="6804" w:type="dxa"/>
            <w:shd w:val="clear" w:color="auto" w:fill="auto"/>
            <w:vAlign w:val="center"/>
          </w:tcPr>
          <w:p w:rsidR="001722BB" w:rsidRPr="005C6334" w:rsidRDefault="00F61E6E" w:rsidP="00100845">
            <w:pPr>
              <w:pStyle w:val="EPName"/>
            </w:pPr>
            <w:r>
              <w:t>Europees Parlement</w:t>
            </w:r>
          </w:p>
          <w:p w:rsidR="001722BB" w:rsidRPr="005C6334" w:rsidRDefault="00F61E6E" w:rsidP="0079044B">
            <w:pPr>
              <w:pStyle w:val="EPTerm"/>
            </w:pPr>
            <w:r>
              <w:t>2019-2024</w:t>
            </w:r>
          </w:p>
        </w:tc>
        <w:tc>
          <w:tcPr>
            <w:tcW w:w="2268" w:type="dxa"/>
            <w:shd w:val="clear" w:color="auto" w:fill="auto"/>
          </w:tcPr>
          <w:p w:rsidR="001722BB" w:rsidRPr="005C6334" w:rsidRDefault="00F61E6E" w:rsidP="00100845">
            <w:pPr>
              <w:pStyle w:val="EPLogo"/>
            </w:pPr>
            <w:r w:rsidRPr="005C63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866DA1" w:rsidRPr="005C6334" w:rsidRDefault="00866DA1" w:rsidP="00866DA1">
      <w:pPr>
        <w:pStyle w:val="LineTop"/>
      </w:pPr>
    </w:p>
    <w:p w:rsidR="00866DA1" w:rsidRPr="005C6334" w:rsidRDefault="00F61E6E" w:rsidP="00C31D39">
      <w:pPr>
        <w:pStyle w:val="EPBody"/>
      </w:pPr>
      <w:r>
        <w:rPr>
          <w:rStyle w:val="HideTWBExt"/>
        </w:rPr>
        <w:t>&lt;</w:t>
      </w:r>
      <w:r>
        <w:rPr>
          <w:rStyle w:val="HideTWBExt"/>
          <w:i w:val="0"/>
        </w:rPr>
        <w:t>Commission</w:t>
      </w:r>
      <w:r>
        <w:rPr>
          <w:rStyle w:val="HideTWBExt"/>
        </w:rPr>
        <w:t>&gt;</w:t>
      </w:r>
      <w:r>
        <w:rPr>
          <w:rStyle w:val="HideTWBInt"/>
          <w:color w:val="auto"/>
        </w:rPr>
        <w:t>{LIBE}</w:t>
      </w:r>
      <w:r>
        <w:t>Commissie burgerlijke vrijheden, justitie en binnenlandse zaken</w:t>
      </w:r>
      <w:r>
        <w:rPr>
          <w:rStyle w:val="HideTWBExt"/>
        </w:rPr>
        <w:t>&lt;/</w:t>
      </w:r>
      <w:r>
        <w:rPr>
          <w:rStyle w:val="HideTWBExt"/>
          <w:i w:val="0"/>
        </w:rPr>
        <w:t>Commission</w:t>
      </w:r>
      <w:r>
        <w:rPr>
          <w:rStyle w:val="HideTWBExt"/>
        </w:rPr>
        <w:t>&gt;</w:t>
      </w:r>
    </w:p>
    <w:p w:rsidR="00866DA1" w:rsidRPr="005C6334" w:rsidRDefault="00866DA1" w:rsidP="00866DA1">
      <w:pPr>
        <w:pStyle w:val="LineBottom"/>
      </w:pPr>
    </w:p>
    <w:p w:rsidR="00ED0821" w:rsidRPr="005C6334" w:rsidRDefault="00F61E6E" w:rsidP="00726C00">
      <w:pPr>
        <w:pStyle w:val="CoverReference"/>
      </w:pPr>
      <w:r>
        <w:rPr>
          <w:rStyle w:val="HideTWBExt"/>
          <w:b w:val="0"/>
        </w:rPr>
        <w:t>&lt;RefProc&gt;</w:t>
      </w:r>
      <w:r>
        <w:t>2024/0035</w:t>
      </w:r>
      <w:r>
        <w:rPr>
          <w:rStyle w:val="HideTWBExt"/>
          <w:b w:val="0"/>
        </w:rPr>
        <w:t>&lt;/RefProc&gt;&lt;RefTypeProc&gt;</w:t>
      </w:r>
      <w:r>
        <w:t>(COD)</w:t>
      </w:r>
      <w:r>
        <w:rPr>
          <w:rStyle w:val="HideTWBExt"/>
          <w:b w:val="0"/>
        </w:rPr>
        <w:t>&lt;/RefTypeProc&gt;</w:t>
      </w:r>
    </w:p>
    <w:p w:rsidR="00ED0821" w:rsidRPr="005C6334" w:rsidRDefault="00F61E6E">
      <w:pPr>
        <w:pStyle w:val="CoverDate"/>
      </w:pPr>
      <w:r>
        <w:rPr>
          <w:rStyle w:val="HideTWBExt"/>
        </w:rPr>
        <w:t>&lt;Date&gt;</w:t>
      </w:r>
      <w:r>
        <w:rPr>
          <w:rStyle w:val="HideTWBInt"/>
          <w:color w:val="auto"/>
        </w:rPr>
        <w:t>{16/04/2024}</w:t>
      </w:r>
      <w:r>
        <w:t>16.4.2024</w:t>
      </w:r>
      <w:r>
        <w:rPr>
          <w:rStyle w:val="HideTWBExt"/>
        </w:rPr>
        <w:t>&lt;/Date&gt;</w:t>
      </w:r>
    </w:p>
    <w:p w:rsidR="00ED0821" w:rsidRPr="005C6334" w:rsidRDefault="00F61E6E">
      <w:pPr>
        <w:pStyle w:val="CoverDocType"/>
      </w:pPr>
      <w:r>
        <w:rPr>
          <w:rStyle w:val="HideTWBExt"/>
          <w:b w:val="0"/>
        </w:rPr>
        <w:t>&lt;RefProcLect&gt;</w:t>
      </w:r>
      <w:r>
        <w:t>***I</w:t>
      </w:r>
      <w:r>
        <w:rPr>
          <w:rStyle w:val="HideTWBExt"/>
          <w:b w:val="0"/>
        </w:rPr>
        <w:t>&lt;/RefProcLect&gt;</w:t>
      </w:r>
    </w:p>
    <w:p w:rsidR="00ED0821" w:rsidRPr="005C6334" w:rsidRDefault="00F61E6E">
      <w:pPr>
        <w:pStyle w:val="CoverDocType24a"/>
      </w:pPr>
      <w:r>
        <w:rPr>
          <w:rStyle w:val="HideTWBExt"/>
          <w:b w:val="0"/>
        </w:rPr>
        <w:t>&lt;TitreType&gt;</w:t>
      </w:r>
      <w:r>
        <w:t>ONTWERPVERSLAG</w:t>
      </w:r>
      <w:r>
        <w:rPr>
          <w:rStyle w:val="HideTWBExt"/>
          <w:b w:val="0"/>
        </w:rPr>
        <w:t>&lt;/TitreType&gt;</w:t>
      </w:r>
    </w:p>
    <w:p w:rsidR="00ED0821" w:rsidRPr="005C6334" w:rsidRDefault="00F61E6E">
      <w:pPr>
        <w:pStyle w:val="CoverNormal"/>
      </w:pPr>
      <w:r>
        <w:rPr>
          <w:rStyle w:val="HideTWBExt"/>
        </w:rPr>
        <w:t>&lt;Titre&gt;</w:t>
      </w:r>
      <w:r>
        <w:t>over het voorstel voor een richtlijn van het Europees Parlement en de Raad ter bestrijding van seksueel misbruik en seksuele uitbuiting van kinderen en van materiaal van seksueel misbruik van kind</w:t>
      </w:r>
      <w:r>
        <w:t>eren, en ter vervanging van Kaderbesluit 2004/68/JBZ van de Raad (herschikking)</w:t>
      </w:r>
      <w:r>
        <w:rPr>
          <w:rStyle w:val="HideTWBExt"/>
        </w:rPr>
        <w:t>&lt;/Titre&gt;</w:t>
      </w:r>
    </w:p>
    <w:p w:rsidR="00ED0821" w:rsidRPr="005C6334" w:rsidRDefault="00F61E6E">
      <w:pPr>
        <w:pStyle w:val="CoverNormal24a"/>
      </w:pPr>
      <w:r>
        <w:rPr>
          <w:rStyle w:val="HideTWBExt"/>
        </w:rPr>
        <w:t>&lt;DocRef&gt;</w:t>
      </w:r>
      <w:r>
        <w:t>(COM(2024)0060 – C9</w:t>
      </w:r>
      <w:r>
        <w:noBreakHyphen/>
        <w:t>0028/2024 – 2024/0035(COD))</w:t>
      </w:r>
      <w:r>
        <w:rPr>
          <w:rStyle w:val="HideTWBExt"/>
        </w:rPr>
        <w:t>&lt;/DocRef&gt;</w:t>
      </w:r>
    </w:p>
    <w:p w:rsidR="00ED0821" w:rsidRPr="005C6334" w:rsidRDefault="00F61E6E">
      <w:pPr>
        <w:pStyle w:val="CoverNormal24a"/>
      </w:pPr>
      <w:r>
        <w:rPr>
          <w:rStyle w:val="HideTWBExt"/>
        </w:rPr>
        <w:t>&lt;Commission&gt;</w:t>
      </w:r>
      <w:r>
        <w:rPr>
          <w:rStyle w:val="HideTWBInt"/>
          <w:color w:val="auto"/>
        </w:rPr>
        <w:t>{LIBE}</w:t>
      </w:r>
      <w:r>
        <w:t>Commissie burgerlijke vrijheden, justitie en binnenlandse zaken</w:t>
      </w:r>
      <w:r>
        <w:rPr>
          <w:rStyle w:val="HideTWBExt"/>
        </w:rPr>
        <w:t>&lt;/Commission&gt;</w:t>
      </w:r>
    </w:p>
    <w:p w:rsidR="00ED0821" w:rsidRPr="005C6334" w:rsidRDefault="00F61E6E" w:rsidP="00E21D93">
      <w:pPr>
        <w:pStyle w:val="CoverNormal24a"/>
      </w:pPr>
      <w:r>
        <w:t xml:space="preserve">Rapporteur: </w:t>
      </w:r>
      <w:r>
        <w:rPr>
          <w:rStyle w:val="HideTWBExt"/>
        </w:rPr>
        <w:t>&lt;Depute&gt;</w:t>
      </w:r>
      <w:r>
        <w:t>Jeroen Lenaers</w:t>
      </w:r>
      <w:r>
        <w:rPr>
          <w:rStyle w:val="HideTWBExt"/>
        </w:rPr>
        <w:t>&lt;/Depute&gt;</w:t>
      </w:r>
    </w:p>
    <w:p w:rsidR="003B5DAA" w:rsidRPr="005C6334" w:rsidRDefault="00F61E6E" w:rsidP="003B5DAA">
      <w:pPr>
        <w:pStyle w:val="CoverNormal24a"/>
      </w:pPr>
      <w:r>
        <w:t>(Herschikking – artikel 110 van het Reglement)</w:t>
      </w:r>
    </w:p>
    <w:p w:rsidR="005A5BE9" w:rsidRPr="005C6334" w:rsidRDefault="005A5BE9" w:rsidP="005A5BE9">
      <w:pPr>
        <w:pStyle w:val="CoverNormal"/>
      </w:pPr>
    </w:p>
    <w:p w:rsidR="0079044B" w:rsidRPr="005C6334" w:rsidRDefault="00F61E6E" w:rsidP="00100845">
      <w:r>
        <w:br w:type="page"/>
      </w:r>
      <w:r w:rsidR="00B66C1D">
        <w:lastRenderedPageBreak/>
        <w:fldChar w:fldCharType="begin"/>
      </w:r>
      <w:r>
        <w:instrText xml:space="preserve"> TITLE  \* MERGEFORMAT </w:instrText>
      </w:r>
      <w:r w:rsidR="00B66C1D">
        <w:fldChar w:fldCharType="separate"/>
      </w:r>
      <w:r>
        <w:t>PR_COD_1recastingam</w:t>
      </w:r>
      <w:r w:rsidR="00B66C1D">
        <w:fldChar w:fldCharType="end"/>
      </w:r>
    </w:p>
    <w:p w:rsidR="0079044B" w:rsidRPr="005C6334" w:rsidRDefault="0079044B" w:rsidP="00100845"/>
    <w:p w:rsidR="0079044B" w:rsidRPr="005C6334" w:rsidRDefault="0079044B" w:rsidP="0010084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404B2">
        <w:tc>
          <w:tcPr>
            <w:tcW w:w="5811" w:type="dxa"/>
          </w:tcPr>
          <w:p w:rsidR="0079044B" w:rsidRPr="005C6334" w:rsidRDefault="00F61E6E" w:rsidP="00100845">
            <w:pPr>
              <w:pStyle w:val="Lgendetitre"/>
            </w:pPr>
            <w:r>
              <w:t>Verklaring van de gebruikte tekens</w:t>
            </w:r>
          </w:p>
        </w:tc>
      </w:tr>
      <w:tr w:rsidR="00F404B2" w:rsidTr="00100845">
        <w:trPr>
          <w:cantSplit/>
          <w:trHeight w:val="1944"/>
        </w:trPr>
        <w:tc>
          <w:tcPr>
            <w:tcW w:w="5811" w:type="dxa"/>
            <w:tcBorders>
              <w:bottom w:val="single" w:sz="4" w:space="0" w:color="auto"/>
            </w:tcBorders>
          </w:tcPr>
          <w:p w:rsidR="0079044B" w:rsidRPr="005C6334" w:rsidRDefault="00F61E6E" w:rsidP="00100845">
            <w:pPr>
              <w:pStyle w:val="Lgendesigne"/>
            </w:pPr>
            <w:r>
              <w:tab/>
              <w:t>*</w:t>
            </w:r>
            <w:r>
              <w:tab/>
              <w:t>Raadplegingsprocedure</w:t>
            </w:r>
          </w:p>
          <w:p w:rsidR="0079044B" w:rsidRPr="005C6334" w:rsidRDefault="00F61E6E" w:rsidP="00100845">
            <w:pPr>
              <w:pStyle w:val="Lgendesigne"/>
            </w:pPr>
            <w:r>
              <w:tab/>
              <w:t>***</w:t>
            </w:r>
            <w:r>
              <w:tab/>
              <w:t>Goedkeuringsprocedure</w:t>
            </w:r>
          </w:p>
          <w:p w:rsidR="0079044B" w:rsidRPr="005C6334" w:rsidRDefault="00F61E6E" w:rsidP="00100845">
            <w:pPr>
              <w:pStyle w:val="Lgendesigne"/>
            </w:pPr>
            <w:r>
              <w:tab/>
              <w:t>***I</w:t>
            </w:r>
            <w:r>
              <w:tab/>
              <w:t xml:space="preserve">Gewone </w:t>
            </w:r>
            <w:r>
              <w:t>wetgevingsprocedure (eerste lezing)</w:t>
            </w:r>
          </w:p>
          <w:p w:rsidR="0079044B" w:rsidRPr="005C6334" w:rsidRDefault="00F61E6E" w:rsidP="00100845">
            <w:pPr>
              <w:pStyle w:val="Lgendesigne"/>
            </w:pPr>
            <w:r>
              <w:tab/>
              <w:t>***II</w:t>
            </w:r>
            <w:r>
              <w:tab/>
              <w:t>Gewone wetgevingsprocedure (tweede lezing)</w:t>
            </w:r>
          </w:p>
          <w:p w:rsidR="0079044B" w:rsidRPr="005C6334" w:rsidRDefault="00F61E6E" w:rsidP="00100845">
            <w:pPr>
              <w:pStyle w:val="Lgendesigne"/>
            </w:pPr>
            <w:r>
              <w:tab/>
              <w:t>***III</w:t>
            </w:r>
            <w:r>
              <w:tab/>
              <w:t>Gewone wetgevingsprocedure (derde lezing)</w:t>
            </w:r>
          </w:p>
          <w:p w:rsidR="0079044B" w:rsidRPr="005C6334" w:rsidRDefault="0079044B" w:rsidP="00100845">
            <w:pPr>
              <w:pStyle w:val="Lgendestandard"/>
            </w:pPr>
          </w:p>
          <w:p w:rsidR="0079044B" w:rsidRPr="005C6334" w:rsidRDefault="00F61E6E" w:rsidP="00100845">
            <w:pPr>
              <w:pStyle w:val="Lgendestandard"/>
            </w:pPr>
            <w:r>
              <w:t>(De aangeduide procedure is gebaseerd op de in de ontwerptekst voorgestelde rechtsgrond.)</w:t>
            </w:r>
          </w:p>
          <w:p w:rsidR="0079044B" w:rsidRPr="005C6334" w:rsidRDefault="0079044B" w:rsidP="00100845">
            <w:pPr>
              <w:pStyle w:val="Lgendestandard"/>
            </w:pPr>
          </w:p>
        </w:tc>
      </w:tr>
    </w:tbl>
    <w:p w:rsidR="0079044B" w:rsidRPr="005C6334" w:rsidRDefault="0079044B" w:rsidP="00100845"/>
    <w:p w:rsidR="0079044B" w:rsidRPr="005C6334" w:rsidRDefault="0079044B" w:rsidP="00100845"/>
    <w:p w:rsidR="0079044B" w:rsidRPr="005C6334" w:rsidRDefault="0079044B" w:rsidP="00100845"/>
    <w:p w:rsidR="0079044B" w:rsidRPr="005C6334" w:rsidRDefault="0079044B" w:rsidP="00100845"/>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404B2">
        <w:tc>
          <w:tcPr>
            <w:tcW w:w="5811" w:type="dxa"/>
          </w:tcPr>
          <w:p w:rsidR="0079044B" w:rsidRPr="005C6334" w:rsidRDefault="00F61E6E" w:rsidP="00100845">
            <w:pPr>
              <w:pStyle w:val="Lgendetitre"/>
            </w:pPr>
            <w:r>
              <w:t xml:space="preserve">Amendementen op een </w:t>
            </w:r>
            <w:r>
              <w:t>ontwerphandeling</w:t>
            </w:r>
          </w:p>
        </w:tc>
      </w:tr>
      <w:tr w:rsidR="00F404B2" w:rsidTr="00100845">
        <w:trPr>
          <w:trHeight w:val="5065"/>
        </w:trPr>
        <w:tc>
          <w:tcPr>
            <w:tcW w:w="5811" w:type="dxa"/>
          </w:tcPr>
          <w:p w:rsidR="0079044B" w:rsidRPr="005C6334" w:rsidRDefault="00F61E6E" w:rsidP="00100845">
            <w:pPr>
              <w:pStyle w:val="Lgendestandard"/>
              <w:rPr>
                <w:b/>
                <w:szCs w:val="24"/>
              </w:rPr>
            </w:pPr>
            <w:r>
              <w:rPr>
                <w:b/>
              </w:rPr>
              <w:t>Amendementen van het Parlement in twee kolommen</w:t>
            </w:r>
          </w:p>
          <w:p w:rsidR="0079044B" w:rsidRPr="005C6334" w:rsidRDefault="0079044B" w:rsidP="00100845">
            <w:pPr>
              <w:pStyle w:val="Lgendestandard"/>
              <w:rPr>
                <w:szCs w:val="24"/>
              </w:rPr>
            </w:pPr>
          </w:p>
          <w:p w:rsidR="0079044B" w:rsidRPr="005C6334" w:rsidRDefault="00F61E6E" w:rsidP="00100845">
            <w:pPr>
              <w:pStyle w:val="Lgendestandard"/>
              <w:rPr>
                <w:szCs w:val="24"/>
              </w:rPr>
            </w:pPr>
            <w:r>
              <w:t xml:space="preserve">Geschrapte tekstdelen worden in de linkerkolom in </w:t>
            </w:r>
            <w:r>
              <w:rPr>
                <w:b/>
                <w:i/>
              </w:rPr>
              <w:t>vet cursief</w:t>
            </w:r>
            <w:r>
              <w:t xml:space="preserve"> aangegeven. Vervangen tekstdelen worden in beide kolommen in </w:t>
            </w:r>
            <w:r>
              <w:rPr>
                <w:b/>
                <w:i/>
              </w:rPr>
              <w:t>vet cursief</w:t>
            </w:r>
            <w:r>
              <w:t xml:space="preserve"> aangegeven. Nieuwe tekst wordt in de rechterkolom in </w:t>
            </w:r>
            <w:r>
              <w:rPr>
                <w:b/>
                <w:i/>
              </w:rPr>
              <w:t>vet cursief</w:t>
            </w:r>
            <w:r>
              <w:t xml:space="preserve"> aangegeven.</w:t>
            </w:r>
          </w:p>
          <w:p w:rsidR="0079044B" w:rsidRPr="005C6334" w:rsidRDefault="0079044B" w:rsidP="00100845">
            <w:pPr>
              <w:pStyle w:val="Lgendestandard"/>
              <w:rPr>
                <w:szCs w:val="24"/>
              </w:rPr>
            </w:pPr>
          </w:p>
          <w:p w:rsidR="0079044B" w:rsidRPr="005C6334" w:rsidRDefault="00F61E6E" w:rsidP="00100845">
            <w:pPr>
              <w:pStyle w:val="Lgendestandard"/>
              <w:rPr>
                <w:szCs w:val="24"/>
              </w:rPr>
            </w:pPr>
            <w:r>
              <w:t>In de eerste en tweede regel van de koptekst boven elk amendement wordt verwezen naar het tekstdeel in kwestie van de ontwerphandeling.</w:t>
            </w:r>
          </w:p>
          <w:p w:rsidR="0079044B" w:rsidRPr="005C6334" w:rsidRDefault="00F61E6E" w:rsidP="00100845">
            <w:pPr>
              <w:pStyle w:val="Lgendestandard"/>
              <w:rPr>
                <w:szCs w:val="24"/>
              </w:rPr>
            </w:pPr>
            <w:r>
              <w:t>Indien een amendement betrekking heeft op een bestaande handeling, waarop in de ontwerphandelin</w:t>
            </w:r>
            <w:r>
              <w:t>g wijzigingen worden voorgesteld, bevat de koptekst bovendien een derde en vierde regel, die verwijzen naar de bestaande handeling respectievelijk naar de bepaling in kwestie.</w:t>
            </w:r>
          </w:p>
          <w:p w:rsidR="0079044B" w:rsidRPr="005C6334" w:rsidRDefault="0079044B" w:rsidP="00100845">
            <w:pPr>
              <w:pStyle w:val="Lgendestandard"/>
              <w:rPr>
                <w:szCs w:val="24"/>
              </w:rPr>
            </w:pPr>
          </w:p>
          <w:p w:rsidR="0079044B" w:rsidRPr="005C6334" w:rsidRDefault="00F61E6E" w:rsidP="00100845">
            <w:pPr>
              <w:pStyle w:val="Lgendestandard"/>
              <w:rPr>
                <w:szCs w:val="24"/>
              </w:rPr>
            </w:pPr>
            <w:r>
              <w:rPr>
                <w:b/>
              </w:rPr>
              <w:t>Amendementen van het Parlement in de vorm van een geconsolideerde tekst</w:t>
            </w:r>
          </w:p>
          <w:p w:rsidR="0079044B" w:rsidRPr="005C6334" w:rsidRDefault="0079044B" w:rsidP="00100845">
            <w:pPr>
              <w:pStyle w:val="Lgendestandard"/>
              <w:rPr>
                <w:szCs w:val="24"/>
              </w:rPr>
            </w:pPr>
          </w:p>
          <w:p w:rsidR="0079044B" w:rsidRPr="005C6334" w:rsidRDefault="00F61E6E" w:rsidP="00100845">
            <w:pPr>
              <w:pStyle w:val="Lgendestandard"/>
              <w:rPr>
                <w:szCs w:val="24"/>
              </w:rPr>
            </w:pPr>
            <w:r>
              <w:t>Nieuwe</w:t>
            </w:r>
            <w:r>
              <w:t xml:space="preserve"> tekstdelen worden in </w:t>
            </w:r>
            <w:r>
              <w:rPr>
                <w:b/>
                <w:i/>
              </w:rPr>
              <w:t>vet cursief</w:t>
            </w:r>
            <w:r>
              <w:t xml:space="preserve"> aangegeven. Geschrapte tekstdelen worden aangegeven met het symbool ▌of worden doorgestreept. Waar tekstdelen vervangen worden, wordt de nieuwe tekst in </w:t>
            </w:r>
            <w:r>
              <w:rPr>
                <w:b/>
                <w:i/>
              </w:rPr>
              <w:t>vet cursief</w:t>
            </w:r>
            <w:r>
              <w:t xml:space="preserve"> aangegeven, terwijl de vervangen tekst wordt geschrapt of</w:t>
            </w:r>
            <w:r>
              <w:t xml:space="preserve"> doorgestreept.</w:t>
            </w:r>
          </w:p>
          <w:p w:rsidR="0079044B" w:rsidRPr="005C6334" w:rsidRDefault="00F61E6E" w:rsidP="00100845">
            <w:pPr>
              <w:pStyle w:val="Lgendestandard"/>
            </w:pPr>
            <w:r>
              <w:t>Bij wijze van uitzondering worden zuiver technische wijzigingen die de diensten aanbrengen met het oog op de opstelling van de definitieve tekst, niet gemarkeerd.</w:t>
            </w:r>
          </w:p>
          <w:p w:rsidR="0079044B" w:rsidRPr="005C6334" w:rsidRDefault="0079044B" w:rsidP="00100845">
            <w:pPr>
              <w:pStyle w:val="Lgendestandard"/>
            </w:pPr>
          </w:p>
        </w:tc>
      </w:tr>
    </w:tbl>
    <w:p w:rsidR="0079044B" w:rsidRPr="005C6334" w:rsidRDefault="0079044B" w:rsidP="00100845"/>
    <w:p w:rsidR="00ED0821" w:rsidRPr="005C6334" w:rsidRDefault="00ED0821" w:rsidP="005A3CE4">
      <w:pPr>
        <w:widowControl/>
        <w:tabs>
          <w:tab w:val="center" w:pos="4677"/>
        </w:tabs>
      </w:pPr>
    </w:p>
    <w:p w:rsidR="00ED0821" w:rsidRPr="005C6334" w:rsidRDefault="00F61E6E">
      <w:pPr>
        <w:pStyle w:val="TOCHeading"/>
      </w:pPr>
      <w:r>
        <w:br w:type="page"/>
      </w:r>
      <w:r>
        <w:lastRenderedPageBreak/>
        <w:t>INHOUD</w:t>
      </w:r>
    </w:p>
    <w:p w:rsidR="00ED0821" w:rsidRPr="005C6334" w:rsidRDefault="00F61E6E">
      <w:pPr>
        <w:pStyle w:val="TOCPage"/>
      </w:pPr>
      <w:r>
        <w:t>Blz.</w:t>
      </w:r>
    </w:p>
    <w:p w:rsidR="00F61E6E" w:rsidRDefault="00F61E6E">
      <w:pPr>
        <w:pStyle w:val="TOC1"/>
        <w:tabs>
          <w:tab w:val="right" w:leader="dot" w:pos="9060"/>
        </w:tabs>
        <w:rPr>
          <w:rFonts w:asciiTheme="minorHAnsi" w:eastAsiaTheme="minorEastAsia" w:hAnsiTheme="minorHAnsi" w:cstheme="minorBidi"/>
          <w:noProof/>
          <w:sz w:val="22"/>
          <w:szCs w:val="22"/>
          <w:lang w:val="en-GB"/>
        </w:rPr>
      </w:pPr>
      <w:r w:rsidRPr="005C6334">
        <w:fldChar w:fldCharType="begin"/>
      </w:r>
      <w:r w:rsidRPr="005C6334">
        <w:instrText xml:space="preserve"> TOC \t "PageHeading</w:instrText>
      </w:r>
      <w:r w:rsidR="0079044B" w:rsidRPr="005C6334">
        <w:instrText>;</w:instrText>
      </w:r>
      <w:r w:rsidRPr="005C6334">
        <w:instrText xml:space="preserve">1" </w:instrText>
      </w:r>
      <w:r w:rsidRPr="005C6334">
        <w:fldChar w:fldCharType="separate"/>
      </w:r>
      <w:r>
        <w:rPr>
          <w:noProof/>
        </w:rPr>
        <w:t>ONTWERPWETGEVINGSRESOLUTIE VAN HET EUROPEES PARLEMENT</w:t>
      </w:r>
      <w:r>
        <w:rPr>
          <w:noProof/>
        </w:rPr>
        <w:tab/>
      </w:r>
      <w:r>
        <w:rPr>
          <w:noProof/>
        </w:rPr>
        <w:fldChar w:fldCharType="begin"/>
      </w:r>
      <w:r>
        <w:rPr>
          <w:noProof/>
        </w:rPr>
        <w:instrText xml:space="preserve"> PAGEREF _Toc166504978 \h </w:instrText>
      </w:r>
      <w:r>
        <w:rPr>
          <w:noProof/>
        </w:rPr>
      </w:r>
      <w:r>
        <w:rPr>
          <w:noProof/>
        </w:rPr>
        <w:fldChar w:fldCharType="separate"/>
      </w:r>
      <w:r>
        <w:rPr>
          <w:noProof/>
        </w:rPr>
        <w:t>5</w:t>
      </w:r>
      <w:r>
        <w:rPr>
          <w:noProof/>
        </w:rPr>
        <w:fldChar w:fldCharType="end"/>
      </w:r>
    </w:p>
    <w:p w:rsidR="00F61E6E" w:rsidRDefault="00F61E6E">
      <w:pPr>
        <w:pStyle w:val="TOC1"/>
        <w:tabs>
          <w:tab w:val="right" w:leader="dot" w:pos="9060"/>
        </w:tabs>
        <w:rPr>
          <w:rFonts w:asciiTheme="minorHAnsi" w:eastAsiaTheme="minorEastAsia" w:hAnsiTheme="minorHAnsi" w:cstheme="minorBidi"/>
          <w:noProof/>
          <w:sz w:val="22"/>
          <w:szCs w:val="22"/>
          <w:lang w:val="en-GB"/>
        </w:rPr>
      </w:pPr>
      <w:r>
        <w:rPr>
          <w:noProof/>
        </w:rPr>
        <w:t>TOELICHTING</w:t>
      </w:r>
      <w:r>
        <w:rPr>
          <w:noProof/>
        </w:rPr>
        <w:tab/>
      </w:r>
      <w:r>
        <w:rPr>
          <w:noProof/>
        </w:rPr>
        <w:fldChar w:fldCharType="begin"/>
      </w:r>
      <w:r>
        <w:rPr>
          <w:noProof/>
        </w:rPr>
        <w:instrText xml:space="preserve"> PAGEREF _Toc166504979 \h </w:instrText>
      </w:r>
      <w:r>
        <w:rPr>
          <w:noProof/>
        </w:rPr>
      </w:r>
      <w:r>
        <w:rPr>
          <w:noProof/>
        </w:rPr>
        <w:fldChar w:fldCharType="separate"/>
      </w:r>
      <w:r>
        <w:rPr>
          <w:noProof/>
        </w:rPr>
        <w:t>37</w:t>
      </w:r>
      <w:r>
        <w:rPr>
          <w:noProof/>
        </w:rPr>
        <w:fldChar w:fldCharType="end"/>
      </w:r>
    </w:p>
    <w:p w:rsidR="00ED0821" w:rsidRPr="005C6334" w:rsidRDefault="00F61E6E" w:rsidP="00647272">
      <w:r w:rsidRPr="005C6334">
        <w:fldChar w:fldCharType="end"/>
      </w:r>
    </w:p>
    <w:p w:rsidR="00ED0821" w:rsidRPr="005C6334" w:rsidRDefault="00F61E6E" w:rsidP="00647272">
      <w:pPr>
        <w:pStyle w:val="PageHeading"/>
      </w:pPr>
      <w:r>
        <w:br w:type="page"/>
      </w:r>
      <w:r>
        <w:lastRenderedPageBreak/>
        <w:br w:type="page"/>
      </w:r>
      <w:bookmarkStart w:id="0" w:name="_Toc166504978"/>
      <w:r>
        <w:lastRenderedPageBreak/>
        <w:t xml:space="preserve">ONTWERPWETGEVINGSRESOLUTIE </w:t>
      </w:r>
      <w:r>
        <w:t>VAN HET EUROPEES PARLEMENT</w:t>
      </w:r>
      <w:bookmarkEnd w:id="0"/>
    </w:p>
    <w:p w:rsidR="00ED0821" w:rsidRPr="005C6334" w:rsidRDefault="00F61E6E" w:rsidP="00644956">
      <w:pPr>
        <w:pStyle w:val="NormalBold"/>
      </w:pPr>
      <w:r>
        <w:t>over het voorstel voor een richtlijn van het Europees Parlement en de Raad ter bestrijding van seksueel misbruik en seksuele uitbuiting van kinderen en van materiaal van seksueel misbruik van kinderen, en ter vervanging van Kader</w:t>
      </w:r>
      <w:r>
        <w:t>besluit 2004/68/JBZ van de Raad (herschikking)</w:t>
      </w:r>
    </w:p>
    <w:p w:rsidR="00ED0821" w:rsidRPr="005C6334" w:rsidRDefault="00F61E6E">
      <w:pPr>
        <w:pStyle w:val="NormalBold12a"/>
      </w:pPr>
      <w:r>
        <w:t>(COM(2024)0060 – C9</w:t>
      </w:r>
      <w:r>
        <w:noBreakHyphen/>
        <w:t>0028/2024 – 2024/0035(COD))</w:t>
      </w:r>
    </w:p>
    <w:p w:rsidR="00ED0821" w:rsidRPr="005C6334" w:rsidRDefault="00F61E6E" w:rsidP="00BE2C7F">
      <w:pPr>
        <w:pStyle w:val="NormalBold"/>
      </w:pPr>
      <w:r>
        <w:t>(Gewone wetgevingsprocedure – herschikking)</w:t>
      </w:r>
    </w:p>
    <w:p w:rsidR="00ED0821" w:rsidRPr="005C6334" w:rsidRDefault="00F61E6E" w:rsidP="00BE2C7F">
      <w:pPr>
        <w:pStyle w:val="EPComma"/>
      </w:pPr>
      <w:r>
        <w:rPr>
          <w:i/>
        </w:rPr>
        <w:t>Het Europees Parlement</w:t>
      </w:r>
      <w:r>
        <w:t>,</w:t>
      </w:r>
    </w:p>
    <w:p w:rsidR="00ED0821" w:rsidRPr="005C6334" w:rsidRDefault="00F61E6E">
      <w:pPr>
        <w:pStyle w:val="NormalHanging12a"/>
      </w:pPr>
      <w:r>
        <w:t>–</w:t>
      </w:r>
      <w:r>
        <w:tab/>
        <w:t>gezien het voorstel van de Commissie aan het Europees Parlement en de Raad (COM(2024)0060),</w:t>
      </w:r>
    </w:p>
    <w:p w:rsidR="00ED0821" w:rsidRPr="005C6334" w:rsidRDefault="00F61E6E">
      <w:pPr>
        <w:pStyle w:val="NormalHanging12a"/>
      </w:pPr>
      <w:r>
        <w:t>–</w:t>
      </w:r>
      <w:r>
        <w:tab/>
        <w:t>gezien artikel 294, lid 2, en de artikelen 82, lid 2, en 83, lid 1, van het Verdrag betreffende de werking van de Europese Unie, op grond waarvan het voorstel door de Commissie bij het Parlement is ingediend (C9</w:t>
      </w:r>
      <w:r>
        <w:noBreakHyphen/>
        <w:t>0028/2024),</w:t>
      </w:r>
    </w:p>
    <w:p w:rsidR="004C201D" w:rsidRPr="005C6334" w:rsidRDefault="00F61E6E" w:rsidP="004C201D">
      <w:pPr>
        <w:pStyle w:val="NormalHanging12a"/>
      </w:pPr>
      <w:r>
        <w:t>–</w:t>
      </w:r>
      <w:r>
        <w:tab/>
        <w:t>gezien het advies van de Co</w:t>
      </w:r>
      <w:r>
        <w:t>mmissie juridische zaken inzake de voorgestelde rechtsgrond</w:t>
      </w:r>
      <w:r>
        <w:rPr>
          <w:rStyle w:val="FootnoteReference"/>
        </w:rPr>
        <w:footnoteReference w:id="1"/>
      </w:r>
      <w:r>
        <w:t>,</w:t>
      </w:r>
    </w:p>
    <w:p w:rsidR="004C201D" w:rsidRPr="005C6334" w:rsidRDefault="00F61E6E" w:rsidP="004C201D">
      <w:pPr>
        <w:pStyle w:val="NormalHanging12a"/>
      </w:pPr>
      <w:r>
        <w:t>–</w:t>
      </w:r>
      <w:r>
        <w:tab/>
        <w:t>gezien artikel 294, lid 3, van het Verdrag betreffende de werking van de Europese Unie,</w:t>
      </w:r>
    </w:p>
    <w:p w:rsidR="00BD28D4" w:rsidRPr="005C6334" w:rsidRDefault="00F61E6E" w:rsidP="007D4D20">
      <w:pPr>
        <w:pStyle w:val="NormalHanging12a"/>
      </w:pPr>
      <w:r>
        <w:t>–</w:t>
      </w:r>
      <w:r>
        <w:tab/>
        <w:t>gezien het i</w:t>
      </w:r>
      <w:r>
        <w:t>nterinstitutioneel akkoord van 28 november 2001 over een systematischer gebruik van de her</w:t>
      </w:r>
      <w:r>
        <w:t>schikking van besluiten</w:t>
      </w:r>
      <w:r>
        <w:rPr>
          <w:rStyle w:val="FootnoteReference"/>
        </w:rPr>
        <w:footnoteReference w:id="2"/>
      </w:r>
      <w:r>
        <w:t>,</w:t>
      </w:r>
    </w:p>
    <w:p w:rsidR="00A2287D" w:rsidRPr="005C6334" w:rsidRDefault="00F61E6E" w:rsidP="00A2287D">
      <w:pPr>
        <w:pStyle w:val="NormalHanging12a"/>
      </w:pPr>
      <w:r>
        <w:t>–</w:t>
      </w:r>
      <w:r>
        <w:tab/>
        <w:t>gezien de brief van ... van de Commissie juridische zaken aan de Commissie burgerlijke vrijheden, justitie en binnenlandse zaken overeenkomstig artikel 110, lid 3, van zijn Reglement,</w:t>
      </w:r>
    </w:p>
    <w:p w:rsidR="005C6334" w:rsidRPr="005C6334" w:rsidRDefault="00F61E6E" w:rsidP="005C6334">
      <w:pPr>
        <w:pStyle w:val="NormalHanging12a"/>
      </w:pPr>
      <w:r>
        <w:t>–</w:t>
      </w:r>
      <w:r>
        <w:tab/>
        <w:t>gezien de brief van ... van de Commissie j</w:t>
      </w:r>
      <w:r>
        <w:t>uridische zaken aan zijn Voorzitter overeenkomstig artikel 110, lid 4, van zijn Reglement,</w:t>
      </w:r>
    </w:p>
    <w:p w:rsidR="005C6334" w:rsidRPr="005C6334" w:rsidRDefault="00F61E6E" w:rsidP="005C6334">
      <w:pPr>
        <w:pStyle w:val="NormalHanging12a"/>
        <w:rPr>
          <w:szCs w:val="24"/>
          <w:shd w:val="pct15" w:color="auto" w:fill="FFFFFF"/>
        </w:rPr>
      </w:pPr>
      <w:r>
        <w:t>–</w:t>
      </w:r>
      <w:r>
        <w:rPr>
          <w:b/>
        </w:rPr>
        <w:tab/>
      </w:r>
      <w:r>
        <w:t>gezien de brief van ... waarin de voorzitter van de Commissie meedeelt dat de Commissie haar voorstel niet intrekt,</w:t>
      </w:r>
    </w:p>
    <w:p w:rsidR="00ED0821" w:rsidRPr="005C6334" w:rsidRDefault="00F61E6E">
      <w:pPr>
        <w:pStyle w:val="NormalHanging12a"/>
      </w:pPr>
      <w:r>
        <w:t>–</w:t>
      </w:r>
      <w:r>
        <w:tab/>
        <w:t>gezien de artikelen 110, 59 en 40 van zijn Re</w:t>
      </w:r>
      <w:r>
        <w:t>glement,</w:t>
      </w:r>
    </w:p>
    <w:p w:rsidR="00021008" w:rsidRPr="005C6334" w:rsidRDefault="00F61E6E" w:rsidP="00021008">
      <w:pPr>
        <w:pStyle w:val="NormalHanging12a"/>
      </w:pPr>
      <w:r>
        <w:t>–</w:t>
      </w:r>
      <w:r>
        <w:tab/>
        <w:t>gezien het verslag van de Commissie burgerlijke vrijheden, justitie en binnenlandse zaken (A9</w:t>
      </w:r>
      <w:r>
        <w:noBreakHyphen/>
        <w:t>0000/2024),</w:t>
      </w:r>
    </w:p>
    <w:p w:rsidR="0056430C" w:rsidRPr="005C6334" w:rsidRDefault="00F61E6E" w:rsidP="00DC2F51">
      <w:pPr>
        <w:pStyle w:val="NormalHanging12a"/>
      </w:pPr>
      <w:r>
        <w:t>A.</w:t>
      </w:r>
      <w:r>
        <w:tab/>
        <w:t>overwegende dat het voorstel van de Commissie volgens de adviesgroep van de juridische diensten van het Europees Parlement, de Raad en d</w:t>
      </w:r>
      <w:r>
        <w:t xml:space="preserve">e Commissie geen andere inhoudelijke wijzigingen bevat dan die welke als zodanig in het voorstel worden vermeld en dat met betrekking tot de codificatie van de ongewijzigde bepalingen van de </w:t>
      </w:r>
      <w:r>
        <w:lastRenderedPageBreak/>
        <w:t xml:space="preserve">eerdere handelingen met die wijzigingen kan worden geconstateerd </w:t>
      </w:r>
      <w:r>
        <w:t>dat het voorstel louter een codificatie van de bestaande handelingen behelst, zonder inhoudelijke wijzigingen;</w:t>
      </w:r>
    </w:p>
    <w:p w:rsidR="00ED0821" w:rsidRPr="005C6334" w:rsidRDefault="00F61E6E">
      <w:pPr>
        <w:pStyle w:val="NormalHanging12a"/>
      </w:pPr>
      <w:r>
        <w:t>1.</w:t>
      </w:r>
      <w:r>
        <w:tab/>
        <w:t>stelt onderstaand standpunt in eerste lezing vast, rekening houdend met de aanbevelingen van de adviesgroep van de juridische diensten van het</w:t>
      </w:r>
      <w:r>
        <w:t xml:space="preserve"> Europees Parlement, de Raad en de Commissie;</w:t>
      </w:r>
    </w:p>
    <w:p w:rsidR="004A6A43" w:rsidRPr="005C6334" w:rsidRDefault="00F61E6E" w:rsidP="00C53053">
      <w:pPr>
        <w:pStyle w:val="NormalHanging12a"/>
      </w:pPr>
      <w:r>
        <w:t>2.</w:t>
      </w:r>
      <w:r>
        <w:tab/>
        <w:t>verzoekt de Commissie om hernieuwde voorlegging aan het Parlement indien zij haar voorstel vervangt, ingrijpend wijzigt of voornemens is het ingrijpend te wijzigen;</w:t>
      </w:r>
    </w:p>
    <w:p w:rsidR="00C5218D" w:rsidRPr="005C6334" w:rsidRDefault="00F61E6E" w:rsidP="004A6A43">
      <w:pPr>
        <w:pStyle w:val="NormalHanging12a"/>
      </w:pPr>
      <w:r>
        <w:t>3.</w:t>
      </w:r>
      <w:r>
        <w:tab/>
        <w:t xml:space="preserve">verzoekt zijn Voorzitter het standpunt </w:t>
      </w:r>
      <w:r>
        <w:t>van het Parlement te doen toekomen aan de Raad en de Commissie, alsmede aan de nationale parlementen.</w:t>
      </w:r>
    </w:p>
    <w:p w:rsidR="005C6334" w:rsidRPr="005C6334" w:rsidRDefault="00F61E6E" w:rsidP="005C6334">
      <w:pPr>
        <w:pStyle w:val="AMNumberTabs0"/>
        <w:keepNext/>
      </w:pPr>
      <w:r>
        <w:rPr>
          <w:rStyle w:val="HideTWBExt"/>
        </w:rPr>
        <w:t>&lt;RepeatBlock-Amend&gt;&lt;Amend&gt;</w:t>
      </w:r>
      <w:r>
        <w:t>Amendement</w:t>
      </w:r>
      <w:r>
        <w:tab/>
      </w:r>
      <w:r>
        <w:tab/>
      </w:r>
      <w:r>
        <w:rPr>
          <w:rStyle w:val="HideTWBExt"/>
        </w:rPr>
        <w:t>&lt;NumAm&gt;</w:t>
      </w:r>
      <w:r>
        <w:t>1</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Overweging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 xml:space="preserve">Door de </w:t>
            </w:r>
            <w:r>
              <w:t>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(10)</w:t>
            </w:r>
            <w:r>
              <w:tab/>
              <w:t>Materiaal van seksueel misbruik van kinderen bevat vaak beeldopnamen van seksueel misbruik van kinderen door volwassenen. Dat materiaal kan tevens afbeeldingen omvatten van kinderen die betrokken zijn bij expli</w:t>
            </w:r>
            <w:r>
              <w:t>ciete seksuele gedragingen of van hun geslachtsorganen, waarbij dergelijke afbeeldingen worden vervaardigd of gebruikt voor primair seksuele doeleinden en, met of zonder medeweten van het kind, worden geëxploiteerd. Voorts heeft het concept van</w:t>
            </w:r>
            <w:r>
              <w:rPr>
                <w:b/>
                <w:i/>
              </w:rPr>
              <w:t xml:space="preserve"> </w:t>
            </w:r>
            <w:r>
              <w:t>materiaal v</w:t>
            </w:r>
            <w:r>
              <w:t xml:space="preserve">an seksueel misbruik van kinderen ook betrekking op realistische afbeeldingen van een kind dat deelneemt of wordt afgebeeld alsof het deelneemt aan expliciete seksuele gedragingen, voor primair seksuele doeleinden, en op </w:t>
            </w:r>
            <w:r>
              <w:rPr>
                <w:b/>
                <w:i/>
              </w:rPr>
              <w:t>zogenaamde “handboeken</w:t>
            </w:r>
            <w:r>
              <w:t xml:space="preserve"> voor </w:t>
            </w:r>
            <w:r>
              <w:rPr>
                <w:b/>
                <w:i/>
              </w:rPr>
              <w:t>pedofie</w:t>
            </w:r>
            <w:r>
              <w:rPr>
                <w:b/>
                <w:i/>
              </w:rPr>
              <w:t>len”</w:t>
            </w:r>
            <w:r>
              <w:t>.</w:t>
            </w:r>
          </w:p>
        </w:tc>
        <w:tc>
          <w:tcPr>
            <w:tcW w:w="4876" w:type="dxa"/>
            <w:hideMark/>
          </w:tcPr>
          <w:p w:rsidR="005C6334" w:rsidRPr="005C6334" w:rsidRDefault="00F61E6E" w:rsidP="00100845">
            <w:pPr>
              <w:pStyle w:val="Normal6"/>
              <w:rPr>
                <w:szCs w:val="24"/>
              </w:rPr>
            </w:pPr>
            <w:r>
              <w:t>(10)</w:t>
            </w:r>
            <w:r>
              <w:tab/>
              <w:t>Materiaal van seksueel misbruik van kinderen bevat vaak beeldopnamen van seksueel misbruik van kinderen door volwassenen. Dat materiaal kan tevens afbeeldingen omvatten van kinderen die betrokken zijn bij expliciete seksuele gedragingen of van h</w:t>
            </w:r>
            <w:r>
              <w:t>un geslachtsorganen, waarbij dergelijke afbeeldingen worden vervaardigd of gebruikt voor primair seksuele doeleinden en, met of zonder medeweten van het kind, worden geëxploiteerd. Voorts heeft het concept van</w:t>
            </w:r>
            <w:r>
              <w:rPr>
                <w:b/>
                <w:i/>
              </w:rPr>
              <w:t> </w:t>
            </w:r>
            <w:r>
              <w:t>materiaal van seksueel misbruik van kinderen o</w:t>
            </w:r>
            <w:r>
              <w:t xml:space="preserve">ok betrekking op realistische afbeeldingen van een kind dat deelneemt of wordt afgebeeld alsof het deelneemt aan expliciete seksuele gedragingen, voor primair seksuele doeleinden, en op </w:t>
            </w:r>
            <w:r>
              <w:rPr>
                <w:b/>
                <w:i/>
              </w:rPr>
              <w:t>handboeken die bedoeld zijn</w:t>
            </w:r>
            <w:r>
              <w:t xml:space="preserve"> voor </w:t>
            </w:r>
            <w:r>
              <w:rPr>
                <w:b/>
                <w:i/>
              </w:rPr>
              <w:t>het verstrekken van advies, leidraden</w:t>
            </w:r>
            <w:r>
              <w:rPr>
                <w:b/>
                <w:i/>
              </w:rPr>
              <w:t xml:space="preserve"> of instructies voor seksueel misbruik van kinderen, seksuele uitbuiting van kinderen of het benaderen van kinderen. Om een efficiëntere uitvoering van deze richtlijn te bevorderen, moeten de lidstaten de in hun nationale wetgeving gebruikte formuleringen </w:t>
            </w:r>
            <w:r>
              <w:rPr>
                <w:b/>
                <w:i/>
              </w:rPr>
              <w:t xml:space="preserve">harmoniseren en moderniseren teneinde deze in </w:t>
            </w:r>
            <w:r>
              <w:rPr>
                <w:b/>
                <w:i/>
              </w:rPr>
              <w:lastRenderedPageBreak/>
              <w:t>overeenstemming te brengen met de formuleringen die in deze richtlijn worden gebruikt. Een eerste, cruciale stap in die richting is de vervanging van de term “kinderpornografie” door “materiaal van seksueel mis</w:t>
            </w:r>
            <w:r>
              <w:rPr>
                <w:b/>
                <w:i/>
              </w:rPr>
              <w:t>bruik van kinderen”</w:t>
            </w:r>
            <w:r>
              <w:t>.</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2</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Overweging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(11)</w:t>
            </w:r>
            <w:r>
              <w:tab/>
              <w:t xml:space="preserve">Uit onderzoek is </w:t>
            </w:r>
            <w:r>
              <w:t>gebleken dat het beperken van de verspreiding van materiaal van seksueel misbruik van kinderen niet alleen van cruciaal belang is om revictimisatie als gevolg van de circulatie van beelden en video’s van het misbruik te voorkomen, maar ook dat dit een bela</w:t>
            </w:r>
            <w:r>
              <w:t>ngrijke vorm van dadergerichte preventie is, aangezien toegang tot materiaal van seksueel misbruik van kinderen vaak de eerste stap is richting hands-on misbruik, ongeacht of dat materiaal echte of louter realistische misbruik- en uitbuitingssituaties weer</w:t>
            </w:r>
            <w:r>
              <w:t>geeft. Als gevolg van de voortdurende ontwikkeling van artificiële intelligentie-toepassingen, die realistische beelden kunnen genereren die niet te onderscheiden zijn van echte beelden, zal het aantal zogenaamde “deepfake”-beelden en -video’s van seksueel</w:t>
            </w:r>
            <w:r>
              <w:t xml:space="preserve"> misbruik van kinderen de komende jaren naar verwachting exponentieel toenemen. Bovendien worden de ontwikkelingen op het gebied van aangevulde, uitgebreide en virtuele realiteit, waarbij gebruik wordt gemaakt van avatars met sensorische feedback, bijvoorb</w:t>
            </w:r>
            <w:r>
              <w:t xml:space="preserve">eeld via apparaten die een gevoel van aanraking creëren, niet volledig gedekt door de bestaande definitie. De opname van een expliciete </w:t>
            </w:r>
            <w:r>
              <w:lastRenderedPageBreak/>
              <w:t xml:space="preserve">verwijzing naar “reproducties of weergaven” moet ervoor zorgen dat de definitie van materiaal van seksueel misbruik van </w:t>
            </w:r>
            <w:r>
              <w:t>kinderen deze en toekomstige technologische ontwikkelingen op een voldoende technologieneutrale en dus toekomstbestendige wijze bestrijkt.</w:t>
            </w:r>
          </w:p>
        </w:tc>
        <w:tc>
          <w:tcPr>
            <w:tcW w:w="4876" w:type="dxa"/>
            <w:hideMark/>
          </w:tcPr>
          <w:p w:rsidR="005C6334" w:rsidRPr="005C6334" w:rsidRDefault="00F61E6E" w:rsidP="00100845">
            <w:pPr>
              <w:pStyle w:val="Normal6"/>
              <w:rPr>
                <w:szCs w:val="24"/>
              </w:rPr>
            </w:pPr>
            <w:r>
              <w:lastRenderedPageBreak/>
              <w:t>(11)</w:t>
            </w:r>
            <w:r>
              <w:tab/>
              <w:t xml:space="preserve">Uit onderzoek is gebleken dat het beperken van de verspreiding van materiaal van seksueel misbruik van kinderen </w:t>
            </w:r>
            <w:r>
              <w:t>niet alleen van cruciaal belang is om revictimisatie als gevolg van de circulatie van beelden en video’s van het misbruik te voorkomen, maar ook dat dit een belangrijke vorm van dadergerichte preventie is, aangezien toegang tot materiaal van seksueel misbr</w:t>
            </w:r>
            <w:r>
              <w:t xml:space="preserve">uik van kinderen vaak de eerste stap is richting hands-on misbruik, ongeacht of dat materiaal echte of louter realistische misbruik- en uitbuitingssituaties weergeeft. Als gevolg van de voortdurende ontwikkeling van artificiële intelligentie-toepassingen, </w:t>
            </w:r>
            <w:r>
              <w:t xml:space="preserve">die realistische beelden kunnen genereren die niet te onderscheiden zijn van echte beelden, zal het aantal </w:t>
            </w:r>
            <w:r>
              <w:rPr>
                <w:b/>
                <w:i/>
              </w:rPr>
              <w:t xml:space="preserve">door artificiële intelligentie gegenereerde, </w:t>
            </w:r>
            <w:r>
              <w:t>zogenaamde “deepfake”-beelden en -video’s van seksueel misbruik van kinderen de komende jaren naar verwa</w:t>
            </w:r>
            <w:r>
              <w:t>chting exponentieel toenemen. Bovendien worden de ontwikkelingen op het gebied van aangevulde, uitgebreide en virtuele realiteit, waarbij gebruik wordt gemaakt van avatars met sensorische feedback, bijvoorbeeld via apparaten die een gevoel van aanraking cr</w:t>
            </w:r>
            <w:r>
              <w:t xml:space="preserve">eëren, niet volledig gedekt door de bestaande </w:t>
            </w:r>
            <w:r>
              <w:lastRenderedPageBreak/>
              <w:t>definitie. De opname van een expliciete verwijzing naar “reproducties of weergaven” moet ervoor zorgen dat de definitie van materiaal van seksueel misbruik van kinderen deze en toekomstige technologische ontwik</w:t>
            </w:r>
            <w:r>
              <w:t>kelingen op een voldoende technologieneutrale en dus toekomstbestendige wijze bestrijkt.</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3</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Overweging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 xml:space="preserve">Door </w:t>
            </w:r>
            <w:r>
              <w:t>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(12)</w:t>
            </w:r>
            <w:r>
              <w:tab/>
              <w:t xml:space="preserve">Om strafbare feiten in verband met seksueel misbruik van kinderen te voorkomen, moet de definitie van materiaal van seksueel misbruik van kinderen ook </w:t>
            </w:r>
            <w:r>
              <w:rPr>
                <w:b/>
                <w:i/>
              </w:rPr>
              <w:t>zogenaamde “handboeken voor pedofielen”</w:t>
            </w:r>
            <w:r>
              <w:t xml:space="preserve"> omvatten.</w:t>
            </w:r>
            <w:r>
              <w:rPr>
                <w:b/>
                <w:i/>
              </w:rPr>
              <w:t xml:space="preserve"> </w:t>
            </w:r>
            <w:r>
              <w:t>In han</w:t>
            </w:r>
            <w:r>
              <w:t>dboeken</w:t>
            </w:r>
            <w:r>
              <w:rPr>
                <w:b/>
                <w:i/>
              </w:rPr>
              <w:t xml:space="preserve"> voor pedofielen</w:t>
            </w:r>
            <w:r>
              <w:t xml:space="preserve"> wordt advies gegeven over het vinden, groomen en misbruiken van kinderen en over het voorkomen van identificatie en vervolging. Deze handboeken verlagen drempels en bieden toegang tot de nodige knowhow, waardoor ze daders aanmoedige</w:t>
            </w:r>
            <w:r>
              <w:t>n tot en ondersteunen bij het plegen van seksueel misbruik. De online verspreiding ervan heeft er al toe geleid dat sommige lidstaten hun strafrecht hebben aangepast en het bezit en de verspreiding van dergelijke handboeken expliciet strafbaar hebben geste</w:t>
            </w:r>
            <w:r>
              <w:t>ld. Het gebrek aan harmonisatie heeft tot gevolg dat het niveau van bescherming binnen de Unie niet overal gelijk is.</w:t>
            </w:r>
          </w:p>
        </w:tc>
        <w:tc>
          <w:tcPr>
            <w:tcW w:w="4876" w:type="dxa"/>
            <w:hideMark/>
          </w:tcPr>
          <w:p w:rsidR="005C6334" w:rsidRPr="005C6334" w:rsidRDefault="00F61E6E" w:rsidP="00100845">
            <w:pPr>
              <w:pStyle w:val="Normal6"/>
              <w:rPr>
                <w:szCs w:val="24"/>
              </w:rPr>
            </w:pPr>
            <w:r>
              <w:t>(12)</w:t>
            </w:r>
            <w:r>
              <w:tab/>
            </w:r>
            <w:r>
              <w:t xml:space="preserve">Om strafbare feiten in verband met seksueel misbruik van kinderen te voorkomen, moet de definitie van materiaal van seksueel misbruik van kinderen ook </w:t>
            </w:r>
            <w:r>
              <w:rPr>
                <w:b/>
                <w:i/>
              </w:rPr>
              <w:t>handboeken voor seksueel misbruik van kinderen</w:t>
            </w:r>
            <w:r>
              <w:t xml:space="preserve"> omvatten.</w:t>
            </w:r>
            <w:r>
              <w:rPr>
                <w:b/>
                <w:i/>
              </w:rPr>
              <w:t xml:space="preserve"> </w:t>
            </w:r>
            <w:r>
              <w:t>In</w:t>
            </w:r>
            <w:r>
              <w:rPr>
                <w:b/>
                <w:i/>
              </w:rPr>
              <w:t xml:space="preserve"> dergelijke</w:t>
            </w:r>
            <w:r>
              <w:t xml:space="preserve"> handboeken wordt advies gegeven ov</w:t>
            </w:r>
            <w:r>
              <w:t>er het vinden, groomen en misbruiken van kinderen en over het voorkomen van identificatie en vervolging. Deze handboeken verlagen drempels en bieden toegang tot de nodige knowhow, waardoor ze daders aanmoedigen tot en ondersteunen bij het plegen van seksue</w:t>
            </w:r>
            <w:r>
              <w:t>el misbruik. De online verspreiding ervan heeft er al toe geleid dat sommige lidstaten hun strafrecht hebben aangepast en het bezit en de verspreiding van dergelijke handboeken expliciet strafbaar hebben gesteld. Het gebrek aan harmonisatie heeft tot gevol</w:t>
            </w:r>
            <w:r>
              <w:t>g dat het niveau van bescherming binnen de Unie niet overal gelijk is.</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lastRenderedPageBreak/>
        <w:t>&lt;Amend&gt;</w:t>
      </w:r>
      <w:r>
        <w:t>Amendement</w:t>
      </w:r>
      <w:r>
        <w:tab/>
      </w:r>
      <w:r>
        <w:tab/>
      </w:r>
      <w:r>
        <w:rPr>
          <w:rStyle w:val="HideTWBExt"/>
        </w:rPr>
        <w:t>&lt;NumAm&gt;</w:t>
      </w:r>
      <w:r>
        <w:t>4</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Overweging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w:t>
            </w:r>
            <w:r>
              <w:t>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(22)</w:t>
            </w:r>
            <w:r>
              <w:tab/>
              <w:t xml:space="preserve">In het kader van het internet vormt het benaderen van kinderen voor seksuele doeleinden een bedreiging met specifieke kenmerken, aangezien internet de gebruiker een ongekende anonimiteit biedt omdat hij zijn identiteit en </w:t>
            </w:r>
            <w:r>
              <w:t xml:space="preserve">persoonlijke kenmerken, zoals zijn leeftijd, kan verhullen. In het afgelopen decennium heeft het gebruik van informatie- en communicatietechnologieën het voor daders steeds gemakkelijker gemaakt om toegang te krijgen tot kinderen, waarbij het contact vaak </w:t>
            </w:r>
            <w:r>
              <w:t xml:space="preserve">begint met de dader die het kind in compromitterende situaties lokt, bijvoorbeeld door zich voor te doen als een gelijke of met ander bedrieglijk of vleierig gedrag. Deze verhoogde toegang tot kinderen heeft geleid tot een snelle groei van fenomenen zoals </w:t>
            </w:r>
            <w:r>
              <w:rPr>
                <w:b/>
                <w:i/>
              </w:rPr>
              <w:t>“sextortion”</w:t>
            </w:r>
            <w:r>
              <w:t xml:space="preserve"> (d.w.z. het dreigen met het delen van intiem materiaal waarop het slachtoffer wordt weergegeven teneinde geld, materiaal van seksueel misbruik van kinderen of enig ander voordeel te verkrijgen), waarvan zowel seksueel minderjarige als seksueel</w:t>
            </w:r>
            <w:r>
              <w:t xml:space="preserve"> meerderjarige kinderen het slachtoffer zijn. De afgelopen jaren is er sprake van een sterke toename van financieel gemotiveerde </w:t>
            </w:r>
            <w:r>
              <w:rPr>
                <w:b/>
                <w:i/>
              </w:rPr>
              <w:t>sextortion</w:t>
            </w:r>
            <w:r>
              <w:t xml:space="preserve"> door georganiseerde criminele groepen die zich vooral richten op tienerjongens, wat er meerdere malen toe heeft geleid dat kinderen zich van het leven hebben beroofd. Daarom is het van essentieel belang dat al deze fenomenen op passende wijze worden aange</w:t>
            </w:r>
            <w:r>
              <w:t>pakt in de wetgeving van de lidstaten. Tegelijkertijd erkennen de lidstaten dat het van groot belang is de benadering van kinderen voor seksuele doeleinden buiten de context van internet eveneens te bestrijden, in het bijzonder wanneer een dergelijke benad</w:t>
            </w:r>
            <w:r>
              <w:t xml:space="preserve">ering </w:t>
            </w:r>
            <w:r>
              <w:lastRenderedPageBreak/>
              <w:t xml:space="preserve">plaatsvindt zonder gebruik van informatie- en communicatietechnologie. De lidstaten worden aangespoord om gedragingen waarbij de benadering van een kind om de dader te ontmoeten voor seksuele doeleinden plaatsvindt in de aanwezigheid of de nabijheid </w:t>
            </w:r>
            <w:r>
              <w:t>van het kind, strafbaar te stellen, bijvoorbeeld in de vorm van een strafbare voorbereiding van een misdrijf, een poging tot het plegen van de in deze richtlijn bedoelde strafbare feiten of een bijzondere vorm van seksueel misbruik. Ongeacht welke juridisc</w:t>
            </w:r>
            <w:r>
              <w:t>he oplossing wordt gekozen om het offline benaderen van kinderen voor seksuele doeleinden (</w:t>
            </w:r>
            <w:r>
              <w:rPr>
                <w:b/>
                <w:i/>
              </w:rPr>
              <w:t>„</w:t>
            </w:r>
            <w:r>
              <w:t>offline grooming”) strafbaar te stellen, dienen de lidstaten ervoor te zorgen dat de plegers van dergelijke strafbare feiten worden vervolgd.</w:t>
            </w:r>
          </w:p>
        </w:tc>
        <w:tc>
          <w:tcPr>
            <w:tcW w:w="4876" w:type="dxa"/>
            <w:hideMark/>
          </w:tcPr>
          <w:p w:rsidR="005C6334" w:rsidRPr="005C6334" w:rsidRDefault="00F61E6E" w:rsidP="00100845">
            <w:pPr>
              <w:pStyle w:val="Normal6"/>
              <w:rPr>
                <w:szCs w:val="24"/>
              </w:rPr>
            </w:pPr>
            <w:r>
              <w:lastRenderedPageBreak/>
              <w:t>(22)</w:t>
            </w:r>
            <w:r>
              <w:tab/>
              <w:t xml:space="preserve">In het kader van </w:t>
            </w:r>
            <w:r>
              <w:t>het internet vormt het benaderen van kinderen voor seksuele doeleinden een bedreiging met specifieke kenmerken, aangezien internet de gebruiker een ongekende anonimiteit biedt omdat hij zijn identiteit en persoonlijke kenmerken, zoals zijn leeftijd, kan ve</w:t>
            </w:r>
            <w:r>
              <w:t>rhullen. In het afgelopen decennium heeft het gebruik van informatie- en communicatietechnologieën het voor daders steeds gemakkelijker gemaakt om toegang te krijgen tot kinderen, waarbij het contact vaak begint met de dader die het kind in compromitterend</w:t>
            </w:r>
            <w:r>
              <w:t xml:space="preserve">e situaties lokt, bijvoorbeeld door zich voor te doen als een gelijke of met ander bedrieglijk of vleierig gedrag. Deze verhoogde toegang tot kinderen heeft geleid tot een snelle groei van fenomenen zoals </w:t>
            </w:r>
            <w:r>
              <w:rPr>
                <w:b/>
                <w:i/>
              </w:rPr>
              <w:t>“seksuele afpersing”</w:t>
            </w:r>
            <w:r>
              <w:t xml:space="preserve"> (d.w.z. het dreigen met het de</w:t>
            </w:r>
            <w:r>
              <w:t>len van intiem materiaal waarop het slachtoffer wordt weergegeven teneinde geld, materiaal van seksueel misbruik van kinderen of enig ander voordeel te verkrijgen), waarvan zowel seksueel minderjarige als seksueel meerderjarige kinderen het slachtoffer zij</w:t>
            </w:r>
            <w:r>
              <w:t xml:space="preserve">n. De afgelopen jaren is er sprake van een sterke toename van financieel gemotiveerde </w:t>
            </w:r>
            <w:r>
              <w:rPr>
                <w:b/>
                <w:i/>
              </w:rPr>
              <w:t>seksuele afpersing</w:t>
            </w:r>
            <w:r>
              <w:t xml:space="preserve"> door georganiseerde criminele groepen die zich vooral richten op tienerjongens, wat er meerdere malen toe heeft geleid dat kinderen zich van het leven </w:t>
            </w:r>
            <w:r>
              <w:t>hebben beroofd. Daarom is het van essentieel belang dat al deze fenomenen op passende wijze worden aangepakt in de wetgeving van de lidstaten. Tegelijkertijd erkennen de lidstaten dat het van groot belang is de benadering van kinderen voor seksuele doelein</w:t>
            </w:r>
            <w:r>
              <w:t xml:space="preserve">den buiten de context van internet eveneens te bestrijden, in het bijzonder wanneer een dergelijke </w:t>
            </w:r>
            <w:r>
              <w:lastRenderedPageBreak/>
              <w:t>benadering plaatsvindt zonder gebruik van informatie- en communicatietechnologie. De lidstaten worden aangespoord om gedragingen waarbij de benadering van ee</w:t>
            </w:r>
            <w:r>
              <w:t>n kind om de dader te ontmoeten voor seksuele doeleinden plaatsvindt in de aanwezigheid of de nabijheid van het kind, strafbaar te stellen, bijvoorbeeld in de vorm van een strafbare voorbereiding van een misdrijf, een poging tot het plegen van de in deze r</w:t>
            </w:r>
            <w:r>
              <w:t>ichtlijn bedoelde strafbare feiten of een bijzondere vorm van seksueel misbruik. Ongeacht welke juridische oplossing wordt gekozen om het offline benaderen van kinderen voor seksuele doeleinden (</w:t>
            </w:r>
            <w:r>
              <w:rPr>
                <w:b/>
                <w:i/>
              </w:rPr>
              <w:t>“</w:t>
            </w:r>
            <w:r>
              <w:t>offline grooming”) strafbaar te stellen, dienen de lidstaten</w:t>
            </w:r>
            <w:r>
              <w:t xml:space="preserve"> ervoor te zorgen dat de plegers van dergelijke strafbare feiten worden vervolgd.</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5</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Overweging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 xml:space="preserve">Door de </w:t>
            </w:r>
            <w:r>
              <w:t>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(24)</w:t>
            </w:r>
            <w:r>
              <w:tab/>
              <w:t>Deze richtlijn is niet van toepassing op het beleid van de lidstaten betreffende seksuele handelingen met onderlinge instemming waarbij kinderen betrokken kunnen zijn en die kunnen worden beschouwd als uiting v</w:t>
            </w:r>
            <w:r>
              <w:t>an de normale ontdekking van de seksualiteit in het kader van de persoonlijke ontwikkeling, waarbij rekening wordt gehouden met verschillende culturele en juridische tradities en met nieuwe vormen van het aanknopen en onderhouden van betrekkingen tussen ki</w:t>
            </w:r>
            <w:r>
              <w:t xml:space="preserve">nderen en adolescenten, onder meer via informatie- en communicatietechnologie. Lidstaten die gebruikmaken van de in deze richtlijn geboden mogelijkheden, zullen dit doen in het kader van de uitoefening van hun </w:t>
            </w:r>
            <w:r>
              <w:lastRenderedPageBreak/>
              <w:t xml:space="preserve">bevoegdheden. Meer in het bijzonder moeten de </w:t>
            </w:r>
            <w:r>
              <w:t>lidstaten de mogelijkheid hebben om consensuele seksuele handelingen waarbij uitsluitend seksueel meerderjarige kinderen betrokken zijn en consensuele seksuele handelingen waarbij gelijken betrokken zijn, uit te sluiten van strafbaarstelling. De wijziginge</w:t>
            </w:r>
            <w:r>
              <w:t>n van het betrokken artikel hebben tot doel de werkingssfeer van de afwijking te verduidelijken, aangezien sommige lidstaten blijkbaar een te ruime interpretatie hebben gegeven aan de oorspronkelijke formulering (bijvoorbeeld door consensuele handelingen t</w:t>
            </w:r>
            <w:r>
              <w:t>ussen seksueel meerderjarige minderjarigen en volwassenen van om het even welke leeftijd - die zelfs in het geval van een aanzienlijk leeftijdsverschil als “gelijken” worden beschouwd - uit te sluiten van strafbaarstelling).</w:t>
            </w:r>
          </w:p>
        </w:tc>
        <w:tc>
          <w:tcPr>
            <w:tcW w:w="4876" w:type="dxa"/>
            <w:hideMark/>
          </w:tcPr>
          <w:p w:rsidR="005C6334" w:rsidRPr="005C6334" w:rsidRDefault="00F61E6E" w:rsidP="00100845">
            <w:pPr>
              <w:pStyle w:val="Normal6"/>
              <w:rPr>
                <w:szCs w:val="24"/>
              </w:rPr>
            </w:pPr>
            <w:r>
              <w:lastRenderedPageBreak/>
              <w:t>(24)</w:t>
            </w:r>
            <w:r>
              <w:tab/>
              <w:t>Deze richtlijn is niet van</w:t>
            </w:r>
            <w:r>
              <w:t xml:space="preserve"> toepassing op het beleid van de lidstaten betreffende seksuele handelingen met onderlinge instemming waarbij kinderen betrokken kunnen zijn en die kunnen worden beschouwd als uiting van de normale ontdekking van de seksualiteit in het kader van de persoon</w:t>
            </w:r>
            <w:r>
              <w:t>lijke ontwikkeling, waarbij rekening wordt gehouden met verschillende culturele en juridische tradities en met nieuwe vormen van het aanknopen en onderhouden van betrekkingen tussen kinderen en adolescenten, onder meer via informatie- en communicatietechno</w:t>
            </w:r>
            <w:r>
              <w:t xml:space="preserve">logie. Lidstaten die gebruikmaken van de in deze richtlijn geboden mogelijkheden, zullen dit doen in het kader van de uitoefening van hun </w:t>
            </w:r>
            <w:r>
              <w:lastRenderedPageBreak/>
              <w:t>bevoegdheden. Meer in het bijzonder moeten de lidstaten de mogelijkheid hebben om consensuele seksuele handelingen waa</w:t>
            </w:r>
            <w:r>
              <w:t>rbij uitsluitend seksueel meerderjarige kinderen betrokken zijn en consensuele seksuele handelingen waarbij gelijken betrokken zijn, uit te sluiten van strafbaarstelling. De wijzigingen van het betrokken artikel hebben tot doel de werkingssfeer van de afwi</w:t>
            </w:r>
            <w:r>
              <w:t>jking te verduidelijken, aangezien sommige lidstaten blijkbaar een te ruime interpretatie hebben gegeven aan de oorspronkelijke formulering (bijvoorbeeld door consensuele handelingen tussen seksueel meerderjarige minderjarigen en volwassenen van om het eve</w:t>
            </w:r>
            <w:r>
              <w:t>n welke leeftijd - die zelfs in het geval van een aanzienlijk leeftijdsverschil als “gelijken” worden beschouwd - uit te sluiten van strafbaarstelling).</w:t>
            </w:r>
            <w:r>
              <w:rPr>
                <w:b/>
                <w:i/>
              </w:rPr>
              <w:t xml:space="preserve"> De bepalingen met betrekking tot seksuele meerderjarigheid mogen niet zodanig worden uitgelegd dat de s</w:t>
            </w:r>
            <w:r>
              <w:rPr>
                <w:b/>
                <w:i/>
              </w:rPr>
              <w:t>trafbaarstelling van seksueel misbruik en uitbuiting van seksueel meerderjarige kinderen op enigerlei wijze wordt beperkt, aangezien geen enkel kind kan instemmen met seksueel misbruik.</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6</w:t>
      </w:r>
      <w:r>
        <w:rPr>
          <w:rStyle w:val="HideTWBExt"/>
        </w:rPr>
        <w:t>&lt;</w:t>
      </w:r>
      <w:r>
        <w:rPr>
          <w:rStyle w:val="HideTWBExt"/>
        </w:rPr>
        <w: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Overweging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(25)</w:t>
            </w:r>
            <w:r>
              <w:tab/>
              <w:t xml:space="preserve">De lidstaten moeten in hun nationaal recht verzwarende omstandigheden opnemen overeenkomstig de toepasselijke </w:t>
            </w:r>
            <w:r>
              <w:t xml:space="preserve">regels in hun rechtsstelsels inzake verzwarende omstandigheden. Zij dienen ervoor te zorgen dat rechters deze verzwarende omstandigheden bij de veroordeling van daders kunnen laten meewegen, ofschoon rechters niet tot de </w:t>
            </w:r>
            <w:r>
              <w:lastRenderedPageBreak/>
              <w:t>toepassing ervan verplicht zijn. De</w:t>
            </w:r>
            <w:r>
              <w:t xml:space="preserve"> lidstaten hoeven verzwarende omstandigheden niet in hun recht op te nemen wanneer zij, gezien de aard van het specifieke strafbare feit, irrelevant zijn. De relevantie van de diverse in deze richtlijn vastgelegde verzwarende omstandigheden moet op nationa</w:t>
            </w:r>
            <w:r>
              <w:t>al niveau worden beoordeeld voor elk van de in deze richtlijn genoemde strafbare feiten.</w:t>
            </w:r>
          </w:p>
        </w:tc>
        <w:tc>
          <w:tcPr>
            <w:tcW w:w="4876" w:type="dxa"/>
            <w:hideMark/>
          </w:tcPr>
          <w:p w:rsidR="005C6334" w:rsidRPr="005C6334" w:rsidRDefault="00F61E6E" w:rsidP="00100845">
            <w:pPr>
              <w:pStyle w:val="Normal6"/>
              <w:rPr>
                <w:szCs w:val="24"/>
              </w:rPr>
            </w:pPr>
            <w:r>
              <w:lastRenderedPageBreak/>
              <w:t>(25)</w:t>
            </w:r>
            <w:r>
              <w:tab/>
              <w:t>De lidstaten moeten in hun nationaal recht verzwarende omstandigheden opnemen overeenkomstig de toepasselijke regels in hun rechtsstelsels inzake verzwarende omst</w:t>
            </w:r>
            <w:r>
              <w:t>andigheden.</w:t>
            </w:r>
            <w:r>
              <w:rPr>
                <w:b/>
                <w:i/>
              </w:rPr>
              <w:t xml:space="preserve"> </w:t>
            </w:r>
            <w:r>
              <w:rPr>
                <w:b/>
                <w:bCs/>
                <w:i/>
                <w:iCs/>
              </w:rPr>
              <w:t>De leeftijd van het slachtoffer moet als verzwarende omstandigheid in aanmerking worden genomen.</w:t>
            </w:r>
            <w:r>
              <w:t xml:space="preserve"> Zij dienen ervoor te zorgen dat rechters deze </w:t>
            </w:r>
            <w:r>
              <w:lastRenderedPageBreak/>
              <w:t>verzwarende omstandigheden bij de veroordeling van daders kunnen laten meewegen, ofschoon rechters ni</w:t>
            </w:r>
            <w:r>
              <w:t>et tot de toepassing ervan verplicht zijn. De lidstaten hoeven verzwarende omstandigheden niet in hun recht op te nemen wanneer zij, gezien de aard van het specifieke strafbare feit, irrelevant zijn. De relevantie van de diverse in deze richtlijn vastgeleg</w:t>
            </w:r>
            <w:r>
              <w:t>de verzwarende omstandigheden moet op nationaal niveau worden beoordeeld voor elk van de in deze richtlijn genoemde strafbare feiten.</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7</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w:t>
      </w:r>
      <w:r>
        <w:rPr>
          <w:rStyle w:val="HideTWBExt"/>
        </w:rPr>
        <w:t>end&gt;</w:t>
      </w:r>
    </w:p>
    <w:p w:rsidR="005C6334" w:rsidRPr="005C6334" w:rsidRDefault="00F61E6E" w:rsidP="005C6334">
      <w:pPr>
        <w:pStyle w:val="NormalBold"/>
      </w:pPr>
      <w:r>
        <w:rPr>
          <w:rStyle w:val="HideTWBExt"/>
        </w:rPr>
        <w:t>&lt;Article&gt;</w:t>
      </w:r>
      <w:r>
        <w:t>Overweging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(36)</w:t>
            </w:r>
            <w:r>
              <w:tab/>
              <w:t>Bij maatregelen om kindslachtoffers op een alomvattende manier te beschermen moeten de belangen van het kind voorop staan en moet rekening worden gehouden met hun</w:t>
            </w:r>
            <w:r>
              <w:t xml:space="preserve"> behoeften. Voor een doeltreffende bescherming van kinderen is een maatschappijbrede aanpak nodig. Alle relevante autoriteiten en diensten moeten het kind centraal stellen en samenwerken om het te beschermen en te ondersteunen, met inachtneming van de bela</w:t>
            </w:r>
            <w:r>
              <w:t>ngen van het kind. Het “Barnahus”-model, waarbij met medewerking van specialisten uit alle relevante disciplines een kindvriendelijke omgeving wordt gecreëerd, is momenteel het meest geavanceerde voorbeeld van een kindvriendelijke benadering van justitie e</w:t>
            </w:r>
            <w:r>
              <w:t xml:space="preserve">n van het voorkomen van revictimisatie. De desbetreffende bepalingen van deze richtlijn zijn gebaseerd op de beginselen van dat model. Dat model heeft tot doel ervoor te zorgen dat alle kinderen die betrokken zijn bij onderzoeken naar </w:t>
            </w:r>
            <w:r>
              <w:lastRenderedPageBreak/>
              <w:t xml:space="preserve">seksueel misbruik of </w:t>
            </w:r>
            <w:r>
              <w:t>seksuele uitbuiting worden onderworpen aan een kwalitatief hoogwaardige beoordeling in een kindvriendelijke omgeving, passende psychosociale ondersteuning krijgen en een beroep kunnen doen op diensten voor kinderbescherming. Met deze richtlijn wordt beoogd</w:t>
            </w:r>
            <w:r>
              <w:t xml:space="preserve"> ervoor te zorgen dat alle lidstaten deze beginselen in acht nemen, hoewel de lidstaten niet verplicht zijn om het Barnahus-model als zodanig </w:t>
            </w:r>
            <w:r>
              <w:rPr>
                <w:b/>
                <w:i/>
              </w:rPr>
              <w:t>to</w:t>
            </w:r>
            <w:r>
              <w:rPr>
                <w:b/>
                <w:bCs/>
                <w:i/>
                <w:iCs/>
              </w:rPr>
              <w:t>e te</w:t>
            </w:r>
            <w:r>
              <w:t xml:space="preserve"> </w:t>
            </w:r>
            <w:r>
              <w:rPr>
                <w:b/>
                <w:i/>
              </w:rPr>
              <w:t>passen</w:t>
            </w:r>
            <w:r>
              <w:t>. Wanneer het kind medisch moet worden onderzocht ten behoeve van het strafonderzoek, bijvoorbeeld om</w:t>
            </w:r>
            <w:r>
              <w:t xml:space="preserve"> bewijs van misbruik te verzamelen, moet dit medisch onderzoek beperkt blijven tot het strikt noodzakelijke teneinde hertraumatisering zoveel mogelijk te beperken. Deze verplichting mag geen belemmering vormen voor andere medische onderzoeken die nodig zij</w:t>
            </w:r>
            <w:r>
              <w:t>n voor het welzijn van het kind. Kindslachtoffers dienen gemakkelijk toegang te hebben tot een kindvriendelijke justitie en tot rechtsmiddelen en maatregelen voor het oplossen van belangenconflicten in het geval van seksueel misbruik of seksuele uitbuiting</w:t>
            </w:r>
            <w:r>
              <w:t xml:space="preserve"> van een kind in het gezin of de familie. Wanneer in een strafonderzoek of een strafproces een bijzondere vertegenwoordiger voor een kind moet worden aangewezen, kan deze rol ook door een rechtspersoon, een instelling of een autoriteit worden vervuld. Kind</w:t>
            </w:r>
            <w:r>
              <w:t>slachtoffers moeten ook worden beschermd tegen straffen, bijvoorbeeld krachtens de nationale wetgeving inzake prostitutie, wanneer zij hun situatie bij de bevoegde instanties onder de aandacht brengen. Voorts mag de deelname van kindslachtoffers aan een st</w:t>
            </w:r>
            <w:r>
              <w:t>rafprocedure, voor zover mogelijk, geen verdere trauma’s veroorzaken door ondervragingen of oogcontact met daders. Alle bij de procedure betrokken autoriteiten moeten worden opgeleid op het gebied van kindvriendelijke justitie. Een goed begrip van kinderen</w:t>
            </w:r>
            <w:r>
              <w:t xml:space="preserve"> en de manier waarop zij reageren op traumatische ervaringen maakt </w:t>
            </w:r>
            <w:r>
              <w:lastRenderedPageBreak/>
              <w:t>het mogelijk de kwaliteit van de bewijsverzameling te waarborgen en ervoor te zorgen dat het kind zo weinig mogelijk onder druk staat wanneer de noodzakelijke maatregelen worden genomen. Wa</w:t>
            </w:r>
            <w:r>
              <w:t>nneer kindslachtoffers deelnemen aan de strafprocedure, moet de rechter bij het voeren van de procedure ten volle rekening houden met hun leeftijd en maturiteit en ervoor zorgen dat de procedure toegankelijk en begrijpelijk is voor het kind.</w:t>
            </w:r>
          </w:p>
        </w:tc>
        <w:tc>
          <w:tcPr>
            <w:tcW w:w="4876" w:type="dxa"/>
            <w:hideMark/>
          </w:tcPr>
          <w:p w:rsidR="005C6334" w:rsidRPr="005C6334" w:rsidRDefault="00F61E6E" w:rsidP="00100845">
            <w:pPr>
              <w:pStyle w:val="Normal6"/>
              <w:rPr>
                <w:szCs w:val="24"/>
              </w:rPr>
            </w:pPr>
            <w:r>
              <w:lastRenderedPageBreak/>
              <w:t>(36)</w:t>
            </w:r>
            <w:r>
              <w:tab/>
              <w:t>Bij maatr</w:t>
            </w:r>
            <w:r>
              <w:t>egelen om kindslachtoffers op een alomvattende manier te beschermen moeten de belangen van het kind voorop staan en moet rekening worden gehouden met hun behoeften. Voor een doeltreffende bescherming van kinderen is een maatschappijbrede aanpak nodig. Alle</w:t>
            </w:r>
            <w:r>
              <w:t xml:space="preserve"> relevante autoriteiten en diensten moeten het kind centraal stellen en samenwerken om het te beschermen en te ondersteunen, met inachtneming van de belangen van het kind. Het “Barnahus”-model, waarbij met medewerking van specialisten uit alle relevante di</w:t>
            </w:r>
            <w:r>
              <w:t xml:space="preserve">sciplines een kindvriendelijke omgeving wordt gecreëerd, is momenteel het meest geavanceerde voorbeeld van een kindvriendelijke benadering van justitie en van het voorkomen van revictimisatie. De desbetreffende bepalingen van deze richtlijn zijn gebaseerd </w:t>
            </w:r>
            <w:r>
              <w:t xml:space="preserve">op de beginselen van dat model. Dat model heeft tot doel ervoor te zorgen dat alle kinderen die betrokken zijn bij onderzoeken naar </w:t>
            </w:r>
            <w:r>
              <w:lastRenderedPageBreak/>
              <w:t>seksueel misbruik of seksuele uitbuiting worden onderworpen aan een kwalitatief hoogwaardige beoordeling in een kindvriendel</w:t>
            </w:r>
            <w:r>
              <w:t xml:space="preserve">ijke omgeving, passende psychosociale ondersteuning krijgen en een beroep kunnen doen op diensten voor kinderbescherming. Met deze richtlijn wordt beoogd ervoor te zorgen dat alle lidstaten deze beginselen </w:t>
            </w:r>
            <w:r>
              <w:rPr>
                <w:b/>
                <w:i/>
              </w:rPr>
              <w:t xml:space="preserve">die het slachtoffer centraal stellen </w:t>
            </w:r>
            <w:r>
              <w:t>in acht nemen</w:t>
            </w:r>
            <w:r>
              <w:t xml:space="preserve">, hoewel de lidstaten niet verplicht zijn om het Barnahus-model als zodanig </w:t>
            </w:r>
            <w:r>
              <w:rPr>
                <w:b/>
                <w:i/>
              </w:rPr>
              <w:t>in</w:t>
            </w:r>
            <w:r>
              <w:rPr>
                <w:b/>
                <w:bCs/>
                <w:i/>
                <w:iCs/>
              </w:rPr>
              <w:t xml:space="preserve"> te v</w:t>
            </w:r>
            <w:r>
              <w:rPr>
                <w:b/>
                <w:i/>
              </w:rPr>
              <w:t>oeren</w:t>
            </w:r>
            <w:r>
              <w:t>. Wanneer het kind medisch moet worden onderzocht ten behoeve van het strafonderzoek, bijvoorbeeld om bewijs van misbruik te verzamelen, moet dit medisch onderzoek bepe</w:t>
            </w:r>
            <w:r>
              <w:t>rkt blijven tot het strikt noodzakelijke teneinde hertraumatisering zoveel mogelijk te beperken. Deze verplichting mag geen belemmering vormen voor andere medische onderzoeken die nodig zijn voor het welzijn van het kind. Kindslachtoffers dienen gemakkelij</w:t>
            </w:r>
            <w:r>
              <w:t>k toegang te hebben tot een kindvriendelijke justitie en tot rechtsmiddelen en maatregelen voor het oplossen van belangenconflicten in het geval van seksueel misbruik of seksuele uitbuiting van een kind in het gezin of de familie. Wanneer in een strafonder</w:t>
            </w:r>
            <w:r>
              <w:t>zoek of een strafproces een bijzondere vertegenwoordiger voor een kind moet worden aangewezen, kan deze rol ook door een rechtspersoon, een instelling of een autoriteit worden vervuld. Kindslachtoffers moeten ook worden beschermd tegen straffen, bijvoorbee</w:t>
            </w:r>
            <w:r>
              <w:t>ld krachtens de nationale wetgeving inzake prostitutie, wanneer zij hun situatie bij de bevoegde instanties onder de aandacht brengen. Voorts mag de deelname van kindslachtoffers aan een strafprocedure, voor zover mogelijk, geen verdere trauma’s veroorzake</w:t>
            </w:r>
            <w:r>
              <w:t xml:space="preserve">n door ondervragingen of oogcontact met daders. Alle bij de procedure betrokken autoriteiten moeten worden opgeleid op het gebied van kindvriendelijke justitie. Een goed begrip van kinderen en de manier waarop zij </w:t>
            </w:r>
            <w:r>
              <w:lastRenderedPageBreak/>
              <w:t xml:space="preserve">reageren op traumatische ervaringen maakt </w:t>
            </w:r>
            <w:r>
              <w:t>het mogelijk de kwaliteit van de bewijsverzameling te waarborgen en ervoor te zorgen dat het kind zo weinig mogelijk onder druk staat wanneer de noodzakelijke maatregelen worden genomen. Wanneer kindslachtoffers deelnemen aan de strafprocedure, moet de rec</w:t>
            </w:r>
            <w:r>
              <w:t>hter bij het voeren van de procedure ten volle rekening houden met hun leeftijd en maturiteit en ervoor zorgen dat de procedure toegankelijk en begrijpelijk is voor het kind.</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8</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Overweging 40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(40)</w:t>
            </w:r>
            <w:r>
              <w:tab/>
              <w:t xml:space="preserve">Het EU-centrum </w:t>
            </w:r>
            <w:r>
              <w:rPr>
                <w:b/>
                <w:i/>
              </w:rPr>
              <w:t>ter voorkoming en bestrijding van seksueel misbruik van kinderen</w:t>
            </w:r>
            <w:r>
              <w:t xml:space="preserve"> (“EU-centrum”), dat is opgericht bij Verordening [.../.../EU tot vaststelling van regels ter voorkoming en bestrijding van seksueel misbruik van kinderen]</w:t>
            </w:r>
            <w:r>
              <w:rPr>
                <w:vertAlign w:val="superscript"/>
              </w:rPr>
              <w:t>16</w:t>
            </w:r>
            <w:r>
              <w:t>, moet de inspanningen van de lidstaten op het gebied van preventie en bijstand aan slachtoffers on</w:t>
            </w:r>
            <w:r>
              <w:t>dersteunen en moet de lidstaten helpen hun verplichtingen uit hoofde van deze richtlijn na te komen. Het moet de uitwisseling van beste praktijken in de Unie en daarbuiten vergemakkelijken. Het EU-centrum moet de dialoog tussen alle relevante belanghebbend</w:t>
            </w:r>
            <w:r>
              <w:t>en aanmoedigen teneinde de ontwikkeling van geavanceerde preventieprogramma’s te bevorderen. Door samen te werken met de lidstaten en bij te dragen tot de standaardisering van het verzamelen van gegevens over seksueel misbruik en seksuele uitbuiting van ki</w:t>
            </w:r>
            <w:r>
              <w:t xml:space="preserve">nderen in de hele Unie, moet het EU-centrum bovendien een waardevol </w:t>
            </w:r>
            <w:r>
              <w:lastRenderedPageBreak/>
              <w:t>instrument zijn ter ondersteuning van empirisch onderbouwd beleid inzake preventie en bijstand aan slachtoffers. De lidstaten moeten, op de wijze die volgens hen het best beantwoordt aan h</w:t>
            </w:r>
            <w:r>
              <w:t>un interne organisatie en rekening houdend met de behoefte aan een minimale structuur met welomschreven taken, nationale autoriteiten of gelijkwaardige entiteiten oprichten die in staat zijn trends op het gebied van seksueel misbruik van kinderen te beoord</w:t>
            </w:r>
            <w:r>
              <w:t>elen, statistieken te verzamelen, de resultaten van acties ter voorkoming en bestrijding van seksueel misbruik van kinderen te meten, en regelmatig verslag uit te brengen over dergelijke trends, statistieken en resultaten. Deze nationale autoriteiten moete</w:t>
            </w:r>
            <w:r>
              <w:t xml:space="preserve">n fungeren als nationaal contactpunt en moeten bij hun werkzaamheden kiezen voor een geïntegreerde aanpak waarbij diverse belanghebbenden zijn betrokken. Daarnaast moeten de lidstaten op nationaal niveau de nodige mechanismen vaststellen om te zorgen voor </w:t>
            </w:r>
            <w:r>
              <w:t>doeltreffende coördinatie en samenwerking tussen alle relevante publieke en private actoren bij de ontwikkeling en uitvoering van maatregelen om online en offline seksueel misbruik en seksuele uitbuiting van kinderen te voorkomen en te bestrijden, en om de</w:t>
            </w:r>
            <w:r>
              <w:t xml:space="preserve"> samenwerking met het EU-centrum en de Commissie te vergemakkelijken.</w:t>
            </w:r>
          </w:p>
        </w:tc>
        <w:tc>
          <w:tcPr>
            <w:tcW w:w="4876" w:type="dxa"/>
            <w:hideMark/>
          </w:tcPr>
          <w:p w:rsidR="005C6334" w:rsidRPr="005C6334" w:rsidRDefault="00F61E6E" w:rsidP="00100845">
            <w:pPr>
              <w:pStyle w:val="Normal6"/>
              <w:rPr>
                <w:szCs w:val="24"/>
              </w:rPr>
            </w:pPr>
            <w:r>
              <w:lastRenderedPageBreak/>
              <w:t>(40)</w:t>
            </w:r>
            <w:r>
              <w:tab/>
              <w:t xml:space="preserve">Het EU-centrum </w:t>
            </w:r>
            <w:r>
              <w:rPr>
                <w:b/>
                <w:i/>
              </w:rPr>
              <w:t>voor kinderbescherming</w:t>
            </w:r>
            <w:r>
              <w:t xml:space="preserve"> (“EU-centrum”), dat is opgericht bij Verordening [.../.../EU tot vaststelling van regels ter voorkoming en bestrijding van seksueel misbruik va</w:t>
            </w:r>
            <w:r>
              <w:t>n kinderen]</w:t>
            </w:r>
            <w:r>
              <w:rPr>
                <w:vertAlign w:val="superscript"/>
              </w:rPr>
              <w:t>16</w:t>
            </w:r>
            <w:r>
              <w:t>, moet de inspanningen van de lidstaten op het gebied van preventie en bijstand aan slachtoffers ondersteunen en moet de lidstaten helpen hun verplichtingen uit hoofde van deze richtlijn na te komen</w:t>
            </w:r>
            <w:r>
              <w:rPr>
                <w:b/>
                <w:i/>
              </w:rPr>
              <w:t>. Het is van het grootste belang die regels v</w:t>
            </w:r>
            <w:r>
              <w:rPr>
                <w:b/>
                <w:i/>
              </w:rPr>
              <w:t>ast te stellen en onverwijld over te gaan tot de oprichting van het EU-centrum teneinde de talrijke inspanningen in de Unie ter voorkoming en bestrijding van seksueel misbruik van kinderen te stroomlijnen en kracht bij te zetten</w:t>
            </w:r>
            <w:r>
              <w:t>. Het moet de uitwisseling v</w:t>
            </w:r>
            <w:r>
              <w:t xml:space="preserve">an beste praktijken in de Unie en daarbuiten vergemakkelijken. Het EU-centrum moet de dialoog tussen alle relevante belanghebbenden aanmoedigen teneinde de ontwikkeling van geavanceerde preventieprogramma’s te bevorderen. Door </w:t>
            </w:r>
            <w:r>
              <w:lastRenderedPageBreak/>
              <w:t>samen te werken met de lidsta</w:t>
            </w:r>
            <w:r>
              <w:t xml:space="preserve">ten en bij te dragen tot de standaardisering van het verzamelen van gegevens over seksueel misbruik en seksuele uitbuiting van kinderen in de hele Unie, moet het EU-centrum bovendien een waardevol instrument zijn ter ondersteuning van empirisch onderbouwd </w:t>
            </w:r>
            <w:r>
              <w:t>beleid inzake preventie en bijstand aan slachtoffers. De lidstaten moeten, op de wijze die volgens hen het best beantwoordt aan hun interne organisatie en rekening houdend met de behoefte aan een minimale structuur met welomschreven taken, nationale autori</w:t>
            </w:r>
            <w:r>
              <w:t xml:space="preserve">teiten of gelijkwaardige entiteiten oprichten die in staat zijn trends op het gebied van seksueel misbruik van kinderen te beoordelen, statistieken te verzamelen, de resultaten van acties ter voorkoming en bestrijding van seksueel misbruik van kinderen te </w:t>
            </w:r>
            <w:r>
              <w:t>meten, en regelmatig verslag uit te brengen over dergelijke trends, statistieken en resultaten. Deze nationale autoriteiten moeten fungeren als nationaal contactpunt en moeten bij hun werkzaamheden kiezen voor een geïntegreerde aanpak waarbij diverse belan</w:t>
            </w:r>
            <w:r>
              <w:t>ghebbenden zijn betrokken. Daarnaast moeten de lidstaten op nationaal niveau de nodige mechanismen vaststellen om te zorgen voor doeltreffende coördinatie en samenwerking tussen alle relevante publieke en private actoren bij de ontwikkeling en uitvoering v</w:t>
            </w:r>
            <w:r>
              <w:t>an maatregelen om online en offline seksueel misbruik en seksuele uitbuiting van kinderen te voorkomen en te bestrijden, en om de samenwerking met het EU-centrum en de Commissie te vergemakkelijken.</w:t>
            </w:r>
          </w:p>
        </w:tc>
      </w:tr>
      <w:tr w:rsidR="00F404B2" w:rsidTr="00100845">
        <w:trPr>
          <w:jc w:val="center"/>
        </w:trPr>
        <w:tc>
          <w:tcPr>
            <w:tcW w:w="4876" w:type="dxa"/>
            <w:hideMark/>
          </w:tcPr>
          <w:p w:rsidR="005C6334" w:rsidRPr="005C6334" w:rsidRDefault="00F61E6E" w:rsidP="00100845">
            <w:pPr>
              <w:pStyle w:val="Normal6"/>
            </w:pPr>
            <w:r>
              <w:lastRenderedPageBreak/>
              <w:t>__________________</w:t>
            </w:r>
          </w:p>
        </w:tc>
        <w:tc>
          <w:tcPr>
            <w:tcW w:w="4876" w:type="dxa"/>
            <w:hideMark/>
          </w:tcPr>
          <w:p w:rsidR="005C6334" w:rsidRPr="005C6334" w:rsidRDefault="00F61E6E" w:rsidP="00100845">
            <w:pPr>
              <w:pStyle w:val="Normal6"/>
              <w:rPr>
                <w:szCs w:val="24"/>
              </w:rPr>
            </w:pPr>
            <w:r>
              <w:t>__________________</w:t>
            </w:r>
          </w:p>
        </w:tc>
      </w:tr>
      <w:tr w:rsidR="00F404B2" w:rsidTr="00100845">
        <w:trPr>
          <w:jc w:val="center"/>
        </w:trPr>
        <w:tc>
          <w:tcPr>
            <w:tcW w:w="4876" w:type="dxa"/>
            <w:hideMark/>
          </w:tcPr>
          <w:p w:rsidR="005C6334" w:rsidRPr="005C6334" w:rsidRDefault="00F61E6E" w:rsidP="00100845">
            <w:pPr>
              <w:pStyle w:val="Normal6"/>
            </w:pPr>
            <w:r>
              <w:rPr>
                <w:vertAlign w:val="superscript"/>
              </w:rPr>
              <w:t>16</w:t>
            </w:r>
            <w:r>
              <w:t xml:space="preserve"> COM(2022) 209 </w:t>
            </w:r>
            <w:r>
              <w:t>final van 11 mei 2022.</w:t>
            </w:r>
          </w:p>
        </w:tc>
        <w:tc>
          <w:tcPr>
            <w:tcW w:w="4876" w:type="dxa"/>
            <w:hideMark/>
          </w:tcPr>
          <w:p w:rsidR="005C6334" w:rsidRPr="005C6334" w:rsidRDefault="00F61E6E" w:rsidP="00100845">
            <w:pPr>
              <w:pStyle w:val="Normal6"/>
              <w:rPr>
                <w:szCs w:val="24"/>
              </w:rPr>
            </w:pPr>
            <w:r>
              <w:rPr>
                <w:vertAlign w:val="superscript"/>
              </w:rPr>
              <w:t>16</w:t>
            </w:r>
            <w:r>
              <w:t xml:space="preserve"> COM(2022) 209 final van 11 mei 2022.</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lastRenderedPageBreak/>
        <w:t>&lt;Amend&gt;</w:t>
      </w:r>
      <w:r>
        <w:t>Amendement</w:t>
      </w:r>
      <w:r>
        <w:tab/>
      </w:r>
      <w:r>
        <w:tab/>
      </w:r>
      <w:r>
        <w:rPr>
          <w:rStyle w:val="HideTWBExt"/>
        </w:rPr>
        <w:t>&lt;NumAm&gt;</w:t>
      </w:r>
      <w:r>
        <w:t>9</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Overweging 40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 xml:space="preserve">Door de Commissie </w:t>
            </w:r>
            <w:r>
              <w:t>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(40 bis)</w:t>
            </w:r>
            <w:r>
              <w:rPr>
                <w:b/>
                <w:i/>
              </w:rPr>
              <w:tab/>
              <w:t xml:space="preserve">Het is van essentieel belang dat de lidstaten multidisciplinaire structuren opzetten waar expertise vanuit rechtshandhavingsinstanties, kinderbeschermingsinstanties, professionals uit de gezondheidszorg, opvoeders </w:t>
            </w:r>
            <w:r>
              <w:rPr>
                <w:b/>
                <w:i/>
              </w:rPr>
              <w:t xml:space="preserve">en specialisten op het gebied van de geestelijke gezondheid samen worden gebracht. Die structuren moeten zodanig worden opgezet dat de complexiteit van uitbuiting via het internet kan worden aangepakt, en via deze structuren moet snel en op gecoördineerde </w:t>
            </w:r>
            <w:r>
              <w:rPr>
                <w:b/>
                <w:i/>
              </w:rPr>
              <w:t>wijze gereageerd kunnen worden om daders te vinden, onderzoek tegen hen in te stellen en hen te vervolgen, waarbij het welzijn van de slachtoffers moet worden gewaarborgd. Die structuren, die het Barnahus-model als basis moeten hebben, moeten kunnen leunen</w:t>
            </w:r>
            <w:r>
              <w:rPr>
                <w:b/>
                <w:i/>
              </w:rPr>
              <w:t xml:space="preserve"> op personeel dat profiteert van uitgebreide opleiding, onderwijs en professionele ontwikkeling, en moeten de oprichting van fysieke ondersteuningscentra faciliteren. Zij moeten het mogelijk maken dat slachtoffers op één en dezelfde locatie worden behandel</w:t>
            </w:r>
            <w:r>
              <w:rPr>
                <w:b/>
                <w:i/>
              </w:rPr>
              <w:t>d en aan de strafprocedure deelnemen, zonder risico te lopen op herhaalde hertraumatisering. Dergelijke structuren vormen de meest efficiënte aanpak voor de ondersteuning van kindslachtoffers van misbruik, vanwege de holistische en multidisciplinaire benad</w:t>
            </w:r>
            <w:r>
              <w:rPr>
                <w:b/>
                <w:i/>
              </w:rPr>
              <w:t>ering waarin het kind centraal staat. Om het welzijn en de rechten van kindslachtoffers te waarborgen is het van essentieel belang te stimuleren dat de normen van het Barnahus-model worden overgenomen. Met het oog op verbetering op het vlak van meldingen m</w:t>
            </w:r>
            <w:r>
              <w:rPr>
                <w:b/>
                <w:i/>
              </w:rPr>
              <w:t xml:space="preserve">oeten de lidstaten </w:t>
            </w:r>
            <w:r>
              <w:rPr>
                <w:b/>
                <w:i/>
              </w:rPr>
              <w:lastRenderedPageBreak/>
              <w:t>worden aangemoedigd om een verscheidenheid aan meldingsmechanismen te handhaven, rekening houdend met de uiteenlopende en steeds veranderende uitingen van de misdrijven en met de behoeften en specifieke kwetsbaarheden van het kind.</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10</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Overweging 43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(43 bis)</w:t>
            </w:r>
            <w:r>
              <w:rPr>
                <w:b/>
                <w:i/>
              </w:rPr>
              <w:tab/>
              <w:t xml:space="preserve">De lidstaten moeten ervoor </w:t>
            </w:r>
            <w:r>
              <w:rPr>
                <w:b/>
                <w:i/>
              </w:rPr>
              <w:t xml:space="preserve">zorgen dat rechtshandhavingsinstanties onverwijld onderzoek instellen naar pogingen om kinderen voor seksuele doeleinden te benaderen, en dat kinderen die slachtoffer zijn van dergelijke pogingen tot benadering op effectieve wijze worden doorverwezen naar </w:t>
            </w:r>
            <w:r>
              <w:rPr>
                <w:b/>
                <w:i/>
              </w:rPr>
              <w:t>de betreffende ondersteuningsdiensten waar zij bijstand en bescherming ontvangen.</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11</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3 – lid 4 – alinea 1 bis (nie</w:t>
      </w:r>
      <w:r>
        <w:t>uw)</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 xml:space="preserve">De in de eerste alinea bedoelde gedragingen worden gestraft met een maximumgevangenisstraf van ten minste acht jaar indien het kind seksueel meerderjarig is en: </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 xml:space="preserve">a) niet instemt met de </w:t>
            </w:r>
            <w:r>
              <w:rPr>
                <w:b/>
                <w:i/>
              </w:rPr>
              <w:t>handeling met een gelijke; of;</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b) wordt aangezet tot seksuele handelingen met een persoon anders dan een gelijke.</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12</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3 – lid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8.</w:t>
            </w:r>
            <w:r>
              <w:tab/>
              <w:t xml:space="preserve">Wanneer het kind seksueel meerderjarig is en niet instemt met de handeling, worden de in lid 7 bedoelde gedragingen gestraft met een maximumgevangenisstraf van ten minste </w:t>
            </w:r>
            <w:r>
              <w:rPr>
                <w:b/>
                <w:i/>
              </w:rPr>
              <w:t>tien</w:t>
            </w:r>
            <w:r>
              <w:t xml:space="preserve"> jaar.</w:t>
            </w:r>
          </w:p>
        </w:tc>
        <w:tc>
          <w:tcPr>
            <w:tcW w:w="4876" w:type="dxa"/>
            <w:hideMark/>
          </w:tcPr>
          <w:p w:rsidR="005C6334" w:rsidRPr="005C6334" w:rsidRDefault="00F61E6E" w:rsidP="00100845">
            <w:pPr>
              <w:pStyle w:val="Normal6"/>
              <w:rPr>
                <w:szCs w:val="24"/>
              </w:rPr>
            </w:pPr>
            <w:r>
              <w:t>8.</w:t>
            </w:r>
            <w:r>
              <w:tab/>
              <w:t xml:space="preserve">Wanneer het kind seksueel meerderjarig is en niet instemt met de handeling, worden de in lid 7 bedoelde gedragingen gestraft met een maximumgevangenisstraf van ten minste </w:t>
            </w:r>
            <w:r>
              <w:rPr>
                <w:b/>
                <w:i/>
              </w:rPr>
              <w:t>twaalf</w:t>
            </w:r>
            <w:r>
              <w:t xml:space="preserve"> jaar.</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w:t>
      </w:r>
      <w:r>
        <w:t>t</w:t>
      </w:r>
      <w:r>
        <w:tab/>
      </w:r>
      <w:r>
        <w:tab/>
      </w:r>
      <w:r>
        <w:rPr>
          <w:rStyle w:val="HideTWBExt"/>
        </w:rPr>
        <w:t>&lt;NumAm&gt;</w:t>
      </w:r>
      <w:r>
        <w:t>13</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3 – lid 9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9.</w:t>
            </w:r>
            <w:r>
              <w:tab/>
              <w:t xml:space="preserve">Voor de toepassing van </w:t>
            </w:r>
            <w:r>
              <w:rPr>
                <w:b/>
                <w:i/>
              </w:rPr>
              <w:t>lid</w:t>
            </w:r>
            <w:r>
              <w:t> 8 zorgen de lidstaten ervoor dat:</w:t>
            </w:r>
          </w:p>
        </w:tc>
        <w:tc>
          <w:tcPr>
            <w:tcW w:w="4876" w:type="dxa"/>
            <w:hideMark/>
          </w:tcPr>
          <w:p w:rsidR="005C6334" w:rsidRPr="005C6334" w:rsidRDefault="00F61E6E" w:rsidP="00100845">
            <w:pPr>
              <w:pStyle w:val="Normal6"/>
              <w:rPr>
                <w:szCs w:val="24"/>
              </w:rPr>
            </w:pPr>
            <w:r>
              <w:t>9.</w:t>
            </w:r>
            <w:r>
              <w:tab/>
            </w:r>
            <w:r>
              <w:t xml:space="preserve">Voor de toepassing van </w:t>
            </w:r>
            <w:r>
              <w:rPr>
                <w:b/>
                <w:i/>
              </w:rPr>
              <w:t>de leden 4 en</w:t>
            </w:r>
            <w:r>
              <w:t> 8 zorgen de lidstaten ervoor dat:</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14</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5 – lid 8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8.</w:t>
            </w:r>
            <w:r>
              <w:tab/>
              <w:t xml:space="preserve">De lidstaten zorgen </w:t>
            </w:r>
            <w:r>
              <w:rPr>
                <w:b/>
                <w:i/>
              </w:rPr>
              <w:t>ervoor dat</w:t>
            </w:r>
            <w:r>
              <w:t xml:space="preserve"> de in lid 7 bedoelde</w:t>
            </w:r>
            <w:r>
              <w:rPr>
                <w:b/>
                <w:i/>
              </w:rPr>
              <w:t xml:space="preserve"> machtigingen voor</w:t>
            </w:r>
            <w:r>
              <w:t xml:space="preserve"> </w:t>
            </w:r>
            <w:r>
              <w:lastRenderedPageBreak/>
              <w:t>organisaties die in het algemeen belang optreden tegen seksueel misbruik van kinderen</w:t>
            </w:r>
            <w:r>
              <w:rPr>
                <w:b/>
                <w:i/>
              </w:rPr>
              <w:t>, alle of sommige</w:t>
            </w:r>
            <w:r>
              <w:t xml:space="preserve"> van de volgende activiteiten toestaan:</w:t>
            </w:r>
          </w:p>
        </w:tc>
        <w:tc>
          <w:tcPr>
            <w:tcW w:w="4876" w:type="dxa"/>
            <w:hideMark/>
          </w:tcPr>
          <w:p w:rsidR="005C6334" w:rsidRPr="005C6334" w:rsidRDefault="00F61E6E" w:rsidP="00100845">
            <w:pPr>
              <w:pStyle w:val="Normal6"/>
              <w:rPr>
                <w:szCs w:val="24"/>
              </w:rPr>
            </w:pPr>
            <w:r>
              <w:lastRenderedPageBreak/>
              <w:t>8.</w:t>
            </w:r>
            <w:r>
              <w:tab/>
              <w:t xml:space="preserve">De lidstaten zorgen </w:t>
            </w:r>
            <w:r>
              <w:rPr>
                <w:b/>
                <w:i/>
              </w:rPr>
              <w:t>voor een juridisch kader voor</w:t>
            </w:r>
            <w:r>
              <w:t xml:space="preserve"> de in lid 7 bedoelde </w:t>
            </w:r>
            <w:r>
              <w:lastRenderedPageBreak/>
              <w:t>organisaties die in het algemeen belang optreden tegen seksueel misbruik van kinderen</w:t>
            </w:r>
            <w:r>
              <w:rPr>
                <w:b/>
                <w:i/>
              </w:rPr>
              <w:t xml:space="preserve"> zodat hun rol en vaardigheden geharmoniseerd worden en z</w:t>
            </w:r>
            <w:r>
              <w:rPr>
                <w:b/>
                <w:i/>
              </w:rPr>
              <w:t>odat gewaarborgd wordt dat de machtigingen waaronder dergelijke organisaties opereren alle</w:t>
            </w:r>
            <w:r>
              <w:t xml:space="preserve"> van de volgende activiteiten toestaan:</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15</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5 – lid 8 – punt d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d bis.</w:t>
            </w:r>
            <w:r>
              <w:rPr>
                <w:b/>
                <w:i/>
              </w:rPr>
              <w:tab/>
              <w:t xml:space="preserve">rechtstreeks samenwerken met nationale dienstverleners in het kader van “notice and takedown”-procedures, met toestemming van </w:t>
            </w:r>
            <w:r>
              <w:rPr>
                <w:b/>
                <w:i/>
              </w:rPr>
              <w:t>de bevoegde nationale rechtshandhavingsautoriteit.</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16</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6 – lid 1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 xml:space="preserve">Door de Commissie </w:t>
            </w:r>
            <w:r>
              <w:t>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a)</w:t>
            </w:r>
            <w:r>
              <w:tab/>
              <w:t>het doen van een voorstel door middel van informatie- en communicatietechnologie om een kind online of in persoon te ontmoeten met het oogmerk om een van de in artikel 3, leden 4, 5, 6 en 7, en artikel 5, lid 6, genoemde s</w:t>
            </w:r>
            <w:r>
              <w:t>trafbare feiten te plegen, wordt, voor zover dit voorstel is gevolgd door materiële handelingen die tot een dergelijke ontmoeting leiden, gestraft met een maximumgevangenisstraf van ten minste één jaar;</w:t>
            </w:r>
          </w:p>
        </w:tc>
        <w:tc>
          <w:tcPr>
            <w:tcW w:w="4876" w:type="dxa"/>
            <w:hideMark/>
          </w:tcPr>
          <w:p w:rsidR="005C6334" w:rsidRPr="005C6334" w:rsidRDefault="00F61E6E" w:rsidP="00100845">
            <w:pPr>
              <w:pStyle w:val="Normal6"/>
              <w:rPr>
                <w:szCs w:val="24"/>
              </w:rPr>
            </w:pPr>
            <w:r>
              <w:t>a)</w:t>
            </w:r>
            <w:r>
              <w:tab/>
              <w:t>het doen van een voorstel door middel van informat</w:t>
            </w:r>
            <w:r>
              <w:t xml:space="preserve">ie- en communicatietechnologie om een kind online of in persoon te ontmoeten met het oogmerk om een van de in artikel 3, leden 4, 5, 6 en 7, </w:t>
            </w:r>
            <w:r>
              <w:rPr>
                <w:b/>
                <w:i/>
              </w:rPr>
              <w:t xml:space="preserve">artikel 4 </w:t>
            </w:r>
            <w:r>
              <w:t xml:space="preserve">en artikel 5, lid 6, genoemde strafbare feiten te plegen, wordt, voor zover dit voorstel is gevolgd door </w:t>
            </w:r>
            <w:r>
              <w:t>materiële handelingen die tot een dergelijke ontmoeting leiden, gestraft met een maximumgevangenisstraf van ten minste één jaar;</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17</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6 – lid 3 – alinea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De lidstaten nemen de nodige maatregelen om ervoor te zorgen dat een poging door middel van informatie- en communicatietechnologie om de in artikel 4, leden</w:t>
            </w:r>
            <w:r>
              <w:rPr>
                <w:b/>
                <w:i/>
              </w:rPr>
              <w:t> </w:t>
            </w:r>
            <w:r>
              <w:t>2 en</w:t>
            </w:r>
            <w:r>
              <w:rPr>
                <w:b/>
                <w:i/>
              </w:rPr>
              <w:t> </w:t>
            </w:r>
            <w:r>
              <w:t>5, genoemde strafbare feiten te plegen, door een volwassene die een kind ertoe brengt deel te nemen aan voorstellingen van seksueel misbruik van kinderen en uitbuiting van kinderen</w:t>
            </w:r>
            <w:r>
              <w:rPr>
                <w:b/>
                <w:i/>
              </w:rPr>
              <w:t xml:space="preserve"> in de prostitutie</w:t>
            </w:r>
            <w:r>
              <w:t xml:space="preserve">, wordt gestraft met een maximumgevangenisstraf van </w:t>
            </w:r>
            <w:r>
              <w:t>ten minste zes maanden.</w:t>
            </w:r>
          </w:p>
        </w:tc>
        <w:tc>
          <w:tcPr>
            <w:tcW w:w="4876" w:type="dxa"/>
            <w:hideMark/>
          </w:tcPr>
          <w:p w:rsidR="005C6334" w:rsidRPr="005C6334" w:rsidRDefault="00F61E6E" w:rsidP="00100845">
            <w:pPr>
              <w:pStyle w:val="Normal6"/>
              <w:rPr>
                <w:szCs w:val="24"/>
              </w:rPr>
            </w:pPr>
            <w:r>
              <w:t>De lidstaten nemen de nodige maatregelen om ervoor te zorgen dat een poging door middel van informatie- en communicatietechnologie om de in artikel 4, leden</w:t>
            </w:r>
            <w:r>
              <w:rPr>
                <w:b/>
                <w:i/>
              </w:rPr>
              <w:t xml:space="preserve"> </w:t>
            </w:r>
            <w:r>
              <w:t>2 en</w:t>
            </w:r>
            <w:r>
              <w:rPr>
                <w:b/>
                <w:i/>
              </w:rPr>
              <w:t xml:space="preserve"> </w:t>
            </w:r>
            <w:r>
              <w:t xml:space="preserve">5, genoemde strafbare feiten te plegen, door een volwassene die een kind ertoe brengt deel te nemen aan voorstellingen van seksueel misbruik van kinderen en </w:t>
            </w:r>
            <w:r>
              <w:rPr>
                <w:b/>
                <w:i/>
              </w:rPr>
              <w:t xml:space="preserve">seksuele </w:t>
            </w:r>
            <w:r>
              <w:t xml:space="preserve">uitbuiting van kinderen, wordt gestraft met een maximumgevangenisstraf van ten minste zes </w:t>
            </w:r>
            <w:r>
              <w:t>maanden.</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18</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7 – titel</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 xml:space="preserve">Benadering met het oog op </w:t>
            </w:r>
            <w:r>
              <w:t>seksueel misbruik</w:t>
            </w:r>
          </w:p>
        </w:tc>
        <w:tc>
          <w:tcPr>
            <w:tcW w:w="4876" w:type="dxa"/>
            <w:hideMark/>
          </w:tcPr>
          <w:p w:rsidR="005C6334" w:rsidRPr="005C6334" w:rsidRDefault="00F61E6E" w:rsidP="00100845">
            <w:pPr>
              <w:pStyle w:val="Normal6"/>
              <w:rPr>
                <w:szCs w:val="24"/>
              </w:rPr>
            </w:pPr>
            <w:r>
              <w:t xml:space="preserve">Benadering met het oog op </w:t>
            </w:r>
            <w:r>
              <w:rPr>
                <w:b/>
                <w:i/>
              </w:rPr>
              <w:t xml:space="preserve">het begaan van </w:t>
            </w:r>
            <w:r>
              <w:t>seksueel misbruik</w:t>
            </w:r>
            <w:r>
              <w:rPr>
                <w:b/>
                <w:i/>
              </w:rPr>
              <w:t xml:space="preserve"> of seksuele uitbuiting</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19</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 xml:space="preserve">Artikel 10 – lid 5 </w:t>
      </w:r>
      <w:r>
        <w:t>– alinea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 xml:space="preserve">Voor de toepassing van de leden 1 tot en </w:t>
            </w:r>
            <w:r>
              <w:lastRenderedPageBreak/>
              <w:t xml:space="preserve">met 4 kan een kind dat seksueel meerderjarig is, alleen worden geacht met een handeling te hebben ingestemd als de instemming vrijwillig is </w:t>
            </w:r>
            <w:r>
              <w:t>gegeven, waarbij de vrije wil van het kind wordt beoordeeld in het licht van de omringende omstandigheden.</w:t>
            </w:r>
          </w:p>
        </w:tc>
        <w:tc>
          <w:tcPr>
            <w:tcW w:w="4876" w:type="dxa"/>
            <w:hideMark/>
          </w:tcPr>
          <w:p w:rsidR="005C6334" w:rsidRPr="005C6334" w:rsidRDefault="00F61E6E" w:rsidP="00100845">
            <w:pPr>
              <w:pStyle w:val="Normal6"/>
              <w:rPr>
                <w:szCs w:val="24"/>
              </w:rPr>
            </w:pPr>
            <w:r>
              <w:lastRenderedPageBreak/>
              <w:t xml:space="preserve">Voor de toepassing van de leden 1 tot en </w:t>
            </w:r>
            <w:r>
              <w:lastRenderedPageBreak/>
              <w:t xml:space="preserve">met 4 kan een kind dat seksueel meerderjarig is, alleen worden geacht met een handeling te hebben ingestemd </w:t>
            </w:r>
            <w:r>
              <w:t>als de instemming vrijwillig is gegeven, waarbij de vrije wil van het kind wordt beoordeeld in het licht van de omringende omstandigheden.</w:t>
            </w:r>
            <w:r>
              <w:rPr>
                <w:b/>
                <w:i/>
              </w:rPr>
              <w:t xml:space="preserve"> Een seksueel meerderjarig kind wordt niet geacht te hebben ingestemd indien het kind niet in staat was uit vrije wil </w:t>
            </w:r>
            <w:r>
              <w:rPr>
                <w:b/>
                <w:i/>
              </w:rPr>
              <w:t>te beslissen wegens omstandigheden als bedoeld in artikel 3, lid 5, of wegens andere omstandigheden, waaronder de lichamelijke of geestelijke gesteldheid van het kind, zoals in het geval van bewusteloosheid, intoxicatie, verlamming door angst, ziekte of li</w:t>
            </w:r>
            <w:r>
              <w:rPr>
                <w:b/>
                <w:i/>
              </w:rPr>
              <w:t>chamelijk letsel.</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20</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10 – lid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6.</w:t>
            </w:r>
            <w:r>
              <w:tab/>
              <w:t>Het op consensuele</w:t>
            </w:r>
            <w:r>
              <w:t xml:space="preserve"> basis delen van iemands intieme beelden of video’s kan niet worden opgevat als instemming voor het verder delen of verspreiden van die beelden of video’s.</w:t>
            </w:r>
          </w:p>
        </w:tc>
        <w:tc>
          <w:tcPr>
            <w:tcW w:w="4876" w:type="dxa"/>
            <w:hideMark/>
          </w:tcPr>
          <w:p w:rsidR="005C6334" w:rsidRPr="005C6334" w:rsidRDefault="00F61E6E" w:rsidP="00100845">
            <w:pPr>
              <w:pStyle w:val="Normal6"/>
              <w:rPr>
                <w:szCs w:val="24"/>
              </w:rPr>
            </w:pPr>
            <w:r>
              <w:t>6.</w:t>
            </w:r>
            <w:r>
              <w:tab/>
              <w:t xml:space="preserve">Het op consensuele basis delen van iemands intieme beelden of video’s </w:t>
            </w:r>
            <w:r>
              <w:rPr>
                <w:b/>
                <w:i/>
              </w:rPr>
              <w:t xml:space="preserve">of soortgelijk materiaal </w:t>
            </w:r>
            <w:r>
              <w:t>ka</w:t>
            </w:r>
            <w:r>
              <w:t>n niet worden opgevat als instemming voor het verder delen of verspreiden van die beelden of video’s</w:t>
            </w:r>
            <w:r>
              <w:rPr>
                <w:b/>
                <w:i/>
              </w:rPr>
              <w:t xml:space="preserve"> of dat soortgelijke materiaal, ook niet in bewerkte of gewijzigde versie</w:t>
            </w:r>
            <w:r>
              <w:t xml:space="preserve">. </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21</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11 – alinea 1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a)</w:t>
            </w:r>
            <w:r>
              <w:tab/>
              <w:t xml:space="preserve">het strafbare feit werd gepleegd </w:t>
            </w:r>
            <w:r>
              <w:lastRenderedPageBreak/>
              <w:t xml:space="preserve">jegens een kind in een bijzonder kwetsbare situatie, zoals een kind </w:t>
            </w:r>
            <w:r>
              <w:t>met een geestelijke of lichamelijke handicap, in een toestand van afhankelijkheid of in een staat van lichamelijk of geestelijk onvermogen;</w:t>
            </w:r>
          </w:p>
        </w:tc>
        <w:tc>
          <w:tcPr>
            <w:tcW w:w="4876" w:type="dxa"/>
            <w:hideMark/>
          </w:tcPr>
          <w:p w:rsidR="005C6334" w:rsidRPr="005C6334" w:rsidRDefault="00F61E6E" w:rsidP="00100845">
            <w:pPr>
              <w:pStyle w:val="Normal6"/>
              <w:rPr>
                <w:szCs w:val="24"/>
              </w:rPr>
            </w:pPr>
            <w:r>
              <w:lastRenderedPageBreak/>
              <w:t>a)</w:t>
            </w:r>
            <w:r>
              <w:tab/>
              <w:t xml:space="preserve">het strafbare feit werd gepleegd </w:t>
            </w:r>
            <w:r>
              <w:lastRenderedPageBreak/>
              <w:t xml:space="preserve">jegens een kind in een bijzonder kwetsbare situatie, zoals een </w:t>
            </w:r>
            <w:r>
              <w:rPr>
                <w:b/>
                <w:i/>
              </w:rPr>
              <w:t xml:space="preserve">jong kind, een </w:t>
            </w:r>
            <w:r>
              <w:t>ki</w:t>
            </w:r>
            <w:r>
              <w:t>nd met een geestelijke of lichamelijke handicap, in een toestand van afhankelijkheid of in een staat van lichamelijk of geestelijk onvermogen;</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22</w:t>
      </w:r>
      <w:r>
        <w:rPr>
          <w:rStyle w:val="HideTWBExt"/>
        </w:rPr>
        <w:t>&lt;/NumAm&gt;</w:t>
      </w:r>
    </w:p>
    <w:p w:rsidR="005C6334" w:rsidRPr="005C6334" w:rsidRDefault="00F61E6E" w:rsidP="005C6334">
      <w:pPr>
        <w:pStyle w:val="NormalBold12b"/>
        <w:keepNext/>
      </w:pPr>
      <w:r>
        <w:rPr>
          <w:rStyle w:val="HideTWBExt"/>
        </w:rPr>
        <w:t>&lt;DocAmend&gt;</w:t>
      </w:r>
      <w:r>
        <w:t>Voorstel voor een richtl</w:t>
      </w:r>
      <w:r>
        <w:t>ijn</w:t>
      </w:r>
      <w:r>
        <w:rPr>
          <w:rStyle w:val="HideTWBExt"/>
        </w:rPr>
        <w:t>&lt;/DocAmend&gt;</w:t>
      </w:r>
    </w:p>
    <w:p w:rsidR="005C6334" w:rsidRPr="005C6334" w:rsidRDefault="00F61E6E" w:rsidP="005C6334">
      <w:pPr>
        <w:pStyle w:val="NormalBold"/>
      </w:pPr>
      <w:r>
        <w:rPr>
          <w:rStyle w:val="HideTWBExt"/>
        </w:rPr>
        <w:t>&lt;Article&gt;</w:t>
      </w:r>
      <w:r>
        <w:t>Artikel 11 – alinea 1 – punt j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j bis)</w:t>
            </w:r>
            <w:r>
              <w:rPr>
                <w:b/>
                <w:i/>
              </w:rPr>
              <w:tab/>
              <w:t xml:space="preserve">het strafbare feit was ingegeven door een of meer van de krachtens artikel 21 van het Handvest van de grondrechten van </w:t>
            </w:r>
            <w:r>
              <w:rPr>
                <w:b/>
                <w:i/>
              </w:rPr>
              <w:t>de Europese Unie beschermde gronden en resulteerde in een vorm van directe of indirecte discriminatie die in strijd is met het recht van de Unie.</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23</w:t>
      </w:r>
      <w:r>
        <w:rPr>
          <w:rStyle w:val="HideTWBExt"/>
        </w:rPr>
        <w:t>&lt;/NumAm&gt;</w:t>
      </w:r>
    </w:p>
    <w:p w:rsidR="005C6334" w:rsidRPr="005C6334" w:rsidRDefault="00F61E6E" w:rsidP="005C6334">
      <w:pPr>
        <w:pStyle w:val="NormalBold12b"/>
        <w:keepNext/>
      </w:pPr>
      <w:r>
        <w:rPr>
          <w:rStyle w:val="HideTWBExt"/>
        </w:rPr>
        <w:t>&lt;DocAmend&gt;</w:t>
      </w:r>
      <w:r>
        <w:t xml:space="preserve">Voorstel voor een </w:t>
      </w:r>
      <w:r>
        <w:t>richtlijn</w:t>
      </w:r>
      <w:r>
        <w:rPr>
          <w:rStyle w:val="HideTWBExt"/>
        </w:rPr>
        <w:t>&lt;/DocAmend&gt;</w:t>
      </w:r>
    </w:p>
    <w:p w:rsidR="005C6334" w:rsidRPr="005C6334" w:rsidRDefault="00F61E6E" w:rsidP="005C6334">
      <w:pPr>
        <w:pStyle w:val="NormalBold"/>
      </w:pPr>
      <w:r>
        <w:rPr>
          <w:rStyle w:val="HideTWBExt"/>
        </w:rPr>
        <w:t>&lt;Article&gt;</w:t>
      </w:r>
      <w:r>
        <w:t>Artikel 12 – lid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2.</w:t>
            </w:r>
            <w:r>
              <w:tab/>
              <w:t>De lidstaten nemen de nodige maatregelen om ervoor te zorgen dat werkgevers bij de aanwerving van personeel voor beroepsactiviteiten of georgan</w:t>
            </w:r>
            <w:r>
              <w:t>iseerde vrijwilligersactiviteiten die rechtstreeks en geregeld contact met kinderen behelzen</w:t>
            </w:r>
            <w:r>
              <w:rPr>
                <w:b/>
                <w:i/>
              </w:rPr>
              <w:t xml:space="preserve"> </w:t>
            </w:r>
            <w:r>
              <w:t xml:space="preserve">en organisaties die in het algemeen belang optreden tegen seksueel misbruik van kinderen en die personeel aanwerven verplicht zijn om overeenkomstig het nationale </w:t>
            </w:r>
            <w:r>
              <w:t xml:space="preserve">recht op passende wijze, zoals toegang op verzoek </w:t>
            </w:r>
            <w:r>
              <w:lastRenderedPageBreak/>
              <w:t>of via de betrokken persoon, informatie te vragen met betrekking tot het bestaan van strafrechtelijke veroordelingen voor één van de in de artikelen</w:t>
            </w:r>
            <w:r>
              <w:rPr>
                <w:b/>
                <w:i/>
              </w:rPr>
              <w:t> </w:t>
            </w:r>
            <w:r>
              <w:t>3 tot en met 9 genoemde strafbare feiten die zijn opgenom</w:t>
            </w:r>
            <w:r>
              <w:t>en in het strafregister, of van verboden tot het uitoefenen van activiteiten die rechtstreeks en geregeld contact met kinderen behelzen, als gevolg van dergelijke strafrechtelijke veroordelingen.</w:t>
            </w:r>
          </w:p>
        </w:tc>
        <w:tc>
          <w:tcPr>
            <w:tcW w:w="4876" w:type="dxa"/>
            <w:hideMark/>
          </w:tcPr>
          <w:p w:rsidR="005C6334" w:rsidRPr="005C6334" w:rsidRDefault="00F61E6E" w:rsidP="00100845">
            <w:pPr>
              <w:pStyle w:val="Normal6"/>
              <w:rPr>
                <w:szCs w:val="24"/>
              </w:rPr>
            </w:pPr>
            <w:r>
              <w:lastRenderedPageBreak/>
              <w:t>2.</w:t>
            </w:r>
            <w:r>
              <w:tab/>
              <w:t xml:space="preserve">De lidstaten nemen de nodige maatregelen om ervoor te </w:t>
            </w:r>
            <w:r>
              <w:t>zorgen dat werkgevers bij de aanwerving van personeel voor beroepsactiviteiten of georganiseerde vrijwilligersactiviteiten die rechtstreeks en geregeld contact met kinderen behelzen</w:t>
            </w:r>
            <w:r>
              <w:rPr>
                <w:b/>
                <w:i/>
              </w:rPr>
              <w:t> </w:t>
            </w:r>
            <w:r>
              <w:t>en organisaties die in het algemeen belang optreden tegen seksueel misbrui</w:t>
            </w:r>
            <w:r>
              <w:t>k van kinderen en die personeel</w:t>
            </w:r>
            <w:r>
              <w:rPr>
                <w:b/>
                <w:i/>
              </w:rPr>
              <w:t>, consultants en vrijwilligers</w:t>
            </w:r>
            <w:r>
              <w:t xml:space="preserve"> aanwerven verplicht zijn om overeenkomstig het nationale recht op </w:t>
            </w:r>
            <w:r>
              <w:lastRenderedPageBreak/>
              <w:t>passende wijze, zoals toegang op verzoek of via de betrokken persoon, informatie te vragen met betrekking tot het bestaan van st</w:t>
            </w:r>
            <w:r>
              <w:t xml:space="preserve">rafrechtelijke veroordelingen voor één van de in de artikelen 3 tot en met 9 genoemde strafbare feiten die zijn opgenomen in het strafregister, of van verboden tot het uitoefenen van activiteiten die rechtstreeks en geregeld contact met kinderen behelzen, </w:t>
            </w:r>
            <w:r>
              <w:t>als gevolg van dergelijke strafrechtelijke veroordelingen.</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24</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14 – titel</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w:t>
            </w:r>
            <w:r>
              <w:t>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rPr>
                <w:b/>
                <w:i/>
              </w:rPr>
              <w:t>Sancties</w:t>
            </w:r>
            <w:r>
              <w:t xml:space="preserve"> tegen rechtspersonen</w:t>
            </w:r>
          </w:p>
        </w:tc>
        <w:tc>
          <w:tcPr>
            <w:tcW w:w="4876" w:type="dxa"/>
            <w:hideMark/>
          </w:tcPr>
          <w:p w:rsidR="005C6334" w:rsidRPr="005C6334" w:rsidRDefault="00F61E6E" w:rsidP="00100845">
            <w:pPr>
              <w:pStyle w:val="Normal6"/>
              <w:rPr>
                <w:szCs w:val="24"/>
              </w:rPr>
            </w:pPr>
            <w:r>
              <w:rPr>
                <w:b/>
                <w:i/>
              </w:rPr>
              <w:t>Straffen</w:t>
            </w:r>
            <w:r>
              <w:t xml:space="preserve"> tegen rechtspersonen</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25</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14 – lid 1 – punt f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f bis)</w:t>
            </w:r>
            <w:r>
              <w:rPr>
                <w:b/>
                <w:i/>
              </w:rPr>
              <w:tab/>
              <w:t xml:space="preserve">wanneer er sprake is van een algemeen belang, de publicatie van de rechterlijke beslissing, in zijn geheel of gedeeltelijk, inzake het gepleegde delict en de opgelegde straffen of </w:t>
            </w:r>
            <w:r>
              <w:rPr>
                <w:b/>
                <w:i/>
              </w:rPr>
              <w:t>maatregelen, onverminderd de regels inzake de privacy en de bescherming van persoonsgegevens.</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lastRenderedPageBreak/>
        <w:t>&lt;Amend&gt;</w:t>
      </w:r>
      <w:r>
        <w:t>Amendement</w:t>
      </w:r>
      <w:r>
        <w:tab/>
      </w:r>
      <w:r>
        <w:tab/>
      </w:r>
      <w:r>
        <w:rPr>
          <w:rStyle w:val="HideTWBExt"/>
        </w:rPr>
        <w:t>&lt;NumAm&gt;</w:t>
      </w:r>
      <w:r>
        <w:t>26</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14 – lid 2</w:t>
      </w:r>
      <w:r>
        <w:rPr>
          <w:rStyle w:val="HideTWBExt"/>
        </w:rPr>
        <w:t>&lt;/Artic</w:t>
      </w:r>
      <w:r>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2.</w:t>
            </w:r>
            <w:r>
              <w:tab/>
            </w:r>
            <w:r>
              <w:t>De lidstaten nemen de nodige maatregelen om ervoor te zorgen dat, ingeval rechtspersonen aansprakelijk zijn gesteld uit hoofde van artikel 13, strafbare feiten waarop voor natuurlijke personen een maximumgevangenisstraf van ten minste twee jaar is gesteld,</w:t>
            </w:r>
            <w:r>
              <w:t xml:space="preserve"> worden gestraft met geldboetes waarvan het maximumbedrag niet minder mag bedragen dan 1 % van de totale wereldwijde omzet van de rechtspersoon in het boekjaar voorafgaand aan het besluit tot oplegging van </w:t>
            </w:r>
            <w:r>
              <w:rPr>
                <w:b/>
                <w:i/>
              </w:rPr>
              <w:t>een</w:t>
            </w:r>
            <w:r>
              <w:t xml:space="preserve"> geldboete.</w:t>
            </w:r>
          </w:p>
        </w:tc>
        <w:tc>
          <w:tcPr>
            <w:tcW w:w="4876" w:type="dxa"/>
            <w:hideMark/>
          </w:tcPr>
          <w:p w:rsidR="005C6334" w:rsidRPr="005C6334" w:rsidRDefault="00F61E6E" w:rsidP="00100845">
            <w:pPr>
              <w:pStyle w:val="Normal6"/>
              <w:rPr>
                <w:szCs w:val="24"/>
              </w:rPr>
            </w:pPr>
            <w:r>
              <w:t>2.</w:t>
            </w:r>
            <w:r>
              <w:tab/>
              <w:t>De lidstaten nemen de nodige maa</w:t>
            </w:r>
            <w:r>
              <w:t xml:space="preserve">tregelen om ervoor te zorgen dat, ingeval rechtspersonen aansprakelijk zijn gesteld uit hoofde van artikel 13, strafbare feiten waarop voor natuurlijke personen een maximumgevangenisstraf van ten minste twee jaar is gesteld, worden gestraft met geldboetes </w:t>
            </w:r>
            <w:r>
              <w:t xml:space="preserve">waarvan het maximumbedrag niet minder mag bedragen dan 1 % van de totale wereldwijde omzet van de rechtspersoon </w:t>
            </w:r>
            <w:r>
              <w:rPr>
                <w:b/>
                <w:i/>
              </w:rPr>
              <w:t xml:space="preserve">ofwel in het boekjaar voorafgaand aan het jaar waarin het strafbare feit werd gepleegd ofwel </w:t>
            </w:r>
            <w:r>
              <w:t>in het boekjaar voorafgaand aan het besluit tot opl</w:t>
            </w:r>
            <w:r>
              <w:t xml:space="preserve">egging van </w:t>
            </w:r>
            <w:r>
              <w:rPr>
                <w:b/>
                <w:i/>
              </w:rPr>
              <w:t>de</w:t>
            </w:r>
            <w:r>
              <w:t xml:space="preserve"> geldboete</w:t>
            </w:r>
            <w:r>
              <w:rPr>
                <w:b/>
                <w:i/>
              </w:rPr>
              <w:t>, of dan 8 000 000</w:t>
            </w:r>
            <w:r>
              <w:rPr>
                <w:b/>
                <w:bCs/>
                <w:i/>
                <w:iCs/>
              </w:rPr>
              <w:t> EUR</w:t>
            </w:r>
            <w:r>
              <w:t>.</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27</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14 – lid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3.</w:t>
            </w:r>
            <w:r>
              <w:tab/>
              <w:t>De lidstaten nemen de nodige maatregelen om ervoor te zorgen dat, ingeval rechtspersonen aansprakelijk zijn gesteld uit hoofde van artikel 13, strafbare feiten waarop voor natuurlijke personen een maximumgevangenisstraf van ten minste drie j</w:t>
            </w:r>
            <w:r>
              <w:t xml:space="preserve">aar is gesteld, worden gestraft met geldboetes waarvan het maximumbedrag niet minder mag bedragen dan 5 % van de totale wereldwijde omzet van de rechtspersoon in het boekjaar voorafgaand aan het besluit tot oplegging van </w:t>
            </w:r>
            <w:r>
              <w:rPr>
                <w:b/>
                <w:i/>
              </w:rPr>
              <w:t>een</w:t>
            </w:r>
            <w:r>
              <w:t xml:space="preserve"> geldboete.</w:t>
            </w:r>
          </w:p>
        </w:tc>
        <w:tc>
          <w:tcPr>
            <w:tcW w:w="4876" w:type="dxa"/>
            <w:hideMark/>
          </w:tcPr>
          <w:p w:rsidR="005C6334" w:rsidRPr="005C6334" w:rsidRDefault="00F61E6E" w:rsidP="00100845">
            <w:pPr>
              <w:pStyle w:val="Normal6"/>
              <w:rPr>
                <w:szCs w:val="24"/>
              </w:rPr>
            </w:pPr>
            <w:r>
              <w:t>3.</w:t>
            </w:r>
            <w:r>
              <w:tab/>
              <w:t>De lidstaten neme</w:t>
            </w:r>
            <w:r>
              <w:t xml:space="preserve">n de nodige maatregelen om ervoor te zorgen dat, ingeval rechtspersonen aansprakelijk zijn gesteld uit hoofde van artikel 13, strafbare feiten waarop voor natuurlijke personen een maximumgevangenisstraf van ten minste drie jaar is gesteld, worden gestraft </w:t>
            </w:r>
            <w:r>
              <w:t xml:space="preserve">met geldboetes waarvan het maximumbedrag niet minder mag bedragen dan 5 % van de totale wereldwijde omzet van de rechtspersoon </w:t>
            </w:r>
            <w:r>
              <w:rPr>
                <w:b/>
                <w:i/>
              </w:rPr>
              <w:t xml:space="preserve">ofwel in het boekjaar voorafgaand aan het jaar waarin het strafbare feit werd gepleegd ofwel </w:t>
            </w:r>
            <w:r>
              <w:t xml:space="preserve">in het boekjaar </w:t>
            </w:r>
            <w:r>
              <w:lastRenderedPageBreak/>
              <w:t xml:space="preserve">voorafgaand aan het </w:t>
            </w:r>
            <w:r>
              <w:t xml:space="preserve">besluit tot oplegging van </w:t>
            </w:r>
            <w:r>
              <w:rPr>
                <w:b/>
                <w:i/>
              </w:rPr>
              <w:t>de</w:t>
            </w:r>
            <w:r>
              <w:t xml:space="preserve"> geldboete</w:t>
            </w:r>
            <w:r>
              <w:rPr>
                <w:b/>
                <w:i/>
              </w:rPr>
              <w:t>, of dan 40 000 000</w:t>
            </w:r>
            <w:r>
              <w:rPr>
                <w:b/>
                <w:bCs/>
                <w:i/>
                <w:iCs/>
              </w:rPr>
              <w:t> EUR</w:t>
            </w:r>
            <w:r>
              <w:t>.</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28</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14 – lid 3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 xml:space="preserve">Door de </w:t>
            </w:r>
            <w:r>
              <w:t>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3 bis.</w:t>
            </w:r>
            <w:r>
              <w:rPr>
                <w:b/>
                <w:i/>
              </w:rPr>
              <w:tab/>
              <w:t xml:space="preserve">De lidstaten kunnen regels vaststellen voor gevallen waarin het niet mogelijk is het bedrag van de geldboete te bepalen op basis van de totale wereldwijde omzet van de rechtspersoon in het boekjaar </w:t>
            </w:r>
            <w:r>
              <w:rPr>
                <w:b/>
                <w:i/>
              </w:rPr>
              <w:t>voorafgaand aan het jaar waarin het strafbare feit is gepleegd of in het boekjaar voorafgaand aan het jaar waarin het besluit tot oplegging van de geldboete is genomen.</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29</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16 – lid 2 – alinea 2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a)</w:t>
            </w:r>
            <w:r>
              <w:tab/>
              <w:t xml:space="preserve">ten minste </w:t>
            </w:r>
            <w:r>
              <w:rPr>
                <w:b/>
                <w:i/>
              </w:rPr>
              <w:t>twintig</w:t>
            </w:r>
            <w:r>
              <w:t xml:space="preserve"> jaar vanaf de datum waarop het slachtoffer meerderjarig is geworden, voor feiten die ingevolge deze richtlijn strafbaar zijn gesteld met een maximumstraf van ten minste drie jaar gevangenisstraf;</w:t>
            </w:r>
          </w:p>
        </w:tc>
        <w:tc>
          <w:tcPr>
            <w:tcW w:w="4876" w:type="dxa"/>
            <w:hideMark/>
          </w:tcPr>
          <w:p w:rsidR="005C6334" w:rsidRPr="005C6334" w:rsidRDefault="00F61E6E" w:rsidP="00100845">
            <w:pPr>
              <w:pStyle w:val="Normal6"/>
              <w:rPr>
                <w:szCs w:val="24"/>
              </w:rPr>
            </w:pPr>
            <w:r>
              <w:t>a)</w:t>
            </w:r>
            <w:r>
              <w:tab/>
              <w:t xml:space="preserve">ten minste </w:t>
            </w:r>
            <w:r>
              <w:rPr>
                <w:b/>
                <w:i/>
              </w:rPr>
              <w:t>dertig</w:t>
            </w:r>
            <w:r>
              <w:t xml:space="preserve"> jaar vanaf de datum waarop het slachto</w:t>
            </w:r>
            <w:r>
              <w:t>ffer meerderjarig is geworden, voor feiten die ingevolge deze richtlijn strafbaar zijn gesteld met een maximumstraf van ten minste drie jaar gevangenisstraf;</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lastRenderedPageBreak/>
        <w:t>&lt;Amend&gt;</w:t>
      </w:r>
      <w:r>
        <w:t>Amendement</w:t>
      </w:r>
      <w:r>
        <w:tab/>
      </w:r>
      <w:r>
        <w:tab/>
      </w:r>
      <w:r>
        <w:rPr>
          <w:rStyle w:val="HideTWBExt"/>
        </w:rPr>
        <w:t>&lt;NumAm&gt;</w:t>
      </w:r>
      <w:r>
        <w:t>30</w:t>
      </w:r>
      <w:r>
        <w:rPr>
          <w:rStyle w:val="HideTWBExt"/>
        </w:rPr>
        <w:t>&lt;/NumAm&gt;</w:t>
      </w:r>
    </w:p>
    <w:p w:rsidR="005C6334" w:rsidRPr="005C6334" w:rsidRDefault="00F61E6E" w:rsidP="005C6334">
      <w:pPr>
        <w:pStyle w:val="NormalBold12b"/>
        <w:keepNext/>
      </w:pPr>
      <w:r>
        <w:rPr>
          <w:rStyle w:val="HideTWBExt"/>
        </w:rPr>
        <w:t>&lt;DocAmend&gt;</w:t>
      </w:r>
      <w:r>
        <w:t xml:space="preserve">Voorstel </w:t>
      </w:r>
      <w:r>
        <w:t>voor een richtlijn</w:t>
      </w:r>
      <w:r>
        <w:rPr>
          <w:rStyle w:val="HideTWBExt"/>
        </w:rPr>
        <w:t>&lt;/DocAmend&gt;</w:t>
      </w:r>
    </w:p>
    <w:p w:rsidR="005C6334" w:rsidRPr="005C6334" w:rsidRDefault="00F61E6E" w:rsidP="005C6334">
      <w:pPr>
        <w:pStyle w:val="NormalBold"/>
      </w:pPr>
      <w:r>
        <w:rPr>
          <w:rStyle w:val="HideTWBExt"/>
        </w:rPr>
        <w:t>&lt;Article&gt;</w:t>
      </w:r>
      <w:r>
        <w:t>Artikel 16 – lid 2 – alinea 2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b)</w:t>
            </w:r>
            <w:r>
              <w:tab/>
              <w:t xml:space="preserve">ten minste </w:t>
            </w:r>
            <w:r>
              <w:rPr>
                <w:b/>
                <w:i/>
              </w:rPr>
              <w:t>vijfentwintig</w:t>
            </w:r>
            <w:r>
              <w:t xml:space="preserve"> jaar vanaf de datum waarop het slachtoffer meerderjarig is geworden, voor feiten die ingevolge deze richtlijn strafbaar zijn gesteld met een maximumstraf van ten minste vijf jaar gevangenisstraf;</w:t>
            </w:r>
          </w:p>
        </w:tc>
        <w:tc>
          <w:tcPr>
            <w:tcW w:w="4876" w:type="dxa"/>
            <w:hideMark/>
          </w:tcPr>
          <w:p w:rsidR="005C6334" w:rsidRPr="005C6334" w:rsidRDefault="00F61E6E" w:rsidP="00100845">
            <w:pPr>
              <w:pStyle w:val="Normal6"/>
              <w:rPr>
                <w:szCs w:val="24"/>
              </w:rPr>
            </w:pPr>
            <w:r>
              <w:t>b)</w:t>
            </w:r>
            <w:r>
              <w:tab/>
              <w:t xml:space="preserve">ten minste </w:t>
            </w:r>
            <w:r>
              <w:rPr>
                <w:b/>
                <w:i/>
              </w:rPr>
              <w:t>vijfendertig</w:t>
            </w:r>
            <w:r>
              <w:t xml:space="preserve"> jaar vanaf de datum waarop het s</w:t>
            </w:r>
            <w:r>
              <w:t>lachtoffer meerderjarig is geworden, voor feiten die ingevolge deze richtlijn strafbaar zijn gesteld met een maximumstraf van ten minste vijf jaar gevangenisstraf;</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31</w:t>
      </w:r>
      <w:r>
        <w:rPr>
          <w:rStyle w:val="HideTWBExt"/>
        </w:rPr>
        <w:t>&lt;/NumAm&gt;</w:t>
      </w:r>
    </w:p>
    <w:p w:rsidR="005C6334" w:rsidRPr="005C6334" w:rsidRDefault="00F61E6E" w:rsidP="005C6334">
      <w:pPr>
        <w:pStyle w:val="NormalBold12b"/>
        <w:keepNext/>
      </w:pPr>
      <w:r>
        <w:rPr>
          <w:rStyle w:val="HideTWBExt"/>
        </w:rPr>
        <w:t>&lt;DocAmend&gt;</w:t>
      </w:r>
      <w:r>
        <w:t>Voo</w:t>
      </w:r>
      <w:r>
        <w:t>rstel voor een richtlijn</w:t>
      </w:r>
      <w:r>
        <w:rPr>
          <w:rStyle w:val="HideTWBExt"/>
        </w:rPr>
        <w:t>&lt;/DocAmend&gt;</w:t>
      </w:r>
    </w:p>
    <w:p w:rsidR="005C6334" w:rsidRPr="005C6334" w:rsidRDefault="00F61E6E" w:rsidP="005C6334">
      <w:pPr>
        <w:pStyle w:val="NormalBold"/>
      </w:pPr>
      <w:r>
        <w:rPr>
          <w:rStyle w:val="HideTWBExt"/>
        </w:rPr>
        <w:t>&lt;Article&gt;</w:t>
      </w:r>
      <w:r>
        <w:t>Artikel 16 – lid 2 – alinea 2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c)</w:t>
            </w:r>
            <w:r>
              <w:tab/>
              <w:t xml:space="preserve">ten minste </w:t>
            </w:r>
            <w:r>
              <w:rPr>
                <w:b/>
                <w:i/>
              </w:rPr>
              <w:t>dertig</w:t>
            </w:r>
            <w:r>
              <w:t xml:space="preserve"> jaar vanaf de datum waarop het slachtoffer meerderjarig is geworden, voor feiten die ingevolge deze richtlijn strafbaar zijn gesteld met een maximumstraf van ten minste acht jaar gevangenisstraf.</w:t>
            </w:r>
          </w:p>
        </w:tc>
        <w:tc>
          <w:tcPr>
            <w:tcW w:w="4876" w:type="dxa"/>
            <w:hideMark/>
          </w:tcPr>
          <w:p w:rsidR="005C6334" w:rsidRPr="005C6334" w:rsidRDefault="00F61E6E" w:rsidP="00100845">
            <w:pPr>
              <w:pStyle w:val="Normal6"/>
              <w:rPr>
                <w:szCs w:val="24"/>
              </w:rPr>
            </w:pPr>
            <w:r>
              <w:t>c)</w:t>
            </w:r>
            <w:r>
              <w:tab/>
              <w:t xml:space="preserve">ten minste </w:t>
            </w:r>
            <w:r>
              <w:rPr>
                <w:b/>
                <w:i/>
              </w:rPr>
              <w:t>veertig</w:t>
            </w:r>
            <w:r>
              <w:t xml:space="preserve"> jaar vanaf de datum waarop het slacht</w:t>
            </w:r>
            <w:r>
              <w:t>offer meerderjarig is geworden, voor feiten die ingevolge deze richtlijn strafbaar zijn gesteld met een maximumstraf van ten minste acht jaar gevangenisstraf.</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32</w:t>
      </w:r>
      <w:r>
        <w:rPr>
          <w:rStyle w:val="HideTWBExt"/>
        </w:rPr>
        <w:t>&lt;/NumAm&gt;</w:t>
      </w:r>
    </w:p>
    <w:p w:rsidR="005C6334" w:rsidRPr="005C6334" w:rsidRDefault="00F61E6E" w:rsidP="005C6334">
      <w:pPr>
        <w:pStyle w:val="NormalBold12b"/>
        <w:keepNext/>
      </w:pPr>
      <w:r>
        <w:rPr>
          <w:rStyle w:val="HideTWBExt"/>
        </w:rPr>
        <w:t>&lt;DocAmend&gt;</w:t>
      </w:r>
      <w:r>
        <w:t>Voorstel</w:t>
      </w:r>
      <w:r>
        <w:t xml:space="preserve"> voor een richtlijn</w:t>
      </w:r>
      <w:r>
        <w:rPr>
          <w:rStyle w:val="HideTWBExt"/>
        </w:rPr>
        <w:t>&lt;/DocAmend&gt;</w:t>
      </w:r>
    </w:p>
    <w:p w:rsidR="005C6334" w:rsidRPr="005C6334" w:rsidRDefault="00F61E6E" w:rsidP="005C6334">
      <w:pPr>
        <w:pStyle w:val="NormalBold"/>
      </w:pPr>
      <w:r>
        <w:rPr>
          <w:rStyle w:val="HideTWBExt"/>
        </w:rPr>
        <w:t>&lt;Article&gt;</w:t>
      </w:r>
      <w:r>
        <w:t>Artikel 16 – lid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4.</w:t>
            </w:r>
            <w:r>
              <w:tab/>
            </w:r>
            <w:r>
              <w:t xml:space="preserve">De lidstaten zorgen ervoor dat personen, eenheden of diensten die de in de artikelen 3 tot en met 9 bedoelde strafbare feiten onderzoeken en vervolgen, over voldoende personeel, deskundigheid en </w:t>
            </w:r>
            <w:r>
              <w:rPr>
                <w:b/>
                <w:i/>
              </w:rPr>
              <w:t>doeltreffende onderzoeksmiddelen</w:t>
            </w:r>
            <w:r>
              <w:t xml:space="preserve"> </w:t>
            </w:r>
            <w:r>
              <w:lastRenderedPageBreak/>
              <w:t>beschikken om deze strafbare</w:t>
            </w:r>
            <w:r>
              <w:t xml:space="preserve"> feiten, met inbegrip van die welke zijn gepleegd met behulp van informatie- en communicatietechnologie, doeltreffend te onderzoeken en te vervolgen, overeenkomstig de toepasselijke regels van het Unierecht en het nationale recht. In voorkomend geval omvat</w:t>
            </w:r>
            <w:r>
              <w:t xml:space="preserve">ten deze </w:t>
            </w:r>
            <w:r>
              <w:rPr>
                <w:b/>
                <w:i/>
              </w:rPr>
              <w:t>onderzoeksmiddelen</w:t>
            </w:r>
            <w:r>
              <w:t xml:space="preserve"> speciale onderzoeksmiddelen, zoals die welke worden gebruikt bij de bestrijding van georganiseerde of andere zware criminaliteit, bijvoorbeeld de mogelijkheid om undercover-onderzoeken uit te voeren.</w:t>
            </w:r>
          </w:p>
        </w:tc>
        <w:tc>
          <w:tcPr>
            <w:tcW w:w="4876" w:type="dxa"/>
            <w:hideMark/>
          </w:tcPr>
          <w:p w:rsidR="005C6334" w:rsidRPr="005C6334" w:rsidRDefault="00F61E6E" w:rsidP="00100845">
            <w:pPr>
              <w:pStyle w:val="Normal6"/>
              <w:rPr>
                <w:szCs w:val="24"/>
              </w:rPr>
            </w:pPr>
            <w:r>
              <w:lastRenderedPageBreak/>
              <w:t>4.</w:t>
            </w:r>
            <w:r>
              <w:tab/>
              <w:t>De lidstaten zorgen ervoo</w:t>
            </w:r>
            <w:r>
              <w:t xml:space="preserve">r dat personen, eenheden of diensten die de in de artikelen 3 tot en met 9 bedoelde strafbare feiten onderzoeken en vervolgen, over voldoende personeel, deskundigheid en </w:t>
            </w:r>
            <w:r>
              <w:rPr>
                <w:b/>
                <w:i/>
              </w:rPr>
              <w:t>instrumenten</w:t>
            </w:r>
            <w:r>
              <w:t xml:space="preserve"> beschikken om deze </w:t>
            </w:r>
            <w:r>
              <w:lastRenderedPageBreak/>
              <w:t>strafbare feiten, met inbegrip van die welke zijn gepl</w:t>
            </w:r>
            <w:r>
              <w:t xml:space="preserve">eegd met behulp van informatie- en communicatietechnologie, doeltreffend te onderzoeken en te vervolgen, overeenkomstig de toepasselijke regels van het Unierecht en het nationale recht. In voorkomend geval omvatten deze </w:t>
            </w:r>
            <w:r>
              <w:rPr>
                <w:b/>
                <w:i/>
              </w:rPr>
              <w:t>instrumenten</w:t>
            </w:r>
            <w:r>
              <w:t xml:space="preserve"> speciale onderzoeksmidd</w:t>
            </w:r>
            <w:r>
              <w:t>elen, zoals die welke worden gebruikt bij de bestrijding van georganiseerde of andere zware criminaliteit, bijvoorbeeld de mogelijkheid om undercover-onderzoeken uit te voeren</w:t>
            </w:r>
            <w:r>
              <w:rPr>
                <w:b/>
                <w:i/>
              </w:rPr>
              <w:t>, de inzet van lokcomputers (zogenaamde “honeypots”), het onderscheppen van commu</w:t>
            </w:r>
            <w:r>
              <w:rPr>
                <w:b/>
                <w:i/>
              </w:rPr>
              <w:t>nicatie, heimelijke observatie, ook met gebruikmaking van elektronische middelen, en het monitoren van bankrekeningen of het doen van andere financiële onderzoeken</w:t>
            </w:r>
            <w:r>
              <w:t>.</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33</w:t>
      </w:r>
      <w:r>
        <w:rPr>
          <w:rStyle w:val="HideTWBExt"/>
        </w:rPr>
        <w:t>&lt;/NumAm&gt;</w:t>
      </w:r>
    </w:p>
    <w:p w:rsidR="005C6334" w:rsidRPr="005C6334" w:rsidRDefault="00F61E6E" w:rsidP="005C6334">
      <w:pPr>
        <w:pStyle w:val="NormalBold12b"/>
        <w:keepNext/>
      </w:pPr>
      <w:r>
        <w:rPr>
          <w:rStyle w:val="HideTWBExt"/>
        </w:rPr>
        <w:t>&lt;DocAmend&gt;</w:t>
      </w:r>
      <w:r>
        <w:t>Vo</w:t>
      </w:r>
      <w:r>
        <w:t>orstel voor een richtlijn</w:t>
      </w:r>
      <w:r>
        <w:rPr>
          <w:rStyle w:val="HideTWBExt"/>
        </w:rPr>
        <w:t>&lt;/DocAmend&gt;</w:t>
      </w:r>
    </w:p>
    <w:p w:rsidR="005C6334" w:rsidRPr="005C6334" w:rsidRDefault="00F61E6E" w:rsidP="005C6334">
      <w:pPr>
        <w:pStyle w:val="NormalBold"/>
      </w:pPr>
      <w:r>
        <w:rPr>
          <w:rStyle w:val="HideTWBExt"/>
        </w:rPr>
        <w:t>&lt;Article&gt;</w:t>
      </w:r>
      <w:r>
        <w:t>Artikel 17 – lid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3.</w:t>
            </w:r>
            <w:r>
              <w:tab/>
              <w:t xml:space="preserve">De lidstaten zorgen ervoor dat ten minste beroepsbeoefenaars die in de kinderbeschermings-, onderwijs-, kinderopvang- en </w:t>
            </w:r>
            <w:r>
              <w:t>gezondheidszorgsector in nauw contact komen met kinderen, verplicht zijn bij de bevoegde autoriteiten melding te doen van gevallen waarin zij redelijke gronden hebben om aan te nemen dat er een onder deze richtlijn vallend strafbaar feit is gepleegd of dat</w:t>
            </w:r>
            <w:r>
              <w:t xml:space="preserve"> er waarschijnlijk een dergelijk strafbaar feit zal worden gepleegd.</w:t>
            </w:r>
          </w:p>
        </w:tc>
        <w:tc>
          <w:tcPr>
            <w:tcW w:w="4876" w:type="dxa"/>
            <w:hideMark/>
          </w:tcPr>
          <w:p w:rsidR="005C6334" w:rsidRPr="005C6334" w:rsidRDefault="00F61E6E" w:rsidP="00100845">
            <w:pPr>
              <w:pStyle w:val="Normal6"/>
              <w:rPr>
                <w:szCs w:val="24"/>
              </w:rPr>
            </w:pPr>
            <w:r>
              <w:t>3.</w:t>
            </w:r>
            <w:r>
              <w:tab/>
              <w:t xml:space="preserve">De lidstaten zorgen ervoor dat ten minste beroepsbeoefenaars </w:t>
            </w:r>
            <w:r>
              <w:rPr>
                <w:b/>
                <w:i/>
              </w:rPr>
              <w:t xml:space="preserve">en vrijwilligers </w:t>
            </w:r>
            <w:r>
              <w:t>die in de kinderbeschermings-, onderwijs-, kinderopvang- en gezondheidszorgsector in nauw contact komen me</w:t>
            </w:r>
            <w:r>
              <w:t>t kinderen, verplicht zijn bij de bevoegde autoriteiten melding te doen van gevallen waarin zij redelijke gronden hebben om aan te nemen dat er een onder deze richtlijn vallend strafbaar feit is gepleegd of dat er waarschijnlijk een dergelijk strafbaar fei</w:t>
            </w:r>
            <w:r>
              <w:t>t zal worden gepleegd.</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lastRenderedPageBreak/>
        <w:t>&lt;Amend&gt;</w:t>
      </w:r>
      <w:r>
        <w:t>Amendement</w:t>
      </w:r>
      <w:r>
        <w:tab/>
      </w:r>
      <w:r>
        <w:tab/>
      </w:r>
      <w:r>
        <w:rPr>
          <w:rStyle w:val="HideTWBExt"/>
        </w:rPr>
        <w:t>&lt;NumAm&gt;</w:t>
      </w:r>
      <w:r>
        <w:t>34</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17 – lid 4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 xml:space="preserve">4 </w:t>
            </w:r>
            <w:r>
              <w:rPr>
                <w:b/>
                <w:i/>
              </w:rPr>
              <w:t>bis.</w:t>
            </w:r>
            <w:r>
              <w:rPr>
                <w:b/>
                <w:i/>
              </w:rPr>
              <w:tab/>
              <w:t>De lidstaten zorgen ervoor dat er toegankelijke, zichtbare, duidelijke, gebruiksvriendelijke en genderbewuste meldingsmechanismen bestaan die voldoen aan de kwaliteitsnormen van het Barnahus-model. De lidstaten zorgen ervoor dat er voor deze meldingsm</w:t>
            </w:r>
            <w:r>
              <w:rPr>
                <w:b/>
                <w:i/>
              </w:rPr>
              <w:t>echanismen voldoende middelen beschikbaar worden gesteld, onder meer wat betreft financiering en personeel.</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35</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 xml:space="preserve">Artikel 18 </w:t>
      </w:r>
      <w:r>
        <w:t>– lid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2.</w:t>
            </w:r>
            <w:r>
              <w:tab/>
              <w:t xml:space="preserve">De lidstaten zorgen ervoor dat de in lid 1 bedoelde meldingsprocedures veilig en vertrouwelijk zijn en op kindvriendelijke wijze zijn ontworpen, in een taal die is aangepast aan de </w:t>
            </w:r>
            <w:r>
              <w:t>leeftijd en maturiteit van de kinderen. De lidstaten zorgen ervoor dat het doen van een melding niet afhankelijk is van de ouderlijke toestemming.</w:t>
            </w:r>
          </w:p>
        </w:tc>
        <w:tc>
          <w:tcPr>
            <w:tcW w:w="4876" w:type="dxa"/>
            <w:hideMark/>
          </w:tcPr>
          <w:p w:rsidR="005C6334" w:rsidRPr="005C6334" w:rsidRDefault="00F61E6E" w:rsidP="00100845">
            <w:pPr>
              <w:pStyle w:val="Normal6"/>
              <w:rPr>
                <w:szCs w:val="24"/>
              </w:rPr>
            </w:pPr>
            <w:r>
              <w:t>2.</w:t>
            </w:r>
            <w:r>
              <w:tab/>
              <w:t xml:space="preserve">De lidstaten zorgen ervoor dat de in lid 1 bedoelde meldingsprocedures veilig en vertrouwelijk zijn en op </w:t>
            </w:r>
            <w:r>
              <w:t>kindvriendelijke wijze zijn ontworpen, in een taal die is aangepast aan de leeftijd en maturiteit van de kinderen. De lidstaten zorgen ervoor dat het doen van een melding niet afhankelijk is van de ouderlijke toestemming</w:t>
            </w:r>
            <w:r>
              <w:rPr>
                <w:b/>
                <w:i/>
              </w:rPr>
              <w:t xml:space="preserve"> en dat passende informatie wordt ve</w:t>
            </w:r>
            <w:r>
              <w:rPr>
                <w:b/>
                <w:i/>
              </w:rPr>
              <w:t>rstrekt over meldingsprocedures en ondersteunende diensten</w:t>
            </w:r>
            <w:r>
              <w:t>.</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lastRenderedPageBreak/>
        <w:t>&lt;Amend&gt;</w:t>
      </w:r>
      <w:r>
        <w:t>Amendement</w:t>
      </w:r>
      <w:r>
        <w:tab/>
      </w:r>
      <w:r>
        <w:tab/>
      </w:r>
      <w:r>
        <w:rPr>
          <w:rStyle w:val="HideTWBExt"/>
        </w:rPr>
        <w:t>&lt;NumAm&gt;</w:t>
      </w:r>
      <w:r>
        <w:t>36</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18 – lid 2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 xml:space="preserve">Door de </w:t>
            </w:r>
            <w:r>
              <w:t>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2 bis.</w:t>
            </w:r>
            <w:r>
              <w:rPr>
                <w:b/>
                <w:i/>
              </w:rPr>
              <w:tab/>
              <w:t>De lidstaten zetten multidisciplinaire interinstitutionele structuren op voor de aanpak van seksueel misbruik van kinderen, met inbegrip van misbruik dat door informatie- en communicatietechnologie wordt gef</w:t>
            </w:r>
            <w:r>
              <w:rPr>
                <w:b/>
                <w:i/>
              </w:rPr>
              <w:t>aciliteerd, en rekening houdend met de leeftijd van het kind.</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De lidstaten stimuleren en ondersteunen, ook financieel, andere meldingsmechanismen, met name:</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a) de ontwikkeling van speciale hulplijnen en meldpunten, met inbegrip van, maar niet beperkt t</w:t>
            </w:r>
            <w:r>
              <w:rPr>
                <w:b/>
                <w:i/>
              </w:rPr>
              <w:t>ot, het “116 000”-nummer voor vermiste kinderen;</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b) de aanstelling door onlineplatforms van welzijnsfunctionarissen die specifiek zijn opgeleid om informatie omtrent vermoedens van seksueel misbruik en seksuele uitbuiting van kinderen te ontvangen, te be</w:t>
            </w:r>
            <w:r>
              <w:rPr>
                <w:b/>
                <w:i/>
              </w:rPr>
              <w:t>oordelen en te melden.</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 xml:space="preserve">De lidstaten zorgen ervoor dat de in de tweede alinea bedoelde meldingssystemen volledig in de nationale systemen voor kinderbescherming worden geïntegreerd en dat zij over voldoende middelen beschikken, onder meer wat betreft </w:t>
            </w:r>
            <w:r>
              <w:rPr>
                <w:b/>
                <w:i/>
              </w:rPr>
              <w:t>financiering en personeel.</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37</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19 – lid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6.</w:t>
            </w:r>
            <w:r>
              <w:tab/>
              <w:t xml:space="preserve">Wanneer </w:t>
            </w:r>
            <w:r>
              <w:t>een strafbaar feit in de zin van de artikelen 3 tot en met 9 onder de rechtsmacht van meer dan één lidstaat valt, werken deze lidstaten samen om te bepalen welke lidstaat de strafprocedure moet voeren. In voorkomend geval wordt de zaak overeenkomstig artik</w:t>
            </w:r>
            <w:r>
              <w:t>el 12 van Kaderbesluit 2009/948/JBZ naar Eurojust verwezen.</w:t>
            </w:r>
          </w:p>
        </w:tc>
        <w:tc>
          <w:tcPr>
            <w:tcW w:w="4876" w:type="dxa"/>
            <w:hideMark/>
          </w:tcPr>
          <w:p w:rsidR="005C6334" w:rsidRPr="005C6334" w:rsidRDefault="00F61E6E" w:rsidP="00100845">
            <w:pPr>
              <w:pStyle w:val="Normal6"/>
              <w:rPr>
                <w:szCs w:val="24"/>
              </w:rPr>
            </w:pPr>
            <w:r>
              <w:t>6.</w:t>
            </w:r>
            <w:r>
              <w:tab/>
              <w:t>Wanneer een strafbaar feit in de zin van de artikelen 3 tot en met 9 onder de rechtsmacht van meer dan één lidstaat valt, werken deze lidstaten samen om te bepalen welke lidstaat de strafproced</w:t>
            </w:r>
            <w:r>
              <w:t>ure moet voeren. In voorkomend geval wordt de zaak overeenkomstig artikel 12 van Kaderbesluit 2009/948/JBZ naar Eurojust verwezen</w:t>
            </w:r>
            <w:r>
              <w:rPr>
                <w:b/>
                <w:i/>
              </w:rPr>
              <w:t xml:space="preserve"> en alle bevoegde nationale autoriteiten worden daarvan in kennis gesteld teneinde de grensoverschrijdende samenwerking te verg</w:t>
            </w:r>
            <w:r>
              <w:rPr>
                <w:b/>
                <w:i/>
              </w:rPr>
              <w:t>emakkelijken</w:t>
            </w:r>
            <w:r>
              <w:t>.</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38</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19 – lid 6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6 bis.</w:t>
            </w:r>
            <w:r>
              <w:rPr>
                <w:b/>
                <w:i/>
              </w:rPr>
              <w:tab/>
              <w:t xml:space="preserve">De </w:t>
            </w:r>
            <w:r>
              <w:rPr>
                <w:b/>
                <w:i/>
              </w:rPr>
              <w:t>lidstaten zorgen in voorkomend geval voor efficiënte samenwerking met Eurojust en Europol met betrekking tot strafprocedures in verband met strafbare feiten in verband met seksueel misbruik van kinderen, en met betrekking tot de overdracht van die procedur</w:t>
            </w:r>
            <w:r>
              <w:rPr>
                <w:b/>
                <w:i/>
              </w:rPr>
              <w:t>es, met name in gevallen waarbij meerdere lidstaten betrokken zijn. Deze samenwerking vergemakkelijkt grensoverschrijdende informatie-uitwisseling, gezamenlijke onderzoeken en bijstand bij vervolgingen.</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w:t>
      </w:r>
      <w:r>
        <w:t>dement</w:t>
      </w:r>
      <w:r>
        <w:tab/>
      </w:r>
      <w:r>
        <w:tab/>
      </w:r>
      <w:r>
        <w:rPr>
          <w:rStyle w:val="HideTWBExt"/>
        </w:rPr>
        <w:t>&lt;NumAm&gt;</w:t>
      </w:r>
      <w:r>
        <w:t>39</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21 – lid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2.</w:t>
            </w:r>
            <w:r>
              <w:tab/>
              <w:t xml:space="preserve">Slachtoffers krijgen gecoördineerde, op leeftijd afgestemde medische zorg, emotionele, </w:t>
            </w:r>
            <w:r>
              <w:t>psychosociale, psychologische en educatieve ondersteuning, alsmede alle andere passende ondersteuning die met name is toegesneden op situaties van seksueel misbruik.</w:t>
            </w:r>
          </w:p>
        </w:tc>
        <w:tc>
          <w:tcPr>
            <w:tcW w:w="4876" w:type="dxa"/>
            <w:hideMark/>
          </w:tcPr>
          <w:p w:rsidR="005C6334" w:rsidRPr="005C6334" w:rsidRDefault="00F61E6E" w:rsidP="00100845">
            <w:pPr>
              <w:pStyle w:val="Normal6"/>
              <w:rPr>
                <w:szCs w:val="24"/>
              </w:rPr>
            </w:pPr>
            <w:r>
              <w:t>2.</w:t>
            </w:r>
            <w:r>
              <w:tab/>
              <w:t xml:space="preserve">Slachtoffers krijgen </w:t>
            </w:r>
            <w:r>
              <w:rPr>
                <w:b/>
                <w:i/>
              </w:rPr>
              <w:t xml:space="preserve">volledige, gespecialiseerde, </w:t>
            </w:r>
            <w:r>
              <w:t>gecoördineerde, op leeftijd afgestemd</w:t>
            </w:r>
            <w:r>
              <w:t>e medische zorg</w:t>
            </w:r>
            <w:r>
              <w:rPr>
                <w:b/>
                <w:i/>
              </w:rPr>
              <w:t>, genderbewuste</w:t>
            </w:r>
            <w:r>
              <w:t>, emotionele, psychosociale, psychologische en educatieve ondersteuning, alsmede alle andere passende ondersteuning die met name is toegesneden op situaties van seksueel misbruik.</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w:t>
      </w:r>
      <w:r>
        <w:rPr>
          <w:rStyle w:val="HideTWBExt"/>
        </w:rPr>
        <w:t>nd&gt;</w:t>
      </w:r>
      <w:r>
        <w:t>Amendement</w:t>
      </w:r>
      <w:r>
        <w:tab/>
      </w:r>
      <w:r>
        <w:tab/>
      </w:r>
      <w:r>
        <w:rPr>
          <w:rStyle w:val="HideTWBExt"/>
        </w:rPr>
        <w:t>&lt;NumAm&gt;</w:t>
      </w:r>
      <w:r>
        <w:t>40</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23 – lid 3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a)</w:t>
            </w:r>
            <w:r>
              <w:tab/>
              <w:t xml:space="preserve">ten minste </w:t>
            </w:r>
            <w:r>
              <w:rPr>
                <w:b/>
                <w:i/>
              </w:rPr>
              <w:t>twintig</w:t>
            </w:r>
            <w:r>
              <w:t xml:space="preserve"> jaar vanaf de datum waarop het slachtoffer meerderjarig is geworden, voor feiten die ingevolge deze richtlijn strafbaar zijn gesteld met een maximumstraf van ten minste drie jaar gevangenisstraf;</w:t>
            </w:r>
          </w:p>
        </w:tc>
        <w:tc>
          <w:tcPr>
            <w:tcW w:w="4876" w:type="dxa"/>
            <w:hideMark/>
          </w:tcPr>
          <w:p w:rsidR="005C6334" w:rsidRPr="005C6334" w:rsidRDefault="00F61E6E" w:rsidP="00100845">
            <w:pPr>
              <w:pStyle w:val="Normal6"/>
              <w:rPr>
                <w:szCs w:val="24"/>
              </w:rPr>
            </w:pPr>
            <w:r>
              <w:t>a)</w:t>
            </w:r>
            <w:r>
              <w:tab/>
              <w:t xml:space="preserve">ten minste </w:t>
            </w:r>
            <w:r>
              <w:rPr>
                <w:b/>
                <w:i/>
              </w:rPr>
              <w:t>dertig</w:t>
            </w:r>
            <w:r>
              <w:t xml:space="preserve"> jaar vanaf de datum waarop het slachto</w:t>
            </w:r>
            <w:r>
              <w:t>ffer meerderjarig is geworden, voor feiten die ingevolge deze richtlijn strafbaar zijn gesteld met een maximumstraf van ten minste drie jaar gevangenisstraf;</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41</w:t>
      </w:r>
      <w:r>
        <w:rPr>
          <w:rStyle w:val="HideTWBExt"/>
        </w:rPr>
        <w:t>&lt;/NumAm&gt;</w:t>
      </w:r>
    </w:p>
    <w:p w:rsidR="005C6334" w:rsidRPr="005C6334" w:rsidRDefault="00F61E6E" w:rsidP="005C6334">
      <w:pPr>
        <w:pStyle w:val="NormalBold12b"/>
        <w:keepNext/>
      </w:pPr>
      <w:r>
        <w:rPr>
          <w:rStyle w:val="HideTWBExt"/>
        </w:rPr>
        <w:t>&lt;DocAmend&gt;</w:t>
      </w:r>
      <w:r>
        <w:t xml:space="preserve">Voorstel </w:t>
      </w:r>
      <w:r>
        <w:t>voor een richtlijn</w:t>
      </w:r>
      <w:r>
        <w:rPr>
          <w:rStyle w:val="HideTWBExt"/>
        </w:rPr>
        <w:t>&lt;/DocAmend&gt;</w:t>
      </w:r>
    </w:p>
    <w:p w:rsidR="005C6334" w:rsidRPr="005C6334" w:rsidRDefault="00F61E6E" w:rsidP="005C6334">
      <w:pPr>
        <w:pStyle w:val="NormalBold"/>
      </w:pPr>
      <w:r>
        <w:rPr>
          <w:rStyle w:val="HideTWBExt"/>
        </w:rPr>
        <w:t>&lt;Article&gt;</w:t>
      </w:r>
      <w:r>
        <w:t>Artikel 23 – lid 3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b)</w:t>
            </w:r>
            <w:r>
              <w:tab/>
              <w:t xml:space="preserve">ten minste </w:t>
            </w:r>
            <w:r>
              <w:rPr>
                <w:b/>
                <w:i/>
              </w:rPr>
              <w:t>vijfentwintig</w:t>
            </w:r>
            <w:r>
              <w:t xml:space="preserve"> jaar vanaf de datum waarop het slachtoffer meerderjarig is geworden, voor feiten die ingevolge deze </w:t>
            </w:r>
            <w:r>
              <w:t>richtlijn strafbaar zijn gesteld met een maximumstraf van ten minste vijf jaar gevangenisstraf;</w:t>
            </w:r>
          </w:p>
        </w:tc>
        <w:tc>
          <w:tcPr>
            <w:tcW w:w="4876" w:type="dxa"/>
            <w:hideMark/>
          </w:tcPr>
          <w:p w:rsidR="005C6334" w:rsidRPr="005C6334" w:rsidRDefault="00F61E6E" w:rsidP="00100845">
            <w:pPr>
              <w:pStyle w:val="Normal6"/>
              <w:rPr>
                <w:szCs w:val="24"/>
              </w:rPr>
            </w:pPr>
            <w:r>
              <w:t>b)</w:t>
            </w:r>
            <w:r>
              <w:tab/>
              <w:t xml:space="preserve">ten minste </w:t>
            </w:r>
            <w:r>
              <w:rPr>
                <w:b/>
                <w:i/>
              </w:rPr>
              <w:t>vijfendertig</w:t>
            </w:r>
            <w:r>
              <w:t xml:space="preserve"> jaar vanaf de datum waarop het slachtoffer meerderjarig is geworden, voor feiten die ingevolge deze richtlijn strafbaar zijn gesteld </w:t>
            </w:r>
            <w:r>
              <w:t>met een maximumstraf van ten minste vijf jaar gevangenisstraf;</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42</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23 – lid 3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 xml:space="preserve">Door de </w:t>
            </w:r>
            <w:r>
              <w:t>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c)</w:t>
            </w:r>
            <w:r>
              <w:tab/>
              <w:t xml:space="preserve">ten minste </w:t>
            </w:r>
            <w:r>
              <w:rPr>
                <w:b/>
                <w:i/>
              </w:rPr>
              <w:t>dertig</w:t>
            </w:r>
            <w:r>
              <w:t xml:space="preserve"> jaar vanaf de datum waarop het slachtoffer meerderjarig is geworden, voor feiten die ingevolge deze richtlijn strafbaar zijn gesteld met een maximumstraf van ten minste acht jaar gevangenisstraf</w:t>
            </w:r>
            <w:r>
              <w:t>.</w:t>
            </w:r>
          </w:p>
        </w:tc>
        <w:tc>
          <w:tcPr>
            <w:tcW w:w="4876" w:type="dxa"/>
            <w:hideMark/>
          </w:tcPr>
          <w:p w:rsidR="005C6334" w:rsidRPr="005C6334" w:rsidRDefault="00F61E6E" w:rsidP="00100845">
            <w:pPr>
              <w:pStyle w:val="Normal6"/>
              <w:rPr>
                <w:szCs w:val="24"/>
              </w:rPr>
            </w:pPr>
            <w:r>
              <w:t>c)</w:t>
            </w:r>
            <w:r>
              <w:tab/>
              <w:t xml:space="preserve">ten minste </w:t>
            </w:r>
            <w:r>
              <w:rPr>
                <w:b/>
                <w:i/>
              </w:rPr>
              <w:t>veertig</w:t>
            </w:r>
            <w:r>
              <w:t xml:space="preserve"> jaar vanaf de datum waarop het slachtoffer meerderjarig is geworden, voor feiten die ingevolge deze richtlijn strafbaar zijn gesteld met een maximumstraf van ten minste acht jaar gevangenisstraf.</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43</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28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1.</w:t>
            </w:r>
            <w:r>
              <w:tab/>
              <w:t>Om de vraag die de voedingsbodem is voor alle vormen van seksuele uit</w:t>
            </w:r>
            <w:r>
              <w:t>buiting van kinderen, te ontmoedigen en te doen afnemen, nemen de lidstaten passende maatregelen, onder meer op het gebied van onderwijs en opleiding, voorlichtings- en bewustmakingscampagnes over de levenslange gevolgen van seksueel misbruik en seksuele u</w:t>
            </w:r>
            <w:r>
              <w:t>itbuiting van kinderen, het illegale karakter ervan en de mogelijkheid voor personen die vrezen dat zij daarmee verband houdende strafbare feiten zouden kunnen plegen, om toegang te krijgen tot specifieke en doeltreffende interventieprogramma’s of -maatreg</w:t>
            </w:r>
            <w:r>
              <w:t>elen .</w:t>
            </w:r>
          </w:p>
        </w:tc>
        <w:tc>
          <w:tcPr>
            <w:tcW w:w="4876" w:type="dxa"/>
            <w:hideMark/>
          </w:tcPr>
          <w:p w:rsidR="005C6334" w:rsidRPr="005C6334" w:rsidRDefault="00F61E6E" w:rsidP="00100845">
            <w:pPr>
              <w:pStyle w:val="Normal6"/>
              <w:rPr>
                <w:szCs w:val="24"/>
              </w:rPr>
            </w:pPr>
            <w:r>
              <w:t>1.</w:t>
            </w:r>
            <w:r>
              <w:tab/>
              <w:t>Om de vraag die de voedingsbodem is voor alle vormen van seksuele uitbuiting van kinderen, te ontmoedigen en te doen afnemen, nemen de lidstaten passende maatregelen, onder meer op het gebied van onderwijs en opleiding, voorlichtings- en bewustma</w:t>
            </w:r>
            <w:r>
              <w:t>kingscampagnes over de levenslange gevolgen van seksueel misbruik en seksuele uitbuiting van kinderen, het illegale karakter ervan en de mogelijkheid voor personen die vrezen dat zij daarmee verband houdende strafbare feiten zouden kunnen plegen, om toegan</w:t>
            </w:r>
            <w:r>
              <w:t>g te krijgen tot specifieke en doeltreffende interventieprogramma’s of -maatregelen.</w:t>
            </w:r>
            <w:r>
              <w:rPr>
                <w:b/>
                <w:i/>
              </w:rPr>
              <w:t xml:space="preserve"> De lidstaten ontwikkelen een communicatiestrategie en bevorderen de dialoog en samenwerking met maatschappelijke organisaties, meldpunten, hulplijnen, </w:t>
            </w:r>
            <w:r>
              <w:rPr>
                <w:b/>
                <w:i/>
              </w:rPr>
              <w:lastRenderedPageBreak/>
              <w:t xml:space="preserve">overheidsinstanties </w:t>
            </w:r>
            <w:r>
              <w:rPr>
                <w:b/>
                <w:i/>
              </w:rPr>
              <w:t>en relevante diensten van de informatiemaatschappij.</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44</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28 – lid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 xml:space="preserve">Door de Commissie voorgestelde </w:t>
            </w:r>
            <w:r>
              <w:t>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2.</w:t>
            </w:r>
            <w:r>
              <w:tab/>
              <w:t>De lidstaten nemen passende maatregelen, onder meer via het internet, zoals het opzetten, in voorkomend geval in samenwerking met relevante organisaties uit het maatschappelijk middenveld en andere belanghebbenden, van informatie- en b</w:t>
            </w:r>
            <w:r>
              <w:t>ewustwordingscampagnes en onderzoeks-, onderwijs- en opleidingsprogramma’s of -materiaal die erop zijn gericht het bewustzijn te vergroten en het risico dat kinderen slachtoffer worden van seksueel misbruik of seksuele uitbuiting, te beperken.</w:t>
            </w:r>
          </w:p>
        </w:tc>
        <w:tc>
          <w:tcPr>
            <w:tcW w:w="4876" w:type="dxa"/>
            <w:hideMark/>
          </w:tcPr>
          <w:p w:rsidR="005C6334" w:rsidRPr="005C6334" w:rsidRDefault="00F61E6E" w:rsidP="00100845">
            <w:pPr>
              <w:pStyle w:val="Normal6"/>
              <w:rPr>
                <w:szCs w:val="24"/>
              </w:rPr>
            </w:pPr>
            <w:r>
              <w:t>2.</w:t>
            </w:r>
            <w:r>
              <w:tab/>
              <w:t xml:space="preserve">De </w:t>
            </w:r>
            <w:r>
              <w:t>lidstaten nemen passende maatregelen, onder meer via het internet, zoals het opzetten, in voorkomend geval in samenwerking met relevante organisaties uit het maatschappelijk middenveld en andere belanghebbenden, van informatie- en bewustwordingscampagnes e</w:t>
            </w:r>
            <w:r>
              <w:t>n onderzoeks-</w:t>
            </w:r>
            <w:r>
              <w:rPr>
                <w:b/>
                <w:i/>
              </w:rPr>
              <w:t> </w:t>
            </w:r>
            <w:r>
              <w:t>, onderwijs- en opleidingsprogramma’s of -materiaal</w:t>
            </w:r>
            <w:r>
              <w:rPr>
                <w:b/>
                <w:i/>
              </w:rPr>
              <w:t>, onder meer over seksuele voorlichting of veilig gebruik van het internet,</w:t>
            </w:r>
            <w:r>
              <w:t xml:space="preserve"> die erop zijn gericht het bewustzijn te vergroten en het risico dat kinderen slachtoffer worden van seksueel misbru</w:t>
            </w:r>
            <w:r>
              <w:t>ik of seksuele uitbuiting, te beperken.</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45</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28 – lid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3.</w:t>
            </w:r>
            <w:r>
              <w:tab/>
              <w:t>Elke lidstaat bevordert regelmatige opleiding, onder meer over kindvriendelijke justitie voor beroepsbeoefenaars, rechters en ambtenaren die mogelijk in aanraking komen met kinderen die slachtoffer zijn van seksueel misbruik of seksuele uitbuiting, met</w:t>
            </w:r>
            <w:r>
              <w:t xml:space="preserve"> inbegrip van maar niet </w:t>
            </w:r>
            <w:r>
              <w:lastRenderedPageBreak/>
              <w:t>beperkt tot beroepsbeoefenaars op het gebied van kinderbescherming, juridische beroepsbeoefenaars, leerkrachten</w:t>
            </w:r>
            <w:r>
              <w:rPr>
                <w:b/>
                <w:i/>
              </w:rPr>
              <w:t xml:space="preserve"> en</w:t>
            </w:r>
            <w:r>
              <w:t xml:space="preserve"> opvoeders, rechters van familierechtbanken en eerstelijnspolitieagenten; deze opleiding moet hen in staat stellen kin</w:t>
            </w:r>
            <w:r>
              <w:t>deren die slachtoffer zijn of kunnen worden van seksueel misbruik of seksuele uitbuiting, te herkennen en met hen om te gaan.</w:t>
            </w:r>
          </w:p>
        </w:tc>
        <w:tc>
          <w:tcPr>
            <w:tcW w:w="4876" w:type="dxa"/>
            <w:hideMark/>
          </w:tcPr>
          <w:p w:rsidR="005C6334" w:rsidRPr="005C6334" w:rsidRDefault="00F61E6E" w:rsidP="00100845">
            <w:pPr>
              <w:pStyle w:val="Normal6"/>
              <w:rPr>
                <w:szCs w:val="24"/>
              </w:rPr>
            </w:pPr>
            <w:r>
              <w:lastRenderedPageBreak/>
              <w:t>3.</w:t>
            </w:r>
            <w:r>
              <w:tab/>
              <w:t>Elke lidstaat bevordert regelmatige opleiding, onder meer over kindvriendelijke justitie voor beroepsbeoefenaars, rechters en a</w:t>
            </w:r>
            <w:r>
              <w:t xml:space="preserve">mbtenaren die mogelijk in aanraking komen met kinderen die slachtoffer zijn van seksueel misbruik of seksuele uitbuiting, met inbegrip van maar niet </w:t>
            </w:r>
            <w:r>
              <w:lastRenderedPageBreak/>
              <w:t>beperkt tot beroepsbeoefenaars op het gebied van kinderbescherming, juridische beroepsbeoefenaars, leerkrac</w:t>
            </w:r>
            <w:r>
              <w:t>hten</w:t>
            </w:r>
            <w:r>
              <w:rPr>
                <w:b/>
                <w:i/>
              </w:rPr>
              <w:t>, kinderopvangpersoneel, professionals in de gezondheidszorg,</w:t>
            </w:r>
            <w:r>
              <w:t xml:space="preserve"> opvoeders, rechters van familierechtbanken en eerstelijnspolitieagenten; deze opleiding moet hen in staat stellen kinderen die slachtoffer zijn of kunnen worden van seksueel misbruik of seks</w:t>
            </w:r>
            <w:r>
              <w:t>uele uitbuiting, te herkennen en met hen om te gaan.</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46</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28 – lid 4 – alinea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 xml:space="preserve">Door de Commissie </w:t>
            </w:r>
            <w:r>
              <w:t>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 xml:space="preserve">De lidstaten nemen passende maatregelen om de preventie van seksueel misbruik van kinderen in gemeenschapsomgevingen, waaronder scholen, ziekenhuizen, sociale zorgdiensten, sportclubs of religieuze gemeenschappen, te </w:t>
            </w:r>
            <w:r>
              <w:rPr>
                <w:b/>
                <w:i/>
              </w:rPr>
              <w:t>verbeter</w:t>
            </w:r>
            <w:r>
              <w:rPr>
                <w:b/>
                <w:i/>
              </w:rPr>
              <w:t>en</w:t>
            </w:r>
            <w:r>
              <w:t>.</w:t>
            </w:r>
          </w:p>
        </w:tc>
        <w:tc>
          <w:tcPr>
            <w:tcW w:w="4876" w:type="dxa"/>
            <w:hideMark/>
          </w:tcPr>
          <w:p w:rsidR="005C6334" w:rsidRPr="005C6334" w:rsidRDefault="00F61E6E" w:rsidP="00100845">
            <w:pPr>
              <w:pStyle w:val="Normal6"/>
              <w:rPr>
                <w:szCs w:val="24"/>
              </w:rPr>
            </w:pPr>
            <w:r>
              <w:t xml:space="preserve">De lidstaten nemen passende maatregelen om de preventie van seksueel misbruik van kinderen in gemeenschapsomgevingen, waaronder scholen, ziekenhuizen, sociale zorgdiensten, </w:t>
            </w:r>
            <w:r>
              <w:rPr>
                <w:b/>
                <w:i/>
              </w:rPr>
              <w:t xml:space="preserve">crèches, </w:t>
            </w:r>
            <w:r>
              <w:t xml:space="preserve">sportclubs of religieuze gemeenschappen, te </w:t>
            </w:r>
            <w:r>
              <w:rPr>
                <w:b/>
                <w:i/>
              </w:rPr>
              <w:t>waarborgen, teneinde kinde</w:t>
            </w:r>
            <w:r>
              <w:rPr>
                <w:b/>
                <w:i/>
              </w:rPr>
              <w:t>ren en volwassenen, met inbegrip van ouders en opvoeders, uit te rusten met passende vaardigheden om potentieel kwaadwillig gedrag online op te merken</w:t>
            </w:r>
            <w:r>
              <w:t>.</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47</w:t>
      </w:r>
      <w:r>
        <w:rPr>
          <w:rStyle w:val="HideTWBExt"/>
        </w:rPr>
        <w:t>&lt;/NumAm&gt;</w:t>
      </w:r>
    </w:p>
    <w:p w:rsidR="005C6334" w:rsidRPr="005C6334" w:rsidRDefault="00F61E6E" w:rsidP="005C6334">
      <w:pPr>
        <w:pStyle w:val="NormalBold12b"/>
        <w:keepNext/>
      </w:pPr>
      <w:r>
        <w:rPr>
          <w:rStyle w:val="HideTWBExt"/>
        </w:rPr>
        <w:t>&lt;DocAmend&gt;</w:t>
      </w:r>
      <w:r>
        <w:t>Voorstel voor e</w:t>
      </w:r>
      <w:r>
        <w:t>en richtlijn</w:t>
      </w:r>
      <w:r>
        <w:rPr>
          <w:rStyle w:val="HideTWBExt"/>
        </w:rPr>
        <w:t>&lt;/DocAmend&gt;</w:t>
      </w:r>
    </w:p>
    <w:p w:rsidR="005C6334" w:rsidRPr="005C6334" w:rsidRDefault="00F61E6E" w:rsidP="005C6334">
      <w:pPr>
        <w:pStyle w:val="NormalBold"/>
      </w:pPr>
      <w:r>
        <w:rPr>
          <w:rStyle w:val="HideTWBExt"/>
        </w:rPr>
        <w:t>&lt;Article&gt;</w:t>
      </w:r>
      <w:r>
        <w:t>Artikel 28 – lid 4 – alinea 2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a)</w:t>
            </w:r>
            <w:r>
              <w:tab/>
              <w:t>specifieke opleidings- en bewustmakingsactiviteiten voor personeel</w:t>
            </w:r>
            <w:r>
              <w:rPr>
                <w:b/>
                <w:i/>
              </w:rPr>
              <w:t xml:space="preserve"> dat</w:t>
            </w:r>
            <w:r>
              <w:t xml:space="preserve"> in </w:t>
            </w:r>
            <w:r>
              <w:rPr>
                <w:b/>
                <w:i/>
              </w:rPr>
              <w:t>dergelijke omgevingen werkt;</w:t>
            </w:r>
          </w:p>
        </w:tc>
        <w:tc>
          <w:tcPr>
            <w:tcW w:w="4876" w:type="dxa"/>
            <w:hideMark/>
          </w:tcPr>
          <w:p w:rsidR="005C6334" w:rsidRPr="005C6334" w:rsidRDefault="00F61E6E" w:rsidP="00100845">
            <w:pPr>
              <w:pStyle w:val="Normal6"/>
              <w:rPr>
                <w:szCs w:val="24"/>
              </w:rPr>
            </w:pPr>
            <w:r>
              <w:t>a)</w:t>
            </w:r>
            <w:r>
              <w:tab/>
              <w:t xml:space="preserve">specifieke </w:t>
            </w:r>
            <w:r>
              <w:t>opleidings- en bewustmakingsactiviteiten voor personeel</w:t>
            </w:r>
            <w:r>
              <w:rPr>
                <w:b/>
                <w:i/>
              </w:rPr>
              <w:t>, consultants en vrijwilligers die</w:t>
            </w:r>
            <w:r>
              <w:t xml:space="preserve"> in </w:t>
            </w:r>
            <w:r>
              <w:rPr>
                <w:b/>
                <w:i/>
              </w:rPr>
              <w:t xml:space="preserve">nauw </w:t>
            </w:r>
            <w:r>
              <w:rPr>
                <w:b/>
                <w:i/>
              </w:rPr>
              <w:lastRenderedPageBreak/>
              <w:t xml:space="preserve">contact met kinderen werken, onder meer over preventie, herkenning en hoe te reageren in geval van seksueel misbruik en seksuele uitbuiting van kinderen op </w:t>
            </w:r>
            <w:r>
              <w:rPr>
                <w:b/>
                <w:i/>
              </w:rPr>
              <w:t>een manier die past bij de leeftijd van het kind, die genderbewust is en rekening houdt met trauma;</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48</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 xml:space="preserve">Artikel 28 – lid 4 </w:t>
      </w:r>
      <w:r>
        <w:t>– alinea 2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b)</w:t>
            </w:r>
            <w:r>
              <w:tab/>
              <w:t xml:space="preserve">specifieke richtsnoeren, interne protocollen en normen voor het in kaart brengen van goede praktijken, zoals het instellen van mechanismen voor toezicht en verantwoording </w:t>
            </w:r>
            <w:r>
              <w:t>voor personeel dat in dergelijke omgevingen in nauw contact staat met kinderen;</w:t>
            </w:r>
          </w:p>
        </w:tc>
        <w:tc>
          <w:tcPr>
            <w:tcW w:w="4876" w:type="dxa"/>
            <w:hideMark/>
          </w:tcPr>
          <w:p w:rsidR="005C6334" w:rsidRPr="005C6334" w:rsidRDefault="00F61E6E" w:rsidP="00100845">
            <w:pPr>
              <w:pStyle w:val="Normal6"/>
              <w:rPr>
                <w:szCs w:val="24"/>
              </w:rPr>
            </w:pPr>
            <w:r>
              <w:t>b)</w:t>
            </w:r>
            <w:r>
              <w:tab/>
            </w:r>
            <w:r>
              <w:rPr>
                <w:b/>
                <w:i/>
              </w:rPr>
              <w:t xml:space="preserve">verplicht beleid inzake de bescherming van kinderen, </w:t>
            </w:r>
            <w:r>
              <w:t>specifieke richtsnoeren, interne protocollen en normen voor het in kaart brengen van goede praktijken, zoals het instell</w:t>
            </w:r>
            <w:r>
              <w:t>en van mechanismen voor toezicht en verantwoording voor personeel dat in dergelijke omgevingen in nauw contact staat met kinderen;</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49</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w:t>
      </w:r>
      <w:r>
        <w:rPr>
          <w:rStyle w:val="HideTWBExt"/>
        </w:rPr>
        <w:t>d&gt;</w:t>
      </w:r>
    </w:p>
    <w:p w:rsidR="005C6334" w:rsidRPr="005C6334" w:rsidRDefault="00F61E6E" w:rsidP="005C6334">
      <w:pPr>
        <w:pStyle w:val="NormalBold"/>
      </w:pPr>
      <w:r>
        <w:rPr>
          <w:rStyle w:val="HideTWBExt"/>
        </w:rPr>
        <w:t>&lt;Article&gt;</w:t>
      </w:r>
      <w:r>
        <w:t>Artikel 28 – lid 5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c)</w:t>
            </w:r>
            <w:r>
              <w:tab/>
              <w:t xml:space="preserve">de uitwisseling van beste praktijken tussen lidstaten en derde landen te faciliteren door een openbare databank bij te houden van preventiemaatregelen </w:t>
            </w:r>
            <w:r>
              <w:t>en -programma’s die in alle lidstaten en in derde landen worden uitgevoerd</w:t>
            </w:r>
            <w:r>
              <w:rPr>
                <w:b/>
                <w:bCs/>
                <w:i/>
                <w:iCs/>
              </w:rPr>
              <w:t>.</w:t>
            </w:r>
          </w:p>
        </w:tc>
        <w:tc>
          <w:tcPr>
            <w:tcW w:w="4876" w:type="dxa"/>
            <w:hideMark/>
          </w:tcPr>
          <w:p w:rsidR="005C6334" w:rsidRPr="005C6334" w:rsidRDefault="00F61E6E" w:rsidP="00100845">
            <w:pPr>
              <w:pStyle w:val="Normal6"/>
              <w:rPr>
                <w:szCs w:val="24"/>
              </w:rPr>
            </w:pPr>
            <w:r>
              <w:t>c)</w:t>
            </w:r>
            <w:r>
              <w:tab/>
              <w:t xml:space="preserve">de </w:t>
            </w:r>
            <w:r>
              <w:rPr>
                <w:b/>
                <w:i/>
              </w:rPr>
              <w:t xml:space="preserve">ontwikkeling en </w:t>
            </w:r>
            <w:r>
              <w:t>uitwisseling van</w:t>
            </w:r>
            <w:r>
              <w:rPr>
                <w:b/>
                <w:i/>
              </w:rPr>
              <w:t xml:space="preserve"> kennis,</w:t>
            </w:r>
            <w:r>
              <w:t xml:space="preserve"> beste praktijken </w:t>
            </w:r>
            <w:r>
              <w:rPr>
                <w:b/>
                <w:i/>
              </w:rPr>
              <w:t xml:space="preserve">en expertise </w:t>
            </w:r>
            <w:r>
              <w:t>tussen lidstaten</w:t>
            </w:r>
            <w:r>
              <w:rPr>
                <w:b/>
                <w:i/>
              </w:rPr>
              <w:t>, instellingen, organen en instanties van de Unie</w:t>
            </w:r>
            <w:r>
              <w:t xml:space="preserve"> en derde landen te faciliteren door een openbare databank bij te houden van preventiemaatregelen en -programma’s die in alle lidstaten en in derde landen worden uitgevoerd</w:t>
            </w:r>
            <w:r>
              <w:rPr>
                <w:b/>
                <w:bCs/>
                <w:i/>
                <w:iCs/>
              </w:rPr>
              <w:t>;</w:t>
            </w:r>
          </w:p>
        </w:tc>
      </w:tr>
    </w:tbl>
    <w:p w:rsidR="005C6334" w:rsidRPr="005C6334" w:rsidRDefault="00F61E6E" w:rsidP="005C6334">
      <w:pPr>
        <w:pStyle w:val="Olang"/>
      </w:pPr>
      <w:r w:rsidRPr="005C6334">
        <w:rPr>
          <w:noProof w:val="0"/>
        </w:rPr>
        <w:lastRenderedPageBreak/>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50</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28 – lid 5 – punt c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Door de Commissie 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tcPr>
          <w:p w:rsidR="005C6334" w:rsidRPr="005C6334" w:rsidRDefault="005C6334" w:rsidP="00100845">
            <w:pPr>
              <w:pStyle w:val="Normal6"/>
            </w:pPr>
          </w:p>
        </w:tc>
        <w:tc>
          <w:tcPr>
            <w:tcW w:w="4876" w:type="dxa"/>
            <w:hideMark/>
          </w:tcPr>
          <w:p w:rsidR="005C6334" w:rsidRPr="005C6334" w:rsidRDefault="00F61E6E" w:rsidP="00100845">
            <w:pPr>
              <w:pStyle w:val="Normal6"/>
              <w:rPr>
                <w:szCs w:val="24"/>
              </w:rPr>
            </w:pPr>
            <w:r>
              <w:rPr>
                <w:b/>
                <w:i/>
              </w:rPr>
              <w:t>c bis)</w:t>
            </w:r>
            <w:r>
              <w:rPr>
                <w:b/>
                <w:i/>
              </w:rPr>
              <w:tab/>
              <w:t>de ontwikkeling van nationale bewustmakings- en preventiecampagnes, voorlichtings- en int</w:t>
            </w:r>
            <w:r>
              <w:rPr>
                <w:b/>
                <w:i/>
              </w:rPr>
              <w:t>erventieprogramma’s, -instrumenten en -materiaal te steunen.</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w:t>
      </w:r>
    </w:p>
    <w:p w:rsidR="005C6334" w:rsidRPr="005C6334" w:rsidRDefault="00F61E6E" w:rsidP="005C6334">
      <w:pPr>
        <w:pStyle w:val="AMNumberTabs0"/>
        <w:keepNext/>
      </w:pPr>
      <w:r>
        <w:rPr>
          <w:rStyle w:val="HideTWBExt"/>
        </w:rPr>
        <w:t>&lt;Amend&gt;</w:t>
      </w:r>
      <w:r>
        <w:t>Amendement</w:t>
      </w:r>
      <w:r>
        <w:tab/>
      </w:r>
      <w:r>
        <w:tab/>
      </w:r>
      <w:r>
        <w:rPr>
          <w:rStyle w:val="HideTWBExt"/>
        </w:rPr>
        <w:t>&lt;NumAm&gt;</w:t>
      </w:r>
      <w:r>
        <w:t>51</w:t>
      </w:r>
      <w:r>
        <w:rPr>
          <w:rStyle w:val="HideTWBExt"/>
        </w:rPr>
        <w:t>&lt;/NumAm&gt;</w:t>
      </w:r>
    </w:p>
    <w:p w:rsidR="005C6334" w:rsidRPr="005C6334" w:rsidRDefault="00F61E6E" w:rsidP="005C6334">
      <w:pPr>
        <w:pStyle w:val="NormalBold12b"/>
        <w:keepNext/>
      </w:pPr>
      <w:r>
        <w:rPr>
          <w:rStyle w:val="HideTWBExt"/>
        </w:rPr>
        <w:t>&lt;DocAmend&gt;</w:t>
      </w:r>
      <w:r>
        <w:t>Voorstel voor een richtlijn</w:t>
      </w:r>
      <w:r>
        <w:rPr>
          <w:rStyle w:val="HideTWBExt"/>
        </w:rPr>
        <w:t>&lt;/DocAmend&gt;</w:t>
      </w:r>
    </w:p>
    <w:p w:rsidR="005C6334" w:rsidRPr="005C6334" w:rsidRDefault="00F61E6E" w:rsidP="005C6334">
      <w:pPr>
        <w:pStyle w:val="NormalBold"/>
      </w:pPr>
      <w:r>
        <w:rPr>
          <w:rStyle w:val="HideTWBExt"/>
        </w:rPr>
        <w:t>&lt;Article&gt;</w:t>
      </w:r>
      <w:r>
        <w:t>Artikel 31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4B2" w:rsidTr="00100845">
        <w:trPr>
          <w:jc w:val="center"/>
        </w:trPr>
        <w:tc>
          <w:tcPr>
            <w:tcW w:w="9752" w:type="dxa"/>
            <w:gridSpan w:val="2"/>
          </w:tcPr>
          <w:p w:rsidR="005C6334" w:rsidRPr="005C6334" w:rsidRDefault="005C6334" w:rsidP="00100845">
            <w:pPr>
              <w:keepNext/>
            </w:pPr>
          </w:p>
        </w:tc>
      </w:tr>
      <w:tr w:rsidR="00F404B2" w:rsidTr="00100845">
        <w:trPr>
          <w:jc w:val="center"/>
        </w:trPr>
        <w:tc>
          <w:tcPr>
            <w:tcW w:w="4876" w:type="dxa"/>
            <w:hideMark/>
          </w:tcPr>
          <w:p w:rsidR="005C6334" w:rsidRPr="005C6334" w:rsidRDefault="00F61E6E" w:rsidP="00100845">
            <w:pPr>
              <w:pStyle w:val="ColumnHeading"/>
              <w:keepNext/>
            </w:pPr>
            <w:r>
              <w:t xml:space="preserve">Door de Commissie </w:t>
            </w:r>
            <w:r>
              <w:t>voorgestelde tekst</w:t>
            </w:r>
          </w:p>
        </w:tc>
        <w:tc>
          <w:tcPr>
            <w:tcW w:w="4876" w:type="dxa"/>
            <w:hideMark/>
          </w:tcPr>
          <w:p w:rsidR="005C6334" w:rsidRPr="005C6334" w:rsidRDefault="00F61E6E" w:rsidP="00100845">
            <w:pPr>
              <w:pStyle w:val="ColumnHeading"/>
              <w:keepNext/>
            </w:pPr>
            <w:r>
              <w:t>Amendement</w:t>
            </w:r>
          </w:p>
        </w:tc>
      </w:tr>
      <w:tr w:rsidR="00F404B2" w:rsidTr="00100845">
        <w:trPr>
          <w:jc w:val="center"/>
        </w:trPr>
        <w:tc>
          <w:tcPr>
            <w:tcW w:w="4876" w:type="dxa"/>
            <w:hideMark/>
          </w:tcPr>
          <w:p w:rsidR="005C6334" w:rsidRPr="005C6334" w:rsidRDefault="00F61E6E" w:rsidP="00100845">
            <w:pPr>
              <w:pStyle w:val="Normal6"/>
            </w:pPr>
            <w:r>
              <w:t>1.</w:t>
            </w:r>
            <w:r>
              <w:tab/>
              <w:t xml:space="preserve">De lidstaten beschikken over een systeem voor het </w:t>
            </w:r>
            <w:r>
              <w:rPr>
                <w:b/>
                <w:i/>
              </w:rPr>
              <w:t>verzamelen, ontwikkelen</w:t>
            </w:r>
            <w:r>
              <w:t xml:space="preserve">, produceren en </w:t>
            </w:r>
            <w:r>
              <w:rPr>
                <w:b/>
                <w:i/>
              </w:rPr>
              <w:t>verspreiden</w:t>
            </w:r>
            <w:r>
              <w:t xml:space="preserve"> van </w:t>
            </w:r>
            <w:r>
              <w:rPr>
                <w:b/>
                <w:i/>
              </w:rPr>
              <w:t>openbare statistieken</w:t>
            </w:r>
            <w:r>
              <w:t xml:space="preserve"> over de in de artikelen 3 tot en met 9 bedoelde strafbare feiten.</w:t>
            </w:r>
          </w:p>
        </w:tc>
        <w:tc>
          <w:tcPr>
            <w:tcW w:w="4876" w:type="dxa"/>
            <w:hideMark/>
          </w:tcPr>
          <w:p w:rsidR="005C6334" w:rsidRPr="005C6334" w:rsidRDefault="00F61E6E" w:rsidP="00100845">
            <w:pPr>
              <w:pStyle w:val="Normal6"/>
              <w:rPr>
                <w:szCs w:val="24"/>
              </w:rPr>
            </w:pPr>
            <w:r>
              <w:t>1.</w:t>
            </w:r>
            <w:r>
              <w:tab/>
            </w:r>
            <w:r>
              <w:t xml:space="preserve">De lidstaten beschikken over een systeem voor het </w:t>
            </w:r>
            <w:r>
              <w:rPr>
                <w:b/>
                <w:i/>
              </w:rPr>
              <w:t>opslaan</w:t>
            </w:r>
            <w:r>
              <w:t xml:space="preserve">, produceren en </w:t>
            </w:r>
            <w:r>
              <w:rPr>
                <w:b/>
                <w:i/>
              </w:rPr>
              <w:t>verstrekken</w:t>
            </w:r>
            <w:r>
              <w:t xml:space="preserve"> van </w:t>
            </w:r>
            <w:r>
              <w:rPr>
                <w:b/>
                <w:i/>
              </w:rPr>
              <w:t>geanonimiseerde statistische gegevens</w:t>
            </w:r>
            <w:r>
              <w:t xml:space="preserve"> over </w:t>
            </w:r>
            <w:r>
              <w:rPr>
                <w:b/>
                <w:i/>
              </w:rPr>
              <w:t xml:space="preserve">meldingen, onderzoek en fasen van het juridische proces met betrekking tot </w:t>
            </w:r>
            <w:r>
              <w:t>de in de artikelen 3 tot en met 9 bedoelde strafb</w:t>
            </w:r>
            <w:r>
              <w:t>are feiten</w:t>
            </w:r>
            <w:r>
              <w:rPr>
                <w:b/>
                <w:i/>
              </w:rPr>
              <w:t>, om de effectiviteit van hun maatregelen ter bestrijding van seksueel misbruik en seksuele uitbuiting van kinderen te kunnen nagaan</w:t>
            </w:r>
            <w:r>
              <w:t>.</w:t>
            </w:r>
          </w:p>
        </w:tc>
      </w:tr>
    </w:tbl>
    <w:p w:rsidR="005C6334" w:rsidRPr="005C6334" w:rsidRDefault="00F61E6E" w:rsidP="005C6334">
      <w:pPr>
        <w:pStyle w:val="Olang"/>
      </w:pPr>
      <w:r w:rsidRPr="005C6334">
        <w:rPr>
          <w:noProof w:val="0"/>
        </w:rPr>
        <w:t xml:space="preserve">Or. </w:t>
      </w:r>
      <w:r w:rsidRPr="005C6334">
        <w:rPr>
          <w:rStyle w:val="HideTWBExt"/>
          <w:noProof w:val="0"/>
        </w:rPr>
        <w:t>&lt;Original&gt;</w:t>
      </w:r>
      <w:r w:rsidRPr="005C6334">
        <w:rPr>
          <w:rStyle w:val="HideTWBInt"/>
          <w:noProof w:val="0"/>
        </w:rPr>
        <w:t>{EN}</w:t>
      </w:r>
      <w:r w:rsidRPr="005C6334">
        <w:rPr>
          <w:noProof w:val="0"/>
        </w:rPr>
        <w:t>en</w:t>
      </w:r>
      <w:r w:rsidRPr="005C6334">
        <w:rPr>
          <w:rStyle w:val="HideTWBExt"/>
          <w:noProof w:val="0"/>
        </w:rPr>
        <w:t>&lt;/Original&gt;</w:t>
      </w:r>
    </w:p>
    <w:p w:rsidR="005C6334" w:rsidRPr="005C6334" w:rsidRDefault="00F61E6E" w:rsidP="005C6334">
      <w:r>
        <w:rPr>
          <w:rStyle w:val="HideTWBExt"/>
        </w:rPr>
        <w:t>&lt;/Amend&gt;&lt;/RepeatBlock-Amend&gt;</w:t>
      </w:r>
    </w:p>
    <w:p w:rsidR="005C6334" w:rsidRPr="005C6334" w:rsidRDefault="005C6334" w:rsidP="005C6334"/>
    <w:p w:rsidR="005C6334" w:rsidRPr="005C6334" w:rsidRDefault="005C6334" w:rsidP="005C6334"/>
    <w:p w:rsidR="005C6334" w:rsidRPr="005C6334" w:rsidRDefault="005C6334" w:rsidP="005C6334">
      <w:pPr>
        <w:widowControl/>
        <w:sectPr w:rsidR="005C6334" w:rsidRPr="005C6334" w:rsidSect="005C633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rsidR="005C6334" w:rsidRPr="005C6334" w:rsidRDefault="00F61E6E" w:rsidP="005C6334">
      <w:pPr>
        <w:pStyle w:val="PageHeading"/>
      </w:pPr>
      <w:bookmarkStart w:id="1" w:name="_Toc164175737"/>
      <w:bookmarkStart w:id="2" w:name="_Toc164413829"/>
      <w:bookmarkStart w:id="3" w:name="_Toc166504979"/>
      <w:r>
        <w:lastRenderedPageBreak/>
        <w:t>TOELICHTING</w:t>
      </w:r>
      <w:bookmarkEnd w:id="1"/>
      <w:bookmarkEnd w:id="2"/>
      <w:bookmarkEnd w:id="3"/>
    </w:p>
    <w:p w:rsidR="005C6334" w:rsidRPr="005C6334" w:rsidRDefault="00F61E6E" w:rsidP="005C6334">
      <w:r>
        <w:t>De verspreid</w:t>
      </w:r>
      <w:r>
        <w:t>ing van materiaal van seksueel misbruik van kinderen is de afgelopen tien jaar exponentieel toegenomen. Het feit dat kinderen steeds meer tijd op het internet doorbrengen heeft een rol gespeeld bij deze toename, evenals ontwikkelingen in de technologie. Me</w:t>
      </w:r>
      <w:r>
        <w:t>t digitale middelen en netwerken zoals livestreaming, virtuele werelden en deepfakes hebben overtreders nieuwe mogelijkheden in handen gekregen voor het genereren en verspreiden van materiaal op zodanige wijze dat hun identiteit verborgen blijft en hun dad</w:t>
      </w:r>
      <w:r>
        <w:t>en niet aan het licht komen, waardoor zij aan vervolging ontsnappen. Deze ontwikkelingen worden gestaafd door alarmerende statistieken. Een Amerikaanse non-profitorganisatie voor vermiste en uitgebuite kinderen (NCMEC – National Center for Missing and Expl</w:t>
      </w:r>
      <w:r>
        <w:t xml:space="preserve">oited Children) maakt melding van een wereldwijde toename van het aantal gevallen van seksuele uitbuiting van kinderen via het internet van 1 miljoen in 2010 naar ruim 21,7 miljoen in 2020. In 2021, tijdens de pandemie, werd een recordhoogte aan meldingen </w:t>
      </w:r>
      <w:r>
        <w:t>geregistreerd van 29,3 miljoen; daarbij ging het om bijna 85 miljoen afbeeldingen en video’s. In 2022 registreerde het NCMEC ruim 32 miljoen meldingen, waaronder 49 000 dringende meldingen waarbij een kind in dreigend gevaar verkeerde.</w:t>
      </w:r>
    </w:p>
    <w:p w:rsidR="005C6334" w:rsidRPr="005C6334" w:rsidRDefault="005C6334" w:rsidP="005C6334"/>
    <w:p w:rsidR="005C6334" w:rsidRPr="005C6334" w:rsidRDefault="00F61E6E" w:rsidP="005C6334">
      <w:r>
        <w:t>Met de voorgestelde</w:t>
      </w:r>
      <w:r>
        <w:t xml:space="preserve"> herschikking van de richtlijn ter voorkoming en bestrijding van seksueel misbruik van kinderen wordt een cruciale stap gezet in de richting van een systematische aanpak van dit gruwelijke misdrijf in de Europese Unie. De uitbreiding en verduidelijking van</w:t>
      </w:r>
      <w:r>
        <w:t xml:space="preserve"> de definitie van materiaal van seksueel misbruik van kinderen, waarbij door AI gegenereerde afbeeldingen alsook handboeken voor het seksueel misbruiken van kinderen worden inbegrepen, vormen een uiterst noodzakelijke stap voorwaarts. Met dit ontwerpversla</w:t>
      </w:r>
      <w:r>
        <w:t>g wordt beoogd dit bijzonder welkome voorstel voor een richtlijn te verbeteren en kracht bij te zetten. Voor een doeltreffende uitvoering van de richtlijn zijn een aantal aspecten van belang, waaronder:</w:t>
      </w:r>
    </w:p>
    <w:p w:rsidR="005C6334" w:rsidRPr="005C6334" w:rsidRDefault="005C6334" w:rsidP="005C6334"/>
    <w:p w:rsidR="005C6334" w:rsidRPr="005C6334" w:rsidRDefault="00F61E6E" w:rsidP="005C6334">
      <w:pPr>
        <w:ind w:left="720" w:hanging="360"/>
      </w:pPr>
      <w:r>
        <w:rPr>
          <w:rFonts w:ascii="Symbol" w:hAnsi="Symbol"/>
        </w:rPr>
        <w:sym w:font="Symbol" w:char="F0B7"/>
      </w:r>
      <w:r>
        <w:rPr>
          <w:rFonts w:ascii="Symbol" w:hAnsi="Symbol"/>
        </w:rPr>
        <w:tab/>
      </w:r>
      <w:r>
        <w:t>Het is absoluut noodzakelijk dat deze richtlijn na</w:t>
      </w:r>
      <w:r>
        <w:t>uw wordt afgestemd op de overeenkomstige verordening tot vaststelling van regels ter voorkoming en bestrijding van seksueel misbruik van kinderen. Een gelijktijdige inwerkingtreding van beide instrumenten is van essentieel belang om seksueel misbruik van k</w:t>
      </w:r>
      <w:r>
        <w:t>inderen op samenhangende en alomvattende wijze te kunnen aanpakken. De onderlinge afhankelijkheid van deze wetgevingsmaatregelen wordt bijvoorbeeld geïllustreerd door het feit dat het nieuwe EU-centrum dat zal worden opgezet uit hoofde van de toekomstige v</w:t>
      </w:r>
      <w:r>
        <w:t>erordening tevens een beslissende functie heeft bij de uitvoering van deze richtlijn.</w:t>
      </w:r>
    </w:p>
    <w:p w:rsidR="005C6334" w:rsidRPr="005C6334" w:rsidRDefault="00F61E6E" w:rsidP="005C6334">
      <w:pPr>
        <w:ind w:left="720" w:hanging="360"/>
      </w:pPr>
      <w:r>
        <w:rPr>
          <w:rFonts w:ascii="Symbol" w:hAnsi="Symbol"/>
        </w:rPr>
        <w:sym w:font="Symbol" w:char="F0B7"/>
      </w:r>
      <w:r>
        <w:rPr>
          <w:rFonts w:ascii="Symbol" w:hAnsi="Symbol"/>
        </w:rPr>
        <w:tab/>
      </w:r>
      <w:r>
        <w:t>Een ander punt dat aandacht behoeft is het versterken van de grensoverschrijdende samenwerking tussen alle relevante belanghebbenden. Een betere samenwerking tussen bev</w:t>
      </w:r>
      <w:r>
        <w:t>oegde nationale autoriteiten, Eurojust, Europol en het EU-centrum is van essentiële waarde voor de doeltreffende bestrijding van seksueel misbruik van kinderen.</w:t>
      </w:r>
    </w:p>
    <w:p w:rsidR="005C6334" w:rsidRPr="005C6334" w:rsidRDefault="00F61E6E" w:rsidP="005C6334">
      <w:pPr>
        <w:ind w:left="720" w:hanging="360"/>
      </w:pPr>
      <w:r>
        <w:rPr>
          <w:rFonts w:ascii="Symbol" w:hAnsi="Symbol"/>
        </w:rPr>
        <w:sym w:font="Symbol" w:char="F0B7"/>
      </w:r>
      <w:r>
        <w:rPr>
          <w:rFonts w:ascii="Symbol" w:hAnsi="Symbol"/>
        </w:rPr>
        <w:tab/>
      </w:r>
      <w:r>
        <w:t>Ook moet het onderzoek naar het benaderen van kinderen worden verbeterd, en moet rekening wor</w:t>
      </w:r>
      <w:r>
        <w:t xml:space="preserve">den gehouden met de mentale en fysieke omstandigheden die op kinderen van toepassing zijn. </w:t>
      </w:r>
    </w:p>
    <w:p w:rsidR="005C6334" w:rsidRPr="005C6334" w:rsidRDefault="00F61E6E" w:rsidP="005C6334">
      <w:pPr>
        <w:ind w:left="720" w:hanging="360"/>
      </w:pPr>
      <w:r>
        <w:rPr>
          <w:rFonts w:ascii="Symbol" w:hAnsi="Symbol"/>
        </w:rPr>
        <w:sym w:font="Symbol" w:char="F0B7"/>
      </w:r>
      <w:r>
        <w:rPr>
          <w:rFonts w:ascii="Symbol" w:hAnsi="Symbol"/>
        </w:rPr>
        <w:tab/>
      </w:r>
      <w:r>
        <w:t>Daarnaast is het noodzaak de verjaringstermijnen te verlengen zodat alle misdrijven vervolgd kunnen worden en zodat slachtoffers de tijd krijgen om zich te melden</w:t>
      </w:r>
      <w:r>
        <w:t>.</w:t>
      </w:r>
    </w:p>
    <w:p w:rsidR="005C6334" w:rsidRPr="005C6334" w:rsidRDefault="00F61E6E" w:rsidP="005C6334">
      <w:pPr>
        <w:ind w:left="720" w:hanging="360"/>
      </w:pPr>
      <w:r>
        <w:rPr>
          <w:rFonts w:ascii="Symbol" w:hAnsi="Symbol"/>
        </w:rPr>
        <w:sym w:font="Symbol" w:char="F0B7"/>
      </w:r>
      <w:r>
        <w:rPr>
          <w:rFonts w:ascii="Symbol" w:hAnsi="Symbol"/>
        </w:rPr>
        <w:tab/>
      </w:r>
      <w:r>
        <w:t xml:space="preserve">Bovendien is er een systematische verbetering nodig op het vlak van de samenwerking </w:t>
      </w:r>
      <w:r>
        <w:lastRenderedPageBreak/>
        <w:t>tussen handhavende autoriteiten en ngo’s die op dit gebied werkzaam zijn. Om sneller en efficiënter te kunnen ingrijpen tegen de verspreiding van materiaal van seksueel</w:t>
      </w:r>
      <w:r>
        <w:t xml:space="preserve"> misbruik van kinderen in onze digitale wereld is het van cruciaal belang een juridisch kader te scheppen voor het werk van meldpunten en andere organisaties die in het algemeen belang werkzaam zijn, en deze organisaties de bevoegdheid te verlenen om “noti</w:t>
      </w:r>
      <w:r>
        <w:t>ce and takedown”-procedures jegens dienstverleners rechtstreeks in gang te kunnen zetten.</w:t>
      </w:r>
    </w:p>
    <w:p w:rsidR="005C6334" w:rsidRPr="005C6334" w:rsidRDefault="00F61E6E" w:rsidP="005C6334">
      <w:pPr>
        <w:ind w:left="720" w:hanging="360"/>
      </w:pPr>
      <w:r>
        <w:rPr>
          <w:rFonts w:ascii="Symbol" w:hAnsi="Symbol"/>
        </w:rPr>
        <w:sym w:font="Symbol" w:char="F0B7"/>
      </w:r>
      <w:r>
        <w:rPr>
          <w:rFonts w:ascii="Symbol" w:hAnsi="Symbol"/>
        </w:rPr>
        <w:tab/>
      </w:r>
      <w:r>
        <w:t>De richtlijn beoogt te waarborgen dat alle lidstaten zich achter de beginselen van het Barnahus-model scharen, namelijk een alomvattende benadering van onderzoek en</w:t>
      </w:r>
      <w:r>
        <w:t xml:space="preserve"> slachtofferhulp, waarin het kind centraal staat. Een benadering waarin het kind centraal staat moet ook voorzien in gemakkelijk toegankelijke manieren voor slachtoffers om melding te kunnen doen van een misdrijf, ook zonder een formele strafrechtelijke aa</w:t>
      </w:r>
      <w:r>
        <w:t>nklacht, aangezien dat laatste slachtoffer ervan kan weerhouden actie te ondernemen.</w:t>
      </w:r>
    </w:p>
    <w:p w:rsidR="005C6334" w:rsidRPr="005C6334" w:rsidRDefault="00F61E6E" w:rsidP="005C6334">
      <w:pPr>
        <w:ind w:left="720" w:hanging="360"/>
      </w:pPr>
      <w:r>
        <w:rPr>
          <w:rFonts w:ascii="Symbol" w:hAnsi="Symbol"/>
        </w:rPr>
        <w:sym w:font="Symbol" w:char="F0B7"/>
      </w:r>
      <w:r>
        <w:rPr>
          <w:rFonts w:ascii="Symbol" w:hAnsi="Symbol"/>
        </w:rPr>
        <w:tab/>
      </w:r>
      <w:r>
        <w:t>Tevens is het van belang de leeftijd van het slachtoffer als een verzwarende omstandigheid te beschouwen, en ervoor te waken dat kinderverkrachting minder zwaar bestraft</w:t>
      </w:r>
      <w:r>
        <w:t xml:space="preserve"> wordt wanneer het slachtoffer de seksueel meerderjarige leeftijd heeft bereikt.</w:t>
      </w:r>
    </w:p>
    <w:p w:rsidR="005C6334" w:rsidRPr="005C6334" w:rsidRDefault="00F61E6E" w:rsidP="005C6334">
      <w:pPr>
        <w:ind w:left="720" w:hanging="360"/>
      </w:pPr>
      <w:r>
        <w:rPr>
          <w:rFonts w:ascii="Symbol" w:hAnsi="Symbol"/>
        </w:rPr>
        <w:sym w:font="Symbol" w:char="F0B7"/>
      </w:r>
      <w:r>
        <w:rPr>
          <w:rFonts w:ascii="Symbol" w:hAnsi="Symbol"/>
        </w:rPr>
        <w:tab/>
      </w:r>
      <w:r>
        <w:t xml:space="preserve">Verder moet de terminologie worden bijgewerkt overeenkomstig de richtsnoeren die in 2016 in Luxemburg zijn opgesteld door de interdepartementale werkgroep, om helderheid en </w:t>
      </w:r>
      <w:r>
        <w:t>consistentie in de juridische kaders te waarborgen.</w:t>
      </w:r>
    </w:p>
    <w:p w:rsidR="005C6334" w:rsidRPr="005C6334" w:rsidRDefault="00F61E6E" w:rsidP="005C6334">
      <w:pPr>
        <w:ind w:left="720" w:hanging="360"/>
      </w:pPr>
      <w:r>
        <w:rPr>
          <w:rFonts w:ascii="Symbol" w:hAnsi="Symbol"/>
        </w:rPr>
        <w:sym w:font="Symbol" w:char="F0B7"/>
      </w:r>
      <w:r>
        <w:rPr>
          <w:rFonts w:ascii="Symbol" w:hAnsi="Symbol"/>
        </w:rPr>
        <w:tab/>
      </w:r>
      <w:r>
        <w:t>Tot slot wordt in het ontwerpverslag benadrukt dat steun en versterking nodig zijn op het vlak van de mechanismen voor het kunnen doen van meldingen, zodat het gemakkelijker wordt om gevallen van seksue</w:t>
      </w:r>
      <w:r>
        <w:t>el misbruik van kinderen te melden en zodat snel en doeltreffend tegen daders kan worden opgetreden.</w:t>
      </w:r>
    </w:p>
    <w:p w:rsidR="005C6334" w:rsidRPr="005C6334" w:rsidRDefault="005C6334" w:rsidP="005C6334">
      <w:pPr>
        <w:ind w:left="720"/>
      </w:pPr>
    </w:p>
    <w:p w:rsidR="00D97418" w:rsidRDefault="00F61E6E" w:rsidP="00D97418">
      <w:r>
        <w:t>Concluderend zijn de in dit ontwerpverslag voorgestelde wijzigingen van cruciaal belang voor het versterken van de inspanningen van de EU ter voorkoming e</w:t>
      </w:r>
      <w:r>
        <w:t>n bestrijding van seksueel misbruik van kinderen, en dus voor het beschermen van de rechten en het welzijn van kinderen in de hele Unie.</w:t>
      </w:r>
    </w:p>
    <w:p w:rsidR="00F61E6E" w:rsidRPr="005C6334" w:rsidRDefault="00F61E6E" w:rsidP="00D97418">
      <w:bookmarkStart w:id="4" w:name="_GoBack"/>
      <w:bookmarkEnd w:id="4"/>
    </w:p>
    <w:sectPr w:rsidR="00F61E6E" w:rsidRPr="005C6334" w:rsidSect="005C633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61E6E">
      <w:r>
        <w:separator/>
      </w:r>
    </w:p>
  </w:endnote>
  <w:endnote w:type="continuationSeparator" w:id="0">
    <w:p w:rsidR="00000000" w:rsidRDefault="00F61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845" w:rsidRPr="005C6334" w:rsidRDefault="00F61E6E" w:rsidP="005C6334">
    <w:pPr>
      <w:pStyle w:val="EPFooter"/>
    </w:pPr>
    <w:r w:rsidRPr="005C6334">
      <w:t>PE</w:t>
    </w:r>
    <w:r w:rsidRPr="005C6334">
      <w:rPr>
        <w:rStyle w:val="HideTWBExt"/>
      </w:rPr>
      <w:t>&lt;NoPE&gt;</w:t>
    </w:r>
    <w:r w:rsidRPr="005C6334">
      <w:t>761.022</w:t>
    </w:r>
    <w:r w:rsidRPr="005C6334">
      <w:rPr>
        <w:rStyle w:val="HideTWBExt"/>
      </w:rPr>
      <w:t>&lt;/NoPE&gt;&lt;Version&gt;</w:t>
    </w:r>
    <w:r w:rsidRPr="005C6334">
      <w:t>v01-00</w:t>
    </w:r>
    <w:r w:rsidRPr="005C6334">
      <w:rPr>
        <w:rStyle w:val="HideTWBExt"/>
      </w:rPr>
      <w:t>&lt;/Version&gt;</w:t>
    </w:r>
    <w:r w:rsidRPr="005C6334">
      <w:tab/>
    </w:r>
    <w:r w:rsidRPr="005C6334">
      <w:fldChar w:fldCharType="begin"/>
    </w:r>
    <w:r w:rsidRPr="005C6334">
      <w:instrText xml:space="preserve"> PAGE  \* MERGEFORMAT </w:instrText>
    </w:r>
    <w:r w:rsidRPr="005C6334">
      <w:fldChar w:fldCharType="separate"/>
    </w:r>
    <w:r>
      <w:rPr>
        <w:noProof/>
      </w:rPr>
      <w:t>32</w:t>
    </w:r>
    <w:r w:rsidRPr="005C6334">
      <w:fldChar w:fldCharType="end"/>
    </w:r>
    <w:r w:rsidRPr="005C6334">
      <w:t>/</w:t>
    </w:r>
    <w:r w:rsidR="002F0C8F">
      <w:fldChar w:fldCharType="begin"/>
    </w:r>
    <w:r>
      <w:instrText xml:space="preserve"> NUMPAGES  \* MERGEFORMAT </w:instrText>
    </w:r>
    <w:r w:rsidR="002F0C8F">
      <w:fldChar w:fldCharType="separate"/>
    </w:r>
    <w:r>
      <w:rPr>
        <w:noProof/>
      </w:rPr>
      <w:t>38</w:t>
    </w:r>
    <w:r w:rsidR="002F0C8F">
      <w:rPr>
        <w:noProof/>
      </w:rPr>
      <w:fldChar w:fldCharType="end"/>
    </w:r>
    <w:r w:rsidRPr="005C6334">
      <w:tab/>
    </w:r>
    <w:r w:rsidRPr="005C6334">
      <w:rPr>
        <w:rStyle w:val="HideTWBExt"/>
      </w:rPr>
      <w:t>&lt;PathFdR&gt;</w:t>
    </w:r>
    <w:r w:rsidRPr="005C6334">
      <w:t>PR\1301224NL.docx</w:t>
    </w:r>
    <w:r w:rsidRPr="005C6334">
      <w:rPr>
        <w:rStyle w:val="HideTWBExt"/>
      </w:rPr>
      <w:t>&lt;/PathFdR&gt;</w:t>
    </w:r>
  </w:p>
  <w:p w:rsidR="00100845" w:rsidRPr="005C6334" w:rsidRDefault="00F61E6E" w:rsidP="005C6334">
    <w:pPr>
      <w:pStyle w:val="EPFooter2"/>
    </w:pPr>
    <w:r w:rsidRPr="005C6334">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845" w:rsidRPr="005C6334" w:rsidRDefault="00F61E6E" w:rsidP="005C6334">
    <w:pPr>
      <w:pStyle w:val="EPFooter"/>
    </w:pPr>
    <w:r w:rsidRPr="005C6334">
      <w:rPr>
        <w:rStyle w:val="HideTWBExt"/>
      </w:rPr>
      <w:t>&lt;PathFdR&gt;</w:t>
    </w:r>
    <w:r w:rsidRPr="005C6334">
      <w:t>PR\1301224NL.docx</w:t>
    </w:r>
    <w:r w:rsidRPr="005C6334">
      <w:rPr>
        <w:rStyle w:val="HideTWBExt"/>
      </w:rPr>
      <w:t>&lt;/PathFdR&gt;</w:t>
    </w:r>
    <w:r w:rsidRPr="005C6334">
      <w:tab/>
    </w:r>
    <w:r w:rsidRPr="005C6334">
      <w:fldChar w:fldCharType="begin"/>
    </w:r>
    <w:r w:rsidRPr="005C6334">
      <w:instrText xml:space="preserve"> PAGE  \* MERGEFORMAT </w:instrText>
    </w:r>
    <w:r w:rsidRPr="005C6334">
      <w:fldChar w:fldCharType="separate"/>
    </w:r>
    <w:r>
      <w:rPr>
        <w:noProof/>
      </w:rPr>
      <w:t>31</w:t>
    </w:r>
    <w:r w:rsidRPr="005C6334">
      <w:fldChar w:fldCharType="end"/>
    </w:r>
    <w:r w:rsidRPr="005C6334">
      <w:t>/</w:t>
    </w:r>
    <w:r w:rsidR="002F0C8F">
      <w:fldChar w:fldCharType="begin"/>
    </w:r>
    <w:r>
      <w:instrText xml:space="preserve"> NUMPAGES  \* MERGEFORMAT </w:instrText>
    </w:r>
    <w:r w:rsidR="002F0C8F">
      <w:fldChar w:fldCharType="separate"/>
    </w:r>
    <w:r>
      <w:rPr>
        <w:noProof/>
      </w:rPr>
      <w:t>38</w:t>
    </w:r>
    <w:r w:rsidR="002F0C8F">
      <w:rPr>
        <w:noProof/>
      </w:rPr>
      <w:fldChar w:fldCharType="end"/>
    </w:r>
    <w:r w:rsidRPr="005C6334">
      <w:tab/>
      <w:t>PE</w:t>
    </w:r>
    <w:r w:rsidRPr="005C6334">
      <w:rPr>
        <w:rStyle w:val="HideTWBExt"/>
      </w:rPr>
      <w:t>&lt;NoPE&gt;</w:t>
    </w:r>
    <w:r w:rsidRPr="005C6334">
      <w:t>761.022</w:t>
    </w:r>
    <w:r w:rsidRPr="005C6334">
      <w:rPr>
        <w:rStyle w:val="HideTWBExt"/>
      </w:rPr>
      <w:t>&lt;/NoPE&gt;&lt;Version&gt;</w:t>
    </w:r>
    <w:r w:rsidRPr="005C6334">
      <w:t>v01-00</w:t>
    </w:r>
    <w:r w:rsidRPr="005C6334">
      <w:rPr>
        <w:rStyle w:val="HideTWBExt"/>
      </w:rPr>
      <w:t>&lt;/Version&gt;</w:t>
    </w:r>
  </w:p>
  <w:p w:rsidR="00100845" w:rsidRPr="005C6334" w:rsidRDefault="00F61E6E" w:rsidP="005C6334">
    <w:pPr>
      <w:pStyle w:val="EPFooter2"/>
    </w:pPr>
    <w:r w:rsidRPr="005C6334">
      <w:tab/>
    </w:r>
    <w:r w:rsidRPr="005C6334">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845" w:rsidRPr="005C6334" w:rsidRDefault="00F61E6E" w:rsidP="005C6334">
    <w:pPr>
      <w:pStyle w:val="EPFooter"/>
    </w:pPr>
    <w:r w:rsidRPr="005C6334">
      <w:rPr>
        <w:rStyle w:val="HideTWBExt"/>
      </w:rPr>
      <w:t>&lt;PathFdR&gt;</w:t>
    </w:r>
    <w:r w:rsidRPr="005C6334">
      <w:t>PR\1301224NL.docx</w:t>
    </w:r>
    <w:r w:rsidRPr="005C6334">
      <w:rPr>
        <w:rStyle w:val="HideTWBExt"/>
      </w:rPr>
      <w:t>&lt;/PathFdR&gt;</w:t>
    </w:r>
    <w:r w:rsidRPr="005C6334">
      <w:tab/>
    </w:r>
    <w:r w:rsidRPr="005C6334">
      <w:tab/>
      <w:t>PE</w:t>
    </w:r>
    <w:r w:rsidRPr="005C6334">
      <w:rPr>
        <w:rStyle w:val="HideTWBExt"/>
      </w:rPr>
      <w:t>&lt;NoPE&gt;</w:t>
    </w:r>
    <w:r w:rsidRPr="005C6334">
      <w:t>761.022</w:t>
    </w:r>
    <w:r w:rsidRPr="005C6334">
      <w:rPr>
        <w:rStyle w:val="HideTWBExt"/>
      </w:rPr>
      <w:t>&lt;/NoPE&gt;&lt;Version&gt;</w:t>
    </w:r>
    <w:r w:rsidRPr="005C6334">
      <w:t>v01-00</w:t>
    </w:r>
    <w:r w:rsidRPr="005C6334">
      <w:rPr>
        <w:rStyle w:val="HideTWBExt"/>
      </w:rPr>
      <w:t>&lt;/Version&gt;</w:t>
    </w:r>
  </w:p>
  <w:p w:rsidR="00100845" w:rsidRPr="005C6334" w:rsidRDefault="00F61E6E" w:rsidP="005C6334">
    <w:pPr>
      <w:pStyle w:val="EPFooter2"/>
    </w:pPr>
    <w:r w:rsidRPr="005C6334">
      <w:t>NL</w:t>
    </w:r>
    <w:r w:rsidRPr="005C6334">
      <w:tab/>
    </w:r>
    <w:r w:rsidRPr="005C6334">
      <w:rPr>
        <w:b w:val="0"/>
        <w:i/>
        <w:color w:val="C0C0C0"/>
        <w:sz w:val="22"/>
      </w:rPr>
      <w:t>In verscheidenheid verenigd</w:t>
    </w:r>
    <w:r w:rsidRPr="005C6334">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845" w:rsidRPr="005C6334" w:rsidRDefault="00F61E6E">
      <w:r w:rsidRPr="005C6334">
        <w:separator/>
      </w:r>
    </w:p>
  </w:footnote>
  <w:footnote w:type="continuationSeparator" w:id="0">
    <w:p w:rsidR="00100845" w:rsidRPr="005C6334" w:rsidRDefault="00F61E6E">
      <w:r w:rsidRPr="005C6334">
        <w:continuationSeparator/>
      </w:r>
    </w:p>
  </w:footnote>
  <w:footnote w:id="1">
    <w:p w:rsidR="00100845" w:rsidRPr="005C6334" w:rsidRDefault="00F61E6E">
      <w:pPr>
        <w:pStyle w:val="FootnoteText"/>
      </w:pPr>
      <w:r>
        <w:rPr>
          <w:rStyle w:val="FootnoteReference"/>
        </w:rPr>
        <w:footnoteRef/>
      </w:r>
      <w:r>
        <w:t xml:space="preserve"> nog te ontvangen</w:t>
      </w:r>
    </w:p>
  </w:footnote>
  <w:footnote w:id="2">
    <w:p w:rsidR="00100845" w:rsidRPr="005C6334" w:rsidRDefault="00F61E6E">
      <w:pPr>
        <w:pStyle w:val="FootnoteText"/>
      </w:pPr>
      <w:r>
        <w:rPr>
          <w:rStyle w:val="FootnoteReference"/>
        </w:rPr>
        <w:footnoteRef/>
      </w:r>
      <w:r>
        <w:t xml:space="preserve"> PB C 77 van 28.3.2002,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C1D" w:rsidRDefault="00B66C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C1D" w:rsidRDefault="00B66C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C1D" w:rsidRDefault="00B66C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C5274CD"/>
    <w:multiLevelType w:val="hybridMultilevel"/>
    <w:tmpl w:val="81B80380"/>
    <w:lvl w:ilvl="0" w:tplc="FC96C46C">
      <w:start w:val="1"/>
      <w:numFmt w:val="bullet"/>
      <w:lvlText w:val=""/>
      <w:lvlJc w:val="left"/>
      <w:pPr>
        <w:ind w:left="720" w:hanging="360"/>
      </w:pPr>
      <w:rPr>
        <w:rFonts w:ascii="Symbol" w:hAnsi="Symbol" w:hint="default"/>
      </w:rPr>
    </w:lvl>
    <w:lvl w:ilvl="1" w:tplc="FCC488A6">
      <w:start w:val="1"/>
      <w:numFmt w:val="bullet"/>
      <w:lvlText w:val="o"/>
      <w:lvlJc w:val="left"/>
      <w:pPr>
        <w:ind w:left="1440" w:hanging="360"/>
      </w:pPr>
      <w:rPr>
        <w:rFonts w:ascii="Courier New" w:hAnsi="Courier New" w:cs="Courier New" w:hint="default"/>
      </w:rPr>
    </w:lvl>
    <w:lvl w:ilvl="2" w:tplc="A844AE88">
      <w:start w:val="1"/>
      <w:numFmt w:val="bullet"/>
      <w:lvlText w:val=""/>
      <w:lvlJc w:val="left"/>
      <w:pPr>
        <w:ind w:left="2160" w:hanging="360"/>
      </w:pPr>
      <w:rPr>
        <w:rFonts w:ascii="Wingdings" w:hAnsi="Wingdings" w:hint="default"/>
      </w:rPr>
    </w:lvl>
    <w:lvl w:ilvl="3" w:tplc="0A9A0C3E">
      <w:start w:val="1"/>
      <w:numFmt w:val="bullet"/>
      <w:lvlText w:val=""/>
      <w:lvlJc w:val="left"/>
      <w:pPr>
        <w:ind w:left="2880" w:hanging="360"/>
      </w:pPr>
      <w:rPr>
        <w:rFonts w:ascii="Symbol" w:hAnsi="Symbol" w:hint="default"/>
      </w:rPr>
    </w:lvl>
    <w:lvl w:ilvl="4" w:tplc="1E3C281C">
      <w:start w:val="1"/>
      <w:numFmt w:val="bullet"/>
      <w:lvlText w:val="o"/>
      <w:lvlJc w:val="left"/>
      <w:pPr>
        <w:ind w:left="3600" w:hanging="360"/>
      </w:pPr>
      <w:rPr>
        <w:rFonts w:ascii="Courier New" w:hAnsi="Courier New" w:cs="Courier New" w:hint="default"/>
      </w:rPr>
    </w:lvl>
    <w:lvl w:ilvl="5" w:tplc="0DC49A2A">
      <w:start w:val="1"/>
      <w:numFmt w:val="bullet"/>
      <w:lvlText w:val=""/>
      <w:lvlJc w:val="left"/>
      <w:pPr>
        <w:ind w:left="4320" w:hanging="360"/>
      </w:pPr>
      <w:rPr>
        <w:rFonts w:ascii="Wingdings" w:hAnsi="Wingdings" w:hint="default"/>
      </w:rPr>
    </w:lvl>
    <w:lvl w:ilvl="6" w:tplc="C1EAA1F4">
      <w:start w:val="1"/>
      <w:numFmt w:val="bullet"/>
      <w:lvlText w:val=""/>
      <w:lvlJc w:val="left"/>
      <w:pPr>
        <w:ind w:left="5040" w:hanging="360"/>
      </w:pPr>
      <w:rPr>
        <w:rFonts w:ascii="Symbol" w:hAnsi="Symbol" w:hint="default"/>
      </w:rPr>
    </w:lvl>
    <w:lvl w:ilvl="7" w:tplc="84148DFC">
      <w:start w:val="1"/>
      <w:numFmt w:val="bullet"/>
      <w:lvlText w:val="o"/>
      <w:lvlJc w:val="left"/>
      <w:pPr>
        <w:ind w:left="5760" w:hanging="360"/>
      </w:pPr>
      <w:rPr>
        <w:rFonts w:ascii="Courier New" w:hAnsi="Courier New" w:cs="Courier New" w:hint="default"/>
      </w:rPr>
    </w:lvl>
    <w:lvl w:ilvl="8" w:tplc="8182BDE6">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9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NNEXDT" w:val="..."/>
    <w:docVar w:name="CJMNU" w:val="1"/>
    <w:docVar w:name="COMDT" w:val="..."/>
    <w:docVar w:name="COMKEY" w:val="LIBE"/>
    <w:docVar w:name="DOCDT" w:val="16/04/2024"/>
    <w:docVar w:name="DOCMNU" w:val=" 1"/>
    <w:docVar w:name="EPSTATMNU" w:val=" 5"/>
    <w:docVar w:name="INSTITUTIONSMNU" w:val=" 2"/>
    <w:docVar w:name="JURI1MNU" w:val=" 1"/>
    <w:docVar w:name="JURI2MNU" w:val=" 2"/>
    <w:docVar w:name="JURIMNU" w:val=" 1"/>
    <w:docVar w:name="LastEditedSection" w:val=" 1"/>
    <w:docVar w:name="LETTER1DT" w:val="..."/>
    <w:docVar w:name="OTHERSTATMNU" w:val=" 4"/>
    <w:docVar w:name="PARLIAMENTSMNU" w:val=" 2"/>
    <w:docVar w:name="RepeatBlock-AmendN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6242 HideTWBExt;}{\*\cs18 \additive \v\f1\fs20\cf15 _x000d__x000a_\spriority0 \styrsid7406242 HideTWBInt;}{\s19\ql \li0\ri0\sa120\nowidctlpar\wrapdefault\aspalpha\aspnum\faauto\adjustright\rin0\lin0\itap0 \rtlch\fcs1 \af0\afs20\alang1025 \ltrch\fcs0 \fs24\lang1043\langfe2057\cgrid\langnp1043\langfenp2057 _x000d__x000a_\sbasedon0 \snext19 \spriority0 \styrsid7406242 Normal6a;}{\s20\ql \li0\ri0\nowidctlpar\wrapdefault\aspalpha\aspnum\faauto\adjustright\rin0\lin0\itap0 \rtlch\fcs1 \af0\afs20\alang1025 \ltrch\fcs0 \b\fs24\lang1043\langfe2057\cgrid\langnp1043\langfenp2057 _x000d__x000a_\sbasedon0 \snext20 \spriority0 \styrsid7406242 NormalBold;}{\s21\ql \li0\ri0\sa240\nowidctlpar\wrapdefault\aspalpha\aspnum\faauto\adjustright\rin0\lin0\itap0 \rtlch\fcs1 \af0\afs20\alang1025 \ltrch\fcs0 _x000d__x000a_\i\fs24\lang1043\langfe2057\cgrid\langnp1043\langfenp2057 \sbasedon0 \snext21 \spriority0 \styrsid7406242 AmJustText;}{\s22\qc \li0\ri0\sb240\sa240\nowidctlpar\wrapdefault\aspalpha\aspnum\faauto\adjustright\rin0\lin0\itap0 \rtlch\fcs1 _x000d__x000a_\af0\afs20\alang1025 \ltrch\fcs0 \i\fs24\lang1043\langfe2057\cgrid\langnp1043\langfenp2057 \sbasedon0 \snext22 \spriority0 \styrsid7406242 AmCrossRef;}{_x000d__x000a_\s23\qc \li0\ri0\sb240\sa240\keepn\nowidctlpar\wrapdefault\aspalpha\aspnum\faauto\adjustright\rin0\lin0\itap0 \rtlch\fcs1 \af0\afs20\alang1025 \ltrch\fcs0 \i\fs24\lang1043\langfe2057\cgrid\langnp1043\langfenp2057 _x000d__x000a_\sbasedon0 \snext21 \spriority0 \styrsid7406242 AmJustTitle;}{\s24\qr \li0\ri0\sb240\sa240\nowidctlpar\wrapdefault\aspalpha\aspnum\faauto\adjustright\rin0\lin0\itap0 \rtlch\fcs1 \af0\afs20\alang1025 \ltrch\fcs0 _x000d__x000a_\fs24\lang1043\langfe2057\cgrid\langnp1043\langfenp2057 \sbasedon0 \snext24 \spriority0 \styrsid7406242 AmOrLang;}{\s25\qc \li0\ri0\sa240\nowidctlpar\wrapdefault\aspalpha\aspnum\faauto\adjustright\rin0\lin0\itap0 \rtlch\fcs1 \af0\afs20\alang1025 _x000d__x000a_\ltrch\fcs0 \i\fs24\lang1043\langfe2057\cgrid\langnp1043\langfenp2057 \sbasedon0 \snext25 \spriority0 \styrsid740624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7406242 AmNumberTabs;}{\s27\ql \li0\ri0\sb240\nowidctlpar\wrapdefault\aspalpha\aspnum\faauto\adjustright\rin0\lin0\itap0 \rtlch\fcs1 _x000d__x000a_\af0\afs20\alang1025 \ltrch\fcs0 \b\fs24\lang1043\langfe2057\cgrid\langnp1043\langfenp2057 \sbasedon0 \snext27 \spriority0 \styrsid7406242 NormalBold12b;}}{\*\rsidtbl \rsid24658\rsid223860\rsid735077\rsid1718133\rsid2892074\rsid3565327\rsid4666813_x000d__x000a_\rsid6641733\rsid7406242\rsid7823322\rsid9636012\rsid10377208\rsid11215221\rsid11549030\rsid12154954\rsid14174020\rsid14382809\rsid14424199\rsid15204470\rsid15285974\rsid15950462\rsid16324206\rsid16662270}{\mmathPr\mmathFont34\mbrkBin0\mbrkBinSub0_x000d__x000a_\msmallFrac0\mdispDef1\mlMargin0\mrMargin0\mdefJc1\mwrapIndent1440\mintLim0\mnaryLim1}{\info{\author HOOGLAND Yvonne}{\operator HOOGLAND Yvonne}{\creatim\yr2024\mo4\dy25\hr14\min4}{\revtim\yr2024\mo4\dy25\hr14\min4}{\version1}{\edmins0}{\nofpages1}_x000d__x000a_{\nofwords93}{\nofchars609}{\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6242\newtblstyruls\nogrowautofit\usenormstyforlist\noindnmbrts\felnbrelev\nocxsptable\indrlsweleven\noafcnsttbl\afelev\utinl\hwelev\spltpgpar\notcvasp\notbrkcnstfrctbl\notvatxbx\krnprsnet\cachedcolbal _x000d__x000a_\nouicompat \fet0{\*\wgrffmtfilter 013f}\nofeaturethrottle1\ilfomacatclnup0{\*\template C:\\Users\\YHOOGL~1\\AppData\\Local\\Temp\\Blank1.dotx}{\*\ftnsep \ltrpar \pard\plain \ltrpar_x000d__x000a_\ql \li0\ri0\widctlpar\wrapdefault\aspalpha\aspnum\faauto\adjustright\rin0\lin0\itap0 \rtlch\fcs1 \af0\afs20\alang1025 \ltrch\fcs0 \fs24\lang2057\langfe2057\cgrid\langnp2057\langfenp2057 {\rtlch\fcs1 \af0 \ltrch\fcs0 \insrsid14174020 \chftnsep _x000d__x000a_\par }}{\*\ftnsepc \ltrpar \pard\plain \ltrpar\ql \li0\ri0\widctlpar\wrapdefault\aspalpha\aspnum\faauto\adjustright\rin0\lin0\itap0 \rtlch\fcs1 \af0\afs20\alang1025 \ltrch\fcs0 \fs24\lang2057\langfe2057\cgrid\langnp2057\langfenp2057 {\rtlch\fcs1 \af0 _x000d__x000a_\ltrch\fcs0 \insrsid14174020 \chftnsepc _x000d__x000a_\par }}{\*\aftnsep \ltrpar \pard\plain \ltrpar\ql \li0\ri0\widctlpar\wrapdefault\aspalpha\aspnum\faauto\adjustright\rin0\lin0\itap0 \rtlch\fcs1 \af0\afs20\alang1025 \ltrch\fcs0 \fs24\lang2057\langfe2057\cgrid\langnp2057\langfenp2057 {\rtlch\fcs1 \af0 _x000d__x000a_\ltrch\fcs0 \insrsid14174020 \chftnsep _x000d__x000a_\par }}{\*\aftnsepc \ltrpar \pard\plain \ltrpar\ql \li0\ri0\widctlpar\wrapdefault\aspalpha\aspnum\faauto\adjustright\rin0\lin0\itap0 \rtlch\fcs1 \af0\afs20\alang1025 \ltrch\fcs0 \fs24\lang2057\langfe2057\cgrid\langnp2057\langfenp2057 {\rtlch\fcs1 \af0 _x000d__x000a_\ltrch\fcs0 \insrsid141740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406242 \rtlch\fcs1 _x000d__x000a_\af0\afs20\alang1025 \ltrch\fcs0 \b\fs24\lang1043\langfe2057\cgrid\langnp1043\langfenp2057 {\rtlch\fcs1 \af0 \ltrch\fcs0 \cs17\b0\v\fs20\cf9\lang1024\langfe1024\loch\af1\hich\af1\dbch\af31501\noproof\insrsid7406242\charrsid16336553 {\*\bkmkstart restart}_x000d__x000a_\hich\af1\dbch\af31501\loch\f1 &lt;Amend&gt;}{\rtlch\fcs1 \af0 \ltrch\fcs0 \insrsid7406242\charrsid16336553 Amendement\tab \tab }{\rtlch\fcs1 \af0 \ltrch\fcs0 _x000d__x000a_\cs17\b0\v\fs20\cf9\lang1024\langfe1024\loch\af1\hich\af1\dbch\af31501\noproof\insrsid7406242\charrsid16336553 \hich\af1\dbch\af31501\loch\f1 &lt;NumAm&gt;}{\rtlch\fcs1 \af0 \ltrch\fcs0 \insrsid7406242\charrsid16336553 #}{\rtlch\fcs1 \af1 \ltrch\fcs0 _x000d__x000a_\cs18\v\f1\fs20\cf15\insrsid7406242\charrsid16336553 ENMIENDA@NRAM@}{\rtlch\fcs1 \af0 \ltrch\fcs0 \insrsid7406242\charrsid16336553 #}{\rtlch\fcs1 \af0 \ltrch\fcs0 _x000d__x000a_\cs17\b0\v\fs20\cf9\lang1024\langfe1024\loch\af1\hich\af1\dbch\af31501\noproof\insrsid7406242\charrsid16336553 \hich\af1\dbch\af31501\loch\f1 &lt;/NumAm&gt;}{\rtlch\fcs1 \af0 \ltrch\fcs0 \insrsid7406242\charrsid16336553 _x000d__x000a_\par }\pard\plain \ltrpar\s27\ql \li0\ri0\sb240\keepn\nowidctlpar\wrapdefault\aspalpha\aspnum\faauto\adjustright\rin0\lin0\itap0\pararsid7406242 \rtlch\fcs1 \af0\afs20\alang1025 \ltrch\fcs0 \b\fs24\lang1043\langfe2057\cgrid\langnp1043\langfenp2057 {_x000d__x000a_\rtlch\fcs1 \af0 \ltrch\fcs0 \cs17\b0\v\fs20\cf9\lang1024\langfe1024\loch\af1\hich\af1\dbch\af31501\noproof\insrsid7406242\charrsid16336553 \hich\af1\dbch\af31501\loch\f1 &lt;DocAmend&gt;}{\rtlch\fcs1 \af0 \ltrch\fcs0 \insrsid7406242\charrsid16336553 _x000d__x000a_Voorstel voor een #}{\rtlch\fcs1 \af1 \ltrch\fcs0 \cs18\v\f1\fs20\cf15\insrsid7406242\charrsid16336553 MNU[DOC1][DOC2][DOC3]@DOCMSG@DOCMNU}{\rtlch\fcs1 \af0 \ltrch\fcs0 \insrsid7406242\charrsid16336553 ##}{\rtlch\fcs1 \af1 \ltrch\fcs0 _x000d__x000a_\cs18\v\f1\fs20\cf15\insrsid7406242\charrsid16336553 MNU[AMACTYES][NOTAPP]@CHOICE@AMACTMNU}{\rtlch\fcs1 \af0 \ltrch\fcs0 \insrsid7406242\charrsid16336553 #}{\rtlch\fcs1 \af0 \ltrch\fcs0 _x000d__x000a_\cs17\b0\v\fs20\cf9\lang1024\langfe1024\loch\af1\hich\af1\dbch\af31501\noproof\insrsid7406242\charrsid16336553 \hich\af1\dbch\af31501\loch\f1 &lt;/DocAmend&gt;}{\rtlch\fcs1 \af0 \ltrch\fcs0 \insrsid7406242\charrsid16336553 _x000d__x000a_\par }\pard\plain \ltrpar\s20\ql \li0\ri0\nowidctlpar\wrapdefault\aspalpha\aspnum\faauto\adjustright\rin0\lin0\itap0\pararsid7406242 \rtlch\fcs1 \af0\afs20\alang1025 \ltrch\fcs0 \b\fs24\lang1043\langfe2057\cgrid\langnp1043\langfenp2057 {\rtlch\fcs1 \af0 _x000d__x000a_\ltrch\fcs0 \cs17\b0\v\fs20\cf9\lang1024\langfe1024\loch\af1\hich\af1\dbch\af31501\noproof\insrsid7406242\charrsid16336553 \hich\af1\dbch\af31501\loch\f1 &lt;Article&gt;}{\rtlch\fcs1 \af0 \ltrch\fcs0 \insrsid7406242\charrsid16336553 #}{\rtlch\fcs1 \af1 _x000d__x000a_\ltrch\fcs0 \cs18\v\f1\fs20\cf15\insrsid7406242\charrsid16336553 MNU[AMACTPARTYES][AMACTPARTNO]@CHOICE@AMACTMNU}{\rtlch\fcs1 \af0 \ltrch\fcs0 \insrsid7406242\charrsid16336553 #}{\rtlch\fcs1 \af0 \ltrch\fcs0 _x000d__x000a_\cs17\b0\v\fs20\cf9\lang1024\langfe1024\loch\af1\hich\af1\dbch\af31501\noproof\insrsid7406242\charrsid16336553 \hich\af1\dbch\af31501\loch\f1 &lt;/Article&gt;}{\rtlch\fcs1 \af0 \ltrch\fcs0 \insrsid7406242\charrsid16336553 _x000d__x000a_\par }\pard\plain \ltrpar\ql \li0\ri0\keepn\widctlpar\wrapdefault\aspalpha\aspnum\faauto\adjustright\rin0\lin0\itap0\pararsid7406242 \rtlch\fcs1 \af0\afs20\alang1025 \ltrch\fcs0 \fs24\lang2057\langfe2057\cgrid\langnp2057\langfenp2057 {\rtlch\fcs1 \af0 _x000d__x000a_\ltrch\fcs0 \cs17\v\fs20\cf9\lang1024\langfe1024\loch\af1\hich\af1\dbch\af31501\noproof\langnp1043\insrsid7406242\charrsid16336553 \hich\af1\dbch\af31501\loch\f1 &lt;DocAmend2&gt;&lt;OptDel&gt;}{\rtlch\fcs1 \af0 \ltrch\fcs0 _x000d__x000a_\lang1043\langfe2057\langnp1043\insrsid7406242\charrsid16336553 #}{\rtlch\fcs1 \af1 \ltrch\fcs0 \cs18\v\f1\fs20\cf15\lang1043\langfe2057\langnp1043\insrsid7406242\charrsid16336553 MNU[OPTNRACTYES][NOTAPP]@CHOICE@AMACTMNU}{\rtlch\fcs1 \af0 \ltrch\fcs0 _x000d__x000a_\lang1043\langfe2057\langnp1043\insrsid7406242\charrsid16336553 #}{\rtlch\fcs1 \af0 \ltrch\fcs0 \cs17\v\fs20\cf9\lang1024\langfe1024\loch\af1\hich\af1\dbch\af31501\noproof\langnp1043\insrsid7406242\charrsid16336553 \hich\af1\dbch\af31501\loch\f1 _x000d__x000a_&lt;/OptDel&gt;&lt;/DocAmend2&gt;}{\rtlch\fcs1 \af0 \ltrch\fcs0 \lang1043\langfe2057\langnp1043\insrsid7406242\charrsid16336553 _x000d__x000a_\par }\pard \ltrpar\ql \li0\ri0\widctlpar\wrapdefault\aspalpha\aspnum\faauto\adjustright\rin0\lin0\itap0\pararsid7406242 {\rtlch\fcs1 \af0 \ltrch\fcs0 _x000d__x000a_\cs17\v\fs20\cf9\lang1024\langfe1024\loch\af1\hich\af1\dbch\af31501\noproof\langnp1043\insrsid7406242\charrsid16336553 \hich\af1\dbch\af31501\loch\f1 &lt;Article2&gt;&lt;OptDel&gt;}{\rtlch\fcs1 \af0 \ltrch\fcs0 _x000d__x000a_\lang1043\langfe2057\langnp1043\insrsid7406242\charrsid16336553 #}{\rtlch\fcs1 \af1 \ltrch\fcs0 \cs18\v\f1\fs20\cf15\lang1043\langfe2057\langnp1043\insrsid7406242\charrsid16336553 MNU[OPTACTPARTYES][NOTAPP]@CHOICE@AMACTMNU}{\rtlch\fcs1 \af0 \ltrch\fcs0 _x000d__x000a_\lang1043\langfe2057\langnp1043\insrsid7406242\charrsid16336553 #}{\rtlch\fcs1 \af0 \ltrch\fcs0 \cs17\v\fs20\cf9\lang1024\langfe1024\loch\af1\hich\af1\dbch\af31501\noproof\langnp1043\insrsid7406242\charrsid16336553 \hich\af1\dbch\af31501\loch\f1 _x000d__x000a_&lt;/OptDel&gt;&lt;/Article2&gt;}{\rtlch\fcs1 \af0 \ltrch\fcs0 \lang1043\langfe2057\langnp1043\insrsid7406242\charrsid16336553 _x000d__x000a_\par \ltrrow}\trowd \irow0\irowband0\ltrrow\ts11\trqc\trgaph340\trleft0\trftsWidth3\trwWidth9752\trftsWidthB3\trpaddl340\trpaddr340\trpaddfl3\trpaddft3\trpaddfb3\trpaddfr3\tblrsid12919181\tblind0\tblindtype3 \clvertalt\clbrdrt\brdrtbl \clbrdrl\brdrtbl \clbrdrb_x000d__x000a_\brdrtbl \clbrdrr\brdrtbl \cltxlrtb\clftsWidth3\clwWidth9752\clshdrawnil \cellx9752\pard\plain \ltrpar\ql \li0\ri0\keepn\widctlpar\intbl\wrapdefault\aspalpha\aspnum\faauto\adjustright\rin0\lin0\pararsid12919181 \rtlch\fcs1 \af0\afs20\alang1025 _x000d__x000a_\ltrch\fcs0 \fs24\lang2057\langfe2057\cgrid\langnp2057\langfenp2057 {\rtlch\fcs1 \af0 \ltrch\fcs0 \lang1043\langfe2057\langnp1043\insrsid7406242\charrsid16336553 \cell }\pard\plain \ltrpar_x000d__x000a_\ql \li0\ri0\widctlpar\intbl\wrapdefault\aspalpha\aspnum\faauto\adjustright\rin0\lin0 \rtlch\fcs1 \af0\afs20\alang1025 \ltrch\fcs0 \fs24\lang2057\langfe2057\cgrid\langnp2057\langfenp2057 {\rtlch\fcs1 \af0 \ltrch\fcs0 _x000d__x000a_\lang1043\langfe2057\langnp1043\insrsid7406242\charrsid16336553 \trowd \irow0\irowband0\ltrrow_x000d__x000a_\ts11\trqc\trgaph340\trleft0\trftsWidth3\trwWidth9752\trftsWidthB3\trpaddl340\trpaddr340\trpaddfl3\trpaddft3\trpaddfb3\trpaddfr3\tblrsid12919181\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2919181 \rtlch\fcs1 \af0\afs20\alang1025 \ltrch\fcs0 \i\fs24\lang1043\langfe2057\cgrid\langnp1043\langfenp2057 {\rtlch\fcs1 \af0 \ltrch\fcs0 _x000d__x000a_\insrsid7406242\charrsid16336553 #}{\rtlch\fcs1 \af1 \ltrch\fcs0 \cs18\v\f1\fs20\cf15\insrsid7406242\charrsid16336553 MNU[OPTLEFTAMACT][LEFTPROP]@CHOICE@AMACTMNU}{\rtlch\fcs1 \af0 \ltrch\fcs0 \insrsid7406242\charrsid16336553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7406242\charrsid16336553 \trowd \irow1\irowband1\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6572374 \rtlch\fcs1 \af0\afs20\alang1025 \ltrch\fcs0 \fs24\lang1043\langfe2057\cgrid\langnp1043\langfenp2057 {\rtlch\fcs1 \af0 \ltrch\fcs0 _x000d__x000a_\insrsid7406242\charrsid16336553 ##\cell ##}{\rtlch\fcs1 \af0\afs24 \ltrch\fcs0 \insrsid7406242\charrsid16336553 \cell }\pard\plain \ltrpar\ql \li0\ri0\widctlpar\intbl\wrapdefault\aspalpha\aspnum\faauto\adjustright\rin0\lin0 \rtlch\fcs1 _x000d__x000a_\af0\afs20\alang1025 \ltrch\fcs0 \fs24\lang2057\langfe2057\cgrid\langnp2057\langfenp2057 {\rtlch\fcs1 \af0 \ltrch\fcs0 \lang1043\langfe2057\langnp1043\insrsid7406242\charrsid16336553 \trowd \irow2\irowband2\lastrow \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406242 \rtlch\fcs1 \af0\afs20\alang1025 \ltrch\fcs0 \fs24\lang1043\langfe2057\cgrid\langnp1043\langfenp2057 {\rtlch\fcs1 \af0 \ltrch\fcs0 _x000d__x000a_\insrsid7406242\charrsid16336553 Or. }{\rtlch\fcs1 \af0 \ltrch\fcs0 \cs17\v\fs20\cf9\lang1024\langfe1024\loch\af1\hich\af1\dbch\af31501\noproof\insrsid7406242\charrsid16336553 \hich\af1\dbch\af31501\loch\f1 &lt;Original&gt;}{\rtlch\fcs1 \af0 \ltrch\fcs0 _x000d__x000a_\insrsid7406242\charrsid16336553 #}{\rtlch\fcs1 \af1 \ltrch\fcs0 \cs18\v\f1\fs20\cf15\insrsid7406242\charrsid16336553 MNU[ORLANGONE][ORLANGMORE]@CHOICE@ORLANGMNU}{\rtlch\fcs1 \af0 \ltrch\fcs0 \insrsid7406242\charrsid16336553 #}{\rtlch\fcs1 \af0 _x000d__x000a_\ltrch\fcs0 \cs17\v\fs20\cf9\lang1024\langfe1024\loch\af1\hich\af1\dbch\af31501\noproof\insrsid7406242\charrsid16336553 \hich\af1\dbch\af31501\loch\f1 &lt;/Original&gt;}{\rtlch\fcs1 \af0 \ltrch\fcs0 \insrsid7406242\charrsid16336553 _x000d__x000a_\par }\pard\plain \ltrpar\s22\qc \li0\ri0\sb240\sa240\nowidctlpar\wrapdefault\aspalpha\aspnum\faauto\adjustright\rin0\lin0\itap0\pararsid7406242 \rtlch\fcs1 \af0\afs20\alang1025 \ltrch\fcs0 \i\fs24\lang1043\langfe2057\cgrid\langnp1043\langfenp2057 {_x000d__x000a_\rtlch\fcs1 \af0 \ltrch\fcs0 \cs17\i0\v\fs20\cf9\lang1024\langfe1024\loch\af1\hich\af1\dbch\af31501\noproof\insrsid7406242\charrsid16336553 \hich\af1\dbch\af31501\loch\f1 &lt;OptDel&gt;}{\rtlch\fcs1 \af0 \ltrch\fcs0 \insrsid7406242\charrsid16336553 #}{_x000d__x000a_\rtlch\fcs1 \af1 \ltrch\fcs0 \cs18\v\f1\fs20\cf15\insrsid7406242\charrsid16336553 MNU[CROSSREFNO][CROSSREFYES]@CHOICE@}{\rtlch\fcs1 \af0 \ltrch\fcs0 \insrsid7406242\charrsid16336553 #}{\rtlch\fcs1 \af0 \ltrch\fcs0 _x000d__x000a_\cs17\i0\v\fs20\cf9\lang1024\langfe1024\loch\af1\hich\af1\dbch\af31501\noproof\insrsid7406242\charrsid16336553 \hich\af1\dbch\af31501\loch\f1 &lt;/OptDel&gt;}{\rtlch\fcs1 \af0 \ltrch\fcs0 \insrsid7406242\charrsid16336553 _x000d__x000a_\par }\pard\plain \ltrpar\s23\qc \li0\ri0\sb240\sa240\keepn\nowidctlpar\wrapdefault\aspalpha\aspnum\faauto\adjustright\rin0\lin0\itap0\pararsid7406242 \rtlch\fcs1 \af0\afs20\alang1025 \ltrch\fcs0 \i\fs24\lang1043\langfe2057\cgrid\langnp1043\langfenp2057 {_x000d__x000a_\rtlch\fcs1 \af0 \ltrch\fcs0 \cs17\i0\v\fs20\cf9\lang1024\langfe1024\loch\af1\hich\af1\dbch\af31501\noproof\insrsid7406242\charrsid16336553 \hich\af1\dbch\af31501\loch\f1 &lt;TitreJust&gt;}{\rtlch\fcs1 \af0 \ltrch\fcs0 \insrsid7406242\charrsid16336553 _x000d__x000a_Motivering}{\rtlch\fcs1 \af0 \ltrch\fcs0 \cs17\i0\v\fs20\cf9\lang1024\langfe1024\loch\af1\hich\af1\dbch\af31501\noproof\insrsid7406242\charrsid16336553 \hich\af1\dbch\af31501\loch\f1 &lt;/TitreJust&gt;}{\rtlch\fcs1 \af0 \ltrch\fcs0 _x000d__x000a_\insrsid7406242\charrsid16336553 _x000d__x000a_\par }\pard\plain \ltrpar\s21\ql \li0\ri0\sa240\nowidctlpar\wrapdefault\aspalpha\aspnum\faauto\adjustright\rin0\lin0\itap0\pararsid7406242 \rtlch\fcs1 \af0\afs20\alang1025 \ltrch\fcs0 \i\fs24\lang1043\langfe2057\cgrid\langnp1043\langfenp2057 {\rtlch\fcs1 \af0 _x000d__x000a_\ltrch\fcs0 \cs17\i0\v\fs20\cf9\lang1024\langfe1024\loch\af1\hich\af1\dbch\af31501\noproof\insrsid7406242\charrsid16336553 \hich\af1\dbch\af31501\loch\f1 &lt;OptDelPrev&gt;}{\rtlch\fcs1 \af0 \ltrch\fcs0 \insrsid7406242\charrsid16336553 #}{\rtlch\fcs1 \af1 _x000d__x000a_\ltrch\fcs0 \cs18\v\f1\fs20\cf15\insrsid7406242\charrsid16336553 MNU[TEXTJUSTYES][TEXTJUSTNO]@CHOICE@}{\rtlch\fcs1 \af0 \ltrch\fcs0 \insrsid7406242\charrsid16336553 #}{\rtlch\fcs1 \af0 \ltrch\fcs0 _x000d__x000a_\cs17\i0\v\fs20\cf9\lang1024\langfe1024\loch\af1\hich\af1\dbch\af31501\noproof\insrsid7406242\charrsid16336553 \hich\af1\dbch\af31501\loch\f1 &lt;/OptDelPrev&gt;}{\rtlch\fcs1 \af0 \ltrch\fcs0 \insrsid7406242\charrsid16336553 _x000d__x000a_\par }\pard\plain \ltrpar\ql \li0\ri0\widctlpar\wrapdefault\aspalpha\aspnum\faauto\adjustright\rin0\lin0\itap0\pararsid7406242 \rtlch\fcs1 \af0\afs20\alang1025 \ltrch\fcs0 \fs24\lang2057\langfe2057\cgrid\langnp2057\langfenp2057 {\rtlch\fcs1 \af0 \ltrch\fcs0 _x000d__x000a_\cs17\v\fs20\cf9\lang1024\langfe1024\loch\af1\hich\af1\dbch\af31501\noproof\langnp1043\insrsid7406242\charrsid1633655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4_x000d__x000a_2fb7089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34933 HideTWBExt;}{\s16\ql \li0\ri0\sa120\nowidctlpar\wrapdefault\aspalpha\aspnum\faauto\adjustright\rin0\lin0\itap0 \rtlch\fcs1 \af0\afs20\alang1025 \ltrch\fcs0 _x000d__x000a_\fs24\lang2057\langfe2057\cgrid\langnp2057\langfenp2057 \sbasedon0 \snext16 \spriority0 \styrsid8934933 Normal6a;}{\s17\ql \li0\ri0\nowidctlpar\wrapdefault\aspalpha\aspnum\faauto\adjustright\rin0\lin0\itap0 \rtlch\fcs1 \af0\afs20\alang1025 \ltrch\fcs0 _x000d__x000a_\b\fs24\lang2057\langfe2057\cgrid\langnp2057\langfenp2057 \sbasedon0 \snext17 \spriority0 \styrsid8934933 NormalBold;}{\s18\ql \li0\ri0\sa240\nowidctlpar\wrapdefault\aspalpha\aspnum\faauto\adjustright\rin0\lin0\itap0 \rtlch\fcs1 \af0\afs20\alang1025 _x000d__x000a_\ltrch\fcs0 \i\fs24\lang2057\langfe2057\cgrid\langnp2057\langfenp2057 \sbasedon0 \snext18 \spriority0 \styrsid8934933 AmJustText;}{\s19\qc \li0\ri0\sb240\sa240\nowidctlpar\wrapdefault\aspalpha\aspnum\faauto\adjustright\rin0\lin0\itap0 \rtlch\fcs1 _x000d__x000a_\af0\afs20\alang1025 \ltrch\fcs0 \i\fs24\lang2057\langfe2057\cgrid\langnp2057\langfenp2057 \sbasedon0 \snext19 \spriority0 \styrsid8934933 AmCrossRef;}{_x000d__x000a_\s20\qc \li0\ri0\sb240\sa240\keepn\nowidctlpar\wrapdefault\aspalpha\aspnum\faauto\adjustright\rin0\lin0\itap0 \rtlch\fcs1 \af0\afs20\alang1025 \ltrch\fcs0 \i\fs24\lang2057\langfe2057\cgrid\langnp2057\langfenp2057 _x000d__x000a_\sbasedon0 \snext18 \spriority0 \styrsid8934933 AmJustTitle;}{\s21\qr \li0\ri0\sb240\sa240\nowidctlpar\wrapdefault\aspalpha\aspnum\faauto\adjustright\rin0\lin0\itap0 \rtlch\fcs1 \af0\afs20\alang1025 \ltrch\fcs0 _x000d__x000a_\fs24\lang2057\langfe2057\cgrid\langnp2057\langfenp2057 \sbasedon0 \snext21 \spriority0 \styrsid8934933 AmOrLang;}{\s22\qc \li0\ri0\sa240\nowidctlpar\wrapdefault\aspalpha\aspnum\faauto\adjustright\rin0\lin0\itap0 \rtlch\fcs1 \af0\afs20\alang1025 _x000d__x000a_\ltrch\fcs0 \i\fs24\lang2057\langfe2057\cgrid\langnp2057\langfenp2057 \sbasedon0 \snext22 \spriority0 \styrsid893493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934933 AmNumberTabs;}{\s24\ql \li0\ri0\sb240\nowidctlpar\wrapdefault\aspalpha\aspnum\faauto\adjustright\rin0\lin0\itap0 \rtlch\fcs1 _x000d__x000a_\af0\afs20\alang1025 \ltrch\fcs0 \b\fs24\lang2057\langfe2057\cgrid\langnp2057\langfenp2057 \sbasedon0 \snext24 \spriority0 \styrsid8934933 NormalBold12b;}}{\*\rsidtbl \rsid24658\rsid358857\rsid735077\rsid787282\rsid2892074\rsid3622648\rsid4666813_x000d__x000a_\rsid5708216\rsid6641733\rsid7553164\rsid8465581\rsid8681905\rsid8724649\rsid8934933\rsid9636012\rsid9862312\rsid11215221\rsid11370291\rsid11434737\rsid11607138\rsid11824949\rsid12154954\rsid12740548\rsid14424199\rsid15204470\rsid15285974\rsid15535219_x000d__x000a_\rsid15950462\rsid16324206\rsid16662270}{\mmathPr\mmathFont34\mbrkBin0\mbrkBinSub0\msmallFrac0\mdispDef1\mlMargin0\mrMargin0\mdefJc1\mwrapIndent1440\mintLim0\mnaryLim1}{\info{\author FELIX Karina}{\operator FELIX Karina}{\creatim\yr2019\mo7\dy9\hr12\min6}_x000d__x000a_{\revtim\yr2019\mo7\dy9\hr12\min6}{\version1}{\edmins0}{\nofpages1}{\nofwords59}{\nofchars342}{\*\company European Parliament}{\nofcharsws400}{\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349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74054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740548 \chftnsepc _x000d__x000a_\par }}{\*\aftnsep \ltrpar \pard\plain \ltrpar\ql \li0\ri0\widctlpar\wrapdefault\aspalpha\aspnum\faauto\adjustright\rin0\lin0\itap0 \rtlch\fcs1 \af0\afs20\alang1025 \ltrch\fcs0 \fs24\lang2057\langfe2057\cgrid\langnp2057\langfenp2057 {\rtlch\fcs1 \af0 _x000d__x000a_\ltrch\fcs0 \insrsid12740548 \chftnsep _x000d__x000a_\par }}{\*\aftnsepc \ltrpar \pard\plain \ltrpar\ql \li0\ri0\widctlpar\wrapdefault\aspalpha\aspnum\faauto\adjustright\rin0\lin0\itap0 \rtlch\fcs1 \af0\afs20\alang1025 \ltrch\fcs0 \fs24\lang2057\langfe2057\cgrid\langnp2057\langfenp2057 {\rtlch\fcs1 \af0 _x000d__x000a_\ltrch\fcs0 \insrsid1274054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8934933 \rtlch\fcs1 \af0\afs20\alang1025 \ltrch\fcs0 \b\fs24\lang2057\langfe2057\cgrid\langnp2057\langfenp2057 {\rtlch\fcs1 \af0 \ltrch\fcs0 \cs15\b0\v\f1\fs20\cf9\insrsid8934933\charrsid8809889 {\*\bkmkstart restart}&lt;Amend&gt;}{_x000d__x000a_\rtlch\fcs1 \af0 \ltrch\fcs0 \insrsid8934933\charrsid8809889 [ZAMENDMENT]\tab \tab }{\rtlch\fcs1 \af0 \ltrch\fcs0 \cs15\b0\v\f1\fs20\cf9\insrsid8934933\charrsid8809889 &lt;NumAm&gt;}{\rtlch\fcs1 \af0 \ltrch\fcs0 \insrsid8934933\charrsid8809889 [ZNRAM]}{_x000d__x000a_\rtlch\fcs1 \af0 \ltrch\fcs0 \cs15\b0\v\f1\fs20\cf9\insrsid8934933\charrsid8809889 &lt;/NumAm&gt;}{\rtlch\fcs1 \af0 \ltrch\fcs0 \insrsid8934933\charrsid8809889 _x000d__x000a_\par }\pard\plain \ltrpar\s24\ql \li0\ri0\sb240\keepn\nowidctlpar\wrapdefault\aspalpha\aspnum\faauto\adjustright\rin0\lin0\itap0\pararsid8934933 \rtlch\fcs1 \af0\afs20\alang1025 \ltrch\fcs0 \b\fs24\lang2057\langfe2057\cgrid\langnp2057\langfenp2057 {_x000d__x000a_\rtlch\fcs1 \af0 \ltrch\fcs0 \cs15\b0\v\f1\fs20\cf9\insrsid8934933\charrsid8809889 &lt;DocAmend&gt;}{\rtlch\fcs1 \af0 \ltrch\fcs0 \insrsid8934933\charrsid8809889 [ZPROPOSAL][ZAMACT]}{\rtlch\fcs1 \af0 \ltrch\fcs0 _x000d__x000a_\cs15\b0\v\f1\fs20\cf9\insrsid8934933\charrsid8809889 &lt;/DocAmend&gt;}{\rtlch\fcs1 \af0 \ltrch\fcs0 \insrsid8934933\charrsid8809889 _x000d__x000a_\par }\pard\plain \ltrpar\s17\ql \li0\ri0\nowidctlpar\wrapdefault\aspalpha\aspnum\faauto\adjustright\rin0\lin0\itap0\pararsid8934933 \rtlch\fcs1 \af0\afs20\alang1025 \ltrch\fcs0 \b\fs24\lang2057\langfe2057\cgrid\langnp2057\langfenp2057 {\rtlch\fcs1 \af0 _x000d__x000a_\ltrch\fcs0 \cs15\b0\v\f1\fs20\cf9\insrsid8934933\charrsid8809889 &lt;Article&gt;}{\rtlch\fcs1 \af0 \ltrch\fcs0 \insrsid8934933\charrsid8809889 [ZAMPART]}{\rtlch\fcs1 \af0 \ltrch\fcs0 \cs15\b0\v\f1\fs20\cf9\insrsid8934933\charrsid8809889 &lt;/Article&gt;}{_x000d__x000a_\rtlch\fcs1 \af0 \ltrch\fcs0 \insrsid8934933\charrsid8809889 _x000d__x000a_\par }\pard\plain \ltrpar\ql \li0\ri0\keepn\widctlpar\wrapdefault\aspalpha\aspnum\faauto\adjustright\rin0\lin0\itap0\pararsid8934933 \rtlch\fcs1 \af0\afs20\alang1025 \ltrch\fcs0 \fs24\lang2057\langfe2057\cgrid\langnp2057\langfenp2057 {\rtlch\fcs1 \af0 _x000d__x000a_\ltrch\fcs0 \cs15\v\f1\fs20\cf9\lang1043\langfe2057\langnp1043\insrsid8934933\charrsid9717441 &lt;DocAmend2&gt;&lt;OptDel&gt;}{\rtlch\fcs1 \af0 \ltrch\fcs0 \lang1043\langfe2057\langnp1043\insrsid8934933\charrsid9717441 [ZNRACT]}{\rtlch\fcs1 \af0 \ltrch\fcs0 _x000d__x000a_\cs15\v\f1\fs20\cf9\lang1043\langfe2057\langnp1043\insrsid8934933\charrsid9717441 &lt;/OptDel&gt;&lt;/DocAmend2&gt;}{\rtlch\fcs1 \af0 \ltrch\fcs0 \lang1043\langfe2057\langnp1043\insrsid8934933\charrsid9717441 _x000d__x000a_\par }\pard \ltrpar\ql \li0\ri0\widctlpar\wrapdefault\aspalpha\aspnum\faauto\adjustright\rin0\lin0\itap0\pararsid8934933 {\rtlch\fcs1 \af0 \ltrch\fcs0 \cs15\v\f1\fs20\cf9\lang1036\langfe2057\langnp1036\insrsid8934933\charrsid9717441 &lt;Article2&gt;&lt;OptDel&gt;}{_x000d__x000a_\rtlch\fcs1 \af0 \ltrch\fcs0 \lang1036\langfe2057\langnp1036\insrsid8934933\charrsid9717441 [ZACTPART]}{\rtlch\fcs1 \af0 \ltrch\fcs0 \cs15\v\f1\fs20\cf9\lang1036\langfe2057\langnp1036\insrsid8934933\charrsid9717441 &lt;/OptDel&gt;&lt;/Article2&gt;}{\rtlch\fcs1 \af0 _x000d__x000a_\ltrch\fcs0 \lang1036\langfe2057\langnp1036\insrsid8934933\charrsid9717441 _x000d__x000a_\par \ltrrow}\trowd \irow0\irowband0\ltrrow\ts11\trqc\trgaph340\trleft-340\trftsWidth3\trwWidth9752\trftsWidthB3\trpaddl340\trpaddr340\trpaddfl3\trpaddft3\trpaddfb3\trpaddfr3\tblrsid12919181\tblind0\tblindtype3 \clvertalt\clbrdrt\brdrtbl \clbrdrl\brdrtbl _x000d__x000a_\clbrdrb\brdrtbl \clbrdrr\brdrtbl \cltxlrtb\clftsWidth3\clwWidth9752\clshdrawnil \cellx9412\pard\plain \ltrpar\ql \li0\ri0\keepn\widctlpar\intbl\wrapdefault\aspalpha\aspnum\faauto\adjustright\rin0\lin0\pararsid12919181 \rtlch\fcs1 \af0\afs20\alang1025 _x000d__x000a_\ltrch\fcs0 \fs24\lang2057\langfe2057\cgrid\langnp2057\langfenp2057 {\rtlch\fcs1 \af0 \ltrch\fcs0 \lang1036\langfe2057\langnp1036\insrsid8934933\charrsid9717441 \cell }\pard\plain \ltrpar_x000d__x000a_\ql \li0\ri0\widctlpar\intbl\wrapdefault\aspalpha\aspnum\faauto\adjustright\rin0\lin0 \rtlch\fcs1 \af0\afs20\alang1025 \ltrch\fcs0 \fs24\lang2057\langfe2057\cgrid\langnp2057\langfenp2057 {\rtlch\fcs1 \af0 \ltrch\fcs0 _x000d__x000a_\lang1036\langfe2057\langnp1036\insrsid8934933\charrsid5921769 \trowd \irow0\irowband0\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2919181 \rtlch\fcs1 \af0\afs20\alang1025 \ltrch\fcs0 \i\fs24\lang2057\langfe2057\cgrid\langnp2057\langfenp2057 {\rtlch\fcs1 \af0 \ltrch\fcs0 _x000d__x000a_\insrsid8934933\charrsid8809889 [ZLEFT]\cell [ZRIGHT]\cell }\pard\plain \ltrpar\ql \li0\ri0\widctlpar\intbl\wrapdefault\aspalpha\aspnum\faauto\adjustright\rin0\lin0 \rtlch\fcs1 \af0\afs20\alang1025 \ltrch\fcs0 _x000d__x000a_\fs24\lang2057\langfe2057\cgrid\langnp2057\langfenp2057 {\rtlch\fcs1 \af0 \ltrch\fcs0 \insrsid8934933\charrsid8809889 \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6572374 \rtlch\fcs1 \af0\afs20\alang1025 \ltrch\fcs0 \fs24\lang2057\langfe2057\cgrid\langnp2057\langfenp2057 {\rtlch\fcs1 \af0 \ltrch\fcs0 _x000d__x000a_\insrsid8934933\charrsid8809889 [ZTEXTL]\cell [ZTEXTR]}{\rtlch\fcs1 \af0\afs24 \ltrch\fcs0 \insrsid8934933\charrsid8809889 \cell }\pard\plain \ltrpar\ql \li0\ri0\widctlpar\intbl\wrapdefault\aspalpha\aspnum\faauto\adjustright\rin0\lin0 \rtlch\fcs1 _x000d__x000a_\af0\afs20\alang1025 \ltrch\fcs0 \fs24\lang2057\langfe2057\cgrid\langnp2057\langfenp2057 {\rtlch\fcs1 \af0 \ltrch\fcs0 \insrsid8934933\charrsid8809889 \trowd \irow2\irowband2\lastrow \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8934933 \rtlch\fcs1 \af0\afs20\alang1025 \ltrch\fcs0 \fs24\lang2057\langfe2057\cgrid\langnp2057\langfenp2057 {\rtlch\fcs1 \af0 \ltrch\fcs0 _x000d__x000a_\insrsid8934933\charrsid8809889 Or. }{\rtlch\fcs1 \af0 \ltrch\fcs0 \cs15\v\f1\fs20\cf9\insrsid8934933\charrsid8809889 &lt;Original&gt;}{\rtlch\fcs1 \af0 \ltrch\fcs0 \insrsid8934933\charrsid8809889 [ZORLANG]}{\rtlch\fcs1 \af0 \ltrch\fcs0 _x000d__x000a_\cs15\v\f1\fs20\cf9\insrsid8934933\charrsid8809889 &lt;/Original&gt;}{\rtlch\fcs1 \af0 \ltrch\fcs0 \insrsid8934933\charrsid8809889 _x000d__x000a_\par }\pard\plain \ltrpar\s19\qc \li0\ri0\sb240\sa240\nowidctlpar\wrapdefault\aspalpha\aspnum\faauto\adjustright\rin0\lin0\itap0\pararsid8934933 \rtlch\fcs1 \af0\afs20\alang1025 \ltrch\fcs0 \i\fs24\lang2057\langfe2057\cgrid\langnp2057\langfenp2057 {_x000d__x000a_\rtlch\fcs1 \af0 \ltrch\fcs0 \cs15\i0\v\f1\fs20\cf9\insrsid8934933\charrsid8809889 &lt;OptDel&gt;}{\rtlch\fcs1 \af0 \ltrch\fcs0 \insrsid8934933\charrsid8809889 [ZCROSSREF]}{\rtlch\fcs1 \af0 \ltrch\fcs0 \cs15\i0\v\f1\fs20\cf9\insrsid8934933\charrsid8809889 _x000d__x000a_&lt;/OptDel&gt;}{\rtlch\fcs1 \af0 \ltrch\fcs0 \insrsid8934933\charrsid8809889 _x000d__x000a_\par }\pard\plain \ltrpar\s20\qc \li0\ri0\sb240\sa240\keepn\nowidctlpar\wrapdefault\aspalpha\aspnum\faauto\adjustright\rin0\lin0\itap0\pararsid8934933 \rtlch\fcs1 \af0\afs20\alang1025 \ltrch\fcs0 \i\fs24\lang2057\langfe2057\cgrid\langnp2057\langfenp2057 {_x000d__x000a_\rtlch\fcs1 \af0 \ltrch\fcs0 \cs15\i0\v\f1\fs20\cf9\insrsid8934933\charrsid8809889 &lt;TitreJust&gt;}{\rtlch\fcs1 \af0 \ltrch\fcs0 \insrsid8934933\charrsid8809889 [ZJUSTIFICATION]}{\rtlch\fcs1 \af0 \ltrch\fcs0 _x000d__x000a_\cs15\i0\v\f1\fs20\cf9\insrsid8934933\charrsid8809889 &lt;/TitreJust&gt;}{\rtlch\fcs1 \af0 \ltrch\fcs0 \insrsid8934933\charrsid8809889 _x000d__x000a_\par }\pard\plain \ltrpar\s18\ql \li0\ri0\sa240\nowidctlpar\wrapdefault\aspalpha\aspnum\faauto\adjustright\rin0\lin0\itap0\pararsid8934933 \rtlch\fcs1 \af0\afs20\alang1025 \ltrch\fcs0 \i\fs24\lang2057\langfe2057\cgrid\langnp2057\langfenp2057 {\rtlch\fcs1 \af0 _x000d__x000a_\ltrch\fcs0 \cs15\i0\v\f1\fs20\cf9\insrsid8934933\charrsid8809889 &lt;OptDelPrev&gt;}{\rtlch\fcs1 \af0 \ltrch\fcs0 \insrsid8934933\charrsid8809889 [ZTEXTJUST]}{\rtlch\fcs1 \af0 \ltrch\fcs0 \cs15\i0\v\f1\fs20\cf9\insrsid8934933\charrsid8809889 &lt;/OptDelPrev&gt;}{_x000d__x000a_\rtlch\fcs1 \af0 \ltrch\fcs0 \insrsid8934933\charrsid8809889 _x000d__x000a_\par }\pard\plain \ltrpar\ql \li0\ri0\widctlpar\wrapdefault\aspalpha\aspnum\faauto\adjustright\rin0\lin0\itap0\pararsid8934933 \rtlch\fcs1 \af0\afs20\alang1025 \ltrch\fcs0 \fs24\lang2057\langfe2057\cgrid\langnp2057\langfenp2057 {\rtlch\fcs1 \af0 \ltrch\fcs0 _x000d__x000a_\cs15\v\f1\fs20\cf9\insrsid8934933\charrsid880988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5_x000d__x000a_550b3e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recastingam"/>
    <w:docVar w:name="strSubDir" w:val="1301"/>
    <w:docVar w:name="TXTAUTHOR" w:val="Jeroen Lenaers"/>
    <w:docVar w:name="TXTLANGUE" w:val="NL"/>
    <w:docVar w:name="TXTLANGUEMIN" w:val="nl"/>
    <w:docVar w:name="TXTNRC" w:val="0028/2024"/>
    <w:docVar w:name="TXTNRCOD" w:val="2024/0035"/>
    <w:docVar w:name="TXTNRCOM" w:val="(2024)0060"/>
    <w:docVar w:name="TXTNRPE" w:val="761.022"/>
    <w:docVar w:name="TXTPEorAP" w:val="PE"/>
    <w:docVar w:name="TXTROUTE" w:val="PR\1301224NL.docx"/>
    <w:docVar w:name="TXTTITLE" w:val="on combating the sexual abuse and sexual exploitation of children and child sexual abuse material and replacing Council Framework Decision 2004/68/JHA"/>
    <w:docVar w:name="TXTVERSION" w:val="01-00"/>
  </w:docVars>
  <w:rsids>
    <w:rsidRoot w:val="00F946A9"/>
    <w:rsid w:val="00012807"/>
    <w:rsid w:val="00021008"/>
    <w:rsid w:val="00030DFA"/>
    <w:rsid w:val="00044E83"/>
    <w:rsid w:val="0005680D"/>
    <w:rsid w:val="00061F36"/>
    <w:rsid w:val="00065B5C"/>
    <w:rsid w:val="00071CA8"/>
    <w:rsid w:val="00087F65"/>
    <w:rsid w:val="00092A4C"/>
    <w:rsid w:val="000A74FB"/>
    <w:rsid w:val="000E4708"/>
    <w:rsid w:val="000F309C"/>
    <w:rsid w:val="000F5CD0"/>
    <w:rsid w:val="00100845"/>
    <w:rsid w:val="001132B1"/>
    <w:rsid w:val="001175CE"/>
    <w:rsid w:val="001547E9"/>
    <w:rsid w:val="001552EE"/>
    <w:rsid w:val="00155616"/>
    <w:rsid w:val="00170160"/>
    <w:rsid w:val="001722BB"/>
    <w:rsid w:val="00182FA1"/>
    <w:rsid w:val="001C21E6"/>
    <w:rsid w:val="00212B3E"/>
    <w:rsid w:val="00217ABA"/>
    <w:rsid w:val="00221572"/>
    <w:rsid w:val="0025332E"/>
    <w:rsid w:val="00292A90"/>
    <w:rsid w:val="002C363F"/>
    <w:rsid w:val="002C437E"/>
    <w:rsid w:val="002E3540"/>
    <w:rsid w:val="002F0C8F"/>
    <w:rsid w:val="002F4834"/>
    <w:rsid w:val="003018E9"/>
    <w:rsid w:val="00311858"/>
    <w:rsid w:val="00313ACE"/>
    <w:rsid w:val="00343461"/>
    <w:rsid w:val="0034475B"/>
    <w:rsid w:val="00346076"/>
    <w:rsid w:val="00380178"/>
    <w:rsid w:val="00390A05"/>
    <w:rsid w:val="003A7BC1"/>
    <w:rsid w:val="003B2DF1"/>
    <w:rsid w:val="003B5DAA"/>
    <w:rsid w:val="003F2B7E"/>
    <w:rsid w:val="003F2C56"/>
    <w:rsid w:val="004111ED"/>
    <w:rsid w:val="00424A09"/>
    <w:rsid w:val="0042523D"/>
    <w:rsid w:val="00432ADF"/>
    <w:rsid w:val="00435F6D"/>
    <w:rsid w:val="0046659C"/>
    <w:rsid w:val="00466AEA"/>
    <w:rsid w:val="00466F3D"/>
    <w:rsid w:val="004740DD"/>
    <w:rsid w:val="004A6A43"/>
    <w:rsid w:val="004C201D"/>
    <w:rsid w:val="004C4868"/>
    <w:rsid w:val="00511802"/>
    <w:rsid w:val="005138DB"/>
    <w:rsid w:val="00520260"/>
    <w:rsid w:val="00540DC6"/>
    <w:rsid w:val="00543B7B"/>
    <w:rsid w:val="00547EF1"/>
    <w:rsid w:val="00555652"/>
    <w:rsid w:val="0056430C"/>
    <w:rsid w:val="005852DB"/>
    <w:rsid w:val="00591538"/>
    <w:rsid w:val="005A3316"/>
    <w:rsid w:val="005A3CE4"/>
    <w:rsid w:val="005A5BE9"/>
    <w:rsid w:val="005C5FEE"/>
    <w:rsid w:val="005C6334"/>
    <w:rsid w:val="005E0CB2"/>
    <w:rsid w:val="00605200"/>
    <w:rsid w:val="00644956"/>
    <w:rsid w:val="00647272"/>
    <w:rsid w:val="006772F5"/>
    <w:rsid w:val="006C1F71"/>
    <w:rsid w:val="006D77A8"/>
    <w:rsid w:val="006F5718"/>
    <w:rsid w:val="00720D4E"/>
    <w:rsid w:val="00726C00"/>
    <w:rsid w:val="00770284"/>
    <w:rsid w:val="00771F29"/>
    <w:rsid w:val="0079044B"/>
    <w:rsid w:val="00797D1E"/>
    <w:rsid w:val="007A0880"/>
    <w:rsid w:val="007D22F9"/>
    <w:rsid w:val="007D4D20"/>
    <w:rsid w:val="007D611D"/>
    <w:rsid w:val="007E333C"/>
    <w:rsid w:val="008450C7"/>
    <w:rsid w:val="00852087"/>
    <w:rsid w:val="00857CF2"/>
    <w:rsid w:val="00866DA1"/>
    <w:rsid w:val="00876CC2"/>
    <w:rsid w:val="00884EFD"/>
    <w:rsid w:val="00886775"/>
    <w:rsid w:val="008B6712"/>
    <w:rsid w:val="008C7296"/>
    <w:rsid w:val="008D3054"/>
    <w:rsid w:val="009446C1"/>
    <w:rsid w:val="009604CB"/>
    <w:rsid w:val="00975764"/>
    <w:rsid w:val="0097679E"/>
    <w:rsid w:val="00982093"/>
    <w:rsid w:val="00982A13"/>
    <w:rsid w:val="00987816"/>
    <w:rsid w:val="00995582"/>
    <w:rsid w:val="009C6C50"/>
    <w:rsid w:val="009D3C1F"/>
    <w:rsid w:val="009E1028"/>
    <w:rsid w:val="009E777A"/>
    <w:rsid w:val="00A2287D"/>
    <w:rsid w:val="00A32A5D"/>
    <w:rsid w:val="00A375EA"/>
    <w:rsid w:val="00A41D5E"/>
    <w:rsid w:val="00A51111"/>
    <w:rsid w:val="00A91884"/>
    <w:rsid w:val="00A953F5"/>
    <w:rsid w:val="00AA7661"/>
    <w:rsid w:val="00AC256D"/>
    <w:rsid w:val="00AF0002"/>
    <w:rsid w:val="00AF5418"/>
    <w:rsid w:val="00B03124"/>
    <w:rsid w:val="00B11BA2"/>
    <w:rsid w:val="00B14B32"/>
    <w:rsid w:val="00B336A9"/>
    <w:rsid w:val="00B40F23"/>
    <w:rsid w:val="00B42C2E"/>
    <w:rsid w:val="00B66C1D"/>
    <w:rsid w:val="00B81204"/>
    <w:rsid w:val="00B85E48"/>
    <w:rsid w:val="00BC2742"/>
    <w:rsid w:val="00BC52D8"/>
    <w:rsid w:val="00BD28D4"/>
    <w:rsid w:val="00BE2C7F"/>
    <w:rsid w:val="00C036B7"/>
    <w:rsid w:val="00C26D5E"/>
    <w:rsid w:val="00C31D39"/>
    <w:rsid w:val="00C445D9"/>
    <w:rsid w:val="00C5218D"/>
    <w:rsid w:val="00C53053"/>
    <w:rsid w:val="00C57C01"/>
    <w:rsid w:val="00C673D0"/>
    <w:rsid w:val="00C77D7D"/>
    <w:rsid w:val="00C9348F"/>
    <w:rsid w:val="00C955A0"/>
    <w:rsid w:val="00CD65A8"/>
    <w:rsid w:val="00D24491"/>
    <w:rsid w:val="00D445A8"/>
    <w:rsid w:val="00D7331C"/>
    <w:rsid w:val="00D97418"/>
    <w:rsid w:val="00DB12A0"/>
    <w:rsid w:val="00DC2F51"/>
    <w:rsid w:val="00DC3DED"/>
    <w:rsid w:val="00DD51E8"/>
    <w:rsid w:val="00DF25EA"/>
    <w:rsid w:val="00E07EA4"/>
    <w:rsid w:val="00E142AF"/>
    <w:rsid w:val="00E21D93"/>
    <w:rsid w:val="00E25C80"/>
    <w:rsid w:val="00E51D01"/>
    <w:rsid w:val="00E769EF"/>
    <w:rsid w:val="00E901B1"/>
    <w:rsid w:val="00E93ED1"/>
    <w:rsid w:val="00E95919"/>
    <w:rsid w:val="00E9638A"/>
    <w:rsid w:val="00EA7E4A"/>
    <w:rsid w:val="00ED0821"/>
    <w:rsid w:val="00EF15FD"/>
    <w:rsid w:val="00EF63A7"/>
    <w:rsid w:val="00F02B54"/>
    <w:rsid w:val="00F055BD"/>
    <w:rsid w:val="00F23827"/>
    <w:rsid w:val="00F404B2"/>
    <w:rsid w:val="00F42346"/>
    <w:rsid w:val="00F455D8"/>
    <w:rsid w:val="00F61E6E"/>
    <w:rsid w:val="00F63F81"/>
    <w:rsid w:val="00F72CA0"/>
    <w:rsid w:val="00F84E6A"/>
    <w:rsid w:val="00F8780D"/>
    <w:rsid w:val="00F92393"/>
    <w:rsid w:val="00F946A9"/>
    <w:rsid w:val="00FA6D72"/>
    <w:rsid w:val="00FB51B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9C5C0"/>
  <w15:chartTrackingRefBased/>
  <w15:docId w15:val="{86AA11B8-6CD4-4A69-B479-C9956EAD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F29"/>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PageHeading">
    <w:name w:val="PageHeading"/>
    <w:basedOn w:val="Normal"/>
    <w:rsid w:val="00647272"/>
    <w:pPr>
      <w:keepNext/>
      <w:spacing w:after="480"/>
      <w:jc w:val="center"/>
    </w:pPr>
    <w:rPr>
      <w:rFonts w:ascii="Arial" w:hAnsi="Arial" w:cs="Arial"/>
      <w: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B031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rsid w:val="00644956"/>
    <w:pPr>
      <w:spacing w:after="120"/>
    </w:pPr>
  </w:style>
  <w:style w:type="paragraph" w:customStyle="1" w:styleId="NormalBold">
    <w:name w:val="NormalBold"/>
    <w:basedOn w:val="Normal"/>
    <w:link w:val="NormalBoldChar"/>
    <w:rsid w:val="00644956"/>
    <w:rPr>
      <w:b/>
    </w:rPr>
  </w:style>
  <w:style w:type="paragraph" w:customStyle="1" w:styleId="NormalBold12a">
    <w:name w:val="NormalBold12a"/>
    <w:basedOn w:val="Normal"/>
    <w:rsid w:val="00797D1E"/>
    <w:pPr>
      <w:spacing w:after="240"/>
    </w:pPr>
    <w:rPr>
      <w:b/>
    </w:rPr>
  </w:style>
  <w:style w:type="paragraph" w:customStyle="1" w:styleId="NormalHanging12a">
    <w:name w:val="NormalHanging12a"/>
    <w:basedOn w:val="Normal"/>
    <w:rsid w:val="00797D1E"/>
    <w:pPr>
      <w:spacing w:after="240"/>
      <w:ind w:left="567" w:hanging="567"/>
    </w:pPr>
  </w:style>
  <w:style w:type="paragraph" w:customStyle="1" w:styleId="EPName">
    <w:name w:val="EPName"/>
    <w:basedOn w:val="Normal"/>
    <w:rsid w:val="005A3CE4"/>
    <w:pPr>
      <w:spacing w:before="80" w:after="80"/>
    </w:pPr>
    <w:rPr>
      <w:rFonts w:ascii="Arial Narrow" w:hAnsi="Arial Narrow" w:cs="Arial"/>
      <w:b/>
      <w:sz w:val="32"/>
      <w:szCs w:val="22"/>
    </w:rPr>
  </w:style>
  <w:style w:type="paragraph" w:customStyle="1" w:styleId="CoverNormal24a">
    <w:name w:val="CoverNormal24a"/>
    <w:basedOn w:val="Normal"/>
    <w:rsid w:val="00644956"/>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446C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644956"/>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3F2B7E"/>
    <w:pPr>
      <w:tabs>
        <w:tab w:val="center" w:pos="4513"/>
        <w:tab w:val="right" w:pos="9026"/>
      </w:tabs>
    </w:pPr>
  </w:style>
  <w:style w:type="paragraph" w:customStyle="1" w:styleId="AnnexWPTabs">
    <w:name w:val="AnnexWPTabs"/>
    <w:basedOn w:val="Normal"/>
    <w:rsid w:val="00065B5C"/>
    <w:pPr>
      <w:tabs>
        <w:tab w:val="right" w:pos="3686"/>
        <w:tab w:val="left" w:pos="3827"/>
      </w:tabs>
    </w:pPr>
    <w:rPr>
      <w:b/>
    </w:rPr>
  </w:style>
  <w:style w:type="paragraph" w:customStyle="1" w:styleId="AnnexWPDate">
    <w:name w:val="AnnexWPDate"/>
    <w:basedOn w:val="Normal"/>
    <w:rsid w:val="005C5FEE"/>
    <w:pPr>
      <w:spacing w:before="240" w:after="480"/>
      <w:jc w:val="right"/>
    </w:pPr>
  </w:style>
  <w:style w:type="paragraph" w:customStyle="1" w:styleId="AnnexWPSmall">
    <w:name w:val="AnnexWPSmall"/>
    <w:basedOn w:val="Normal"/>
    <w:rsid w:val="00F72CA0"/>
    <w:rPr>
      <w:smallCaps/>
      <w:sz w:val="20"/>
    </w:rPr>
  </w:style>
  <w:style w:type="paragraph" w:customStyle="1" w:styleId="AnnexWPDocType">
    <w:name w:val="AnnexWPDocType"/>
    <w:basedOn w:val="Normal"/>
    <w:rsid w:val="00647272"/>
    <w:pPr>
      <w:spacing w:after="240"/>
      <w:jc w:val="center"/>
    </w:pPr>
    <w:rPr>
      <w:b/>
    </w:rPr>
  </w:style>
  <w:style w:type="paragraph" w:customStyle="1" w:styleId="AnnexWPTitle">
    <w:name w:val="AnnexWPTitle"/>
    <w:basedOn w:val="Normal"/>
    <w:rsid w:val="00605200"/>
    <w:pPr>
      <w:spacing w:before="480"/>
    </w:pPr>
    <w:rPr>
      <w:b/>
    </w:rPr>
  </w:style>
  <w:style w:type="paragraph" w:customStyle="1" w:styleId="AmJustText">
    <w:name w:val="AmJustText"/>
    <w:basedOn w:val="Normal"/>
    <w:rsid w:val="00C5218D"/>
    <w:pPr>
      <w:spacing w:after="240"/>
    </w:pPr>
    <w:rPr>
      <w:i/>
    </w:rPr>
  </w:style>
  <w:style w:type="paragraph" w:customStyle="1" w:styleId="AmCrossRef">
    <w:name w:val="AmCrossRef"/>
    <w:basedOn w:val="Normal"/>
    <w:rsid w:val="00C5218D"/>
    <w:pPr>
      <w:spacing w:before="240" w:after="240"/>
      <w:jc w:val="center"/>
    </w:pPr>
    <w:rPr>
      <w:i/>
    </w:rPr>
  </w:style>
  <w:style w:type="paragraph" w:customStyle="1" w:styleId="AmJustTitle">
    <w:name w:val="AmJustTitle"/>
    <w:basedOn w:val="Normal"/>
    <w:next w:val="AmJustText"/>
    <w:rsid w:val="00C5218D"/>
    <w:pPr>
      <w:keepNext/>
      <w:spacing w:before="240" w:after="240"/>
      <w:jc w:val="center"/>
    </w:pPr>
    <w:rPr>
      <w:i/>
    </w:rPr>
  </w:style>
  <w:style w:type="paragraph" w:customStyle="1" w:styleId="AmOrLang">
    <w:name w:val="AmOrLang"/>
    <w:basedOn w:val="Normal"/>
    <w:rsid w:val="00C5218D"/>
    <w:pPr>
      <w:spacing w:before="240" w:after="240"/>
      <w:jc w:val="right"/>
    </w:pPr>
  </w:style>
  <w:style w:type="paragraph" w:customStyle="1" w:styleId="AmColumnHeading">
    <w:name w:val="Am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866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66DA1"/>
    <w:pPr>
      <w:jc w:val="center"/>
    </w:pPr>
    <w:rPr>
      <w:rFonts w:ascii="Arial" w:hAnsi="Arial" w:cs="Arial"/>
      <w:i/>
      <w:sz w:val="22"/>
      <w:szCs w:val="22"/>
    </w:rPr>
  </w:style>
  <w:style w:type="paragraph" w:customStyle="1" w:styleId="LineTop">
    <w:name w:val="LineTop"/>
    <w:basedOn w:val="Normal"/>
    <w:next w:val="Normal"/>
    <w:rsid w:val="00866DA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866DA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A3CE4"/>
    <w:pPr>
      <w:spacing w:after="80"/>
    </w:pPr>
    <w:rPr>
      <w:rFonts w:ascii="Arial" w:hAnsi="Arial" w:cs="Arial"/>
      <w:sz w:val="20"/>
      <w:szCs w:val="22"/>
    </w:rPr>
  </w:style>
  <w:style w:type="paragraph" w:customStyle="1" w:styleId="EPLogo">
    <w:name w:val="EPLogo"/>
    <w:basedOn w:val="Normal"/>
    <w:qFormat/>
    <w:rsid w:val="005A3CE4"/>
    <w:pPr>
      <w:jc w:val="right"/>
    </w:pPr>
  </w:style>
  <w:style w:type="paragraph" w:customStyle="1" w:styleId="AnnexWPLogo">
    <w:name w:val="AnnexWPLogo"/>
    <w:basedOn w:val="Normal"/>
    <w:rsid w:val="00AA7661"/>
    <w:pPr>
      <w:spacing w:before="120" w:after="120"/>
    </w:pPr>
  </w:style>
  <w:style w:type="paragraph" w:customStyle="1" w:styleId="EPFooter">
    <w:name w:val="EPFooter"/>
    <w:basedOn w:val="Normal"/>
    <w:rsid w:val="00012807"/>
    <w:pPr>
      <w:tabs>
        <w:tab w:val="center" w:pos="4535"/>
        <w:tab w:val="right" w:pos="9071"/>
      </w:tabs>
      <w:spacing w:before="240" w:after="240"/>
    </w:pPr>
    <w:rPr>
      <w:color w:val="010000"/>
      <w:sz w:val="22"/>
    </w:rPr>
  </w:style>
  <w:style w:type="character" w:styleId="PageNumber">
    <w:name w:val="page number"/>
    <w:basedOn w:val="DefaultParagraphFont"/>
    <w:semiHidden/>
    <w:rsid w:val="00F42346"/>
  </w:style>
  <w:style w:type="character" w:customStyle="1" w:styleId="HeaderChar">
    <w:name w:val="Header Char"/>
    <w:basedOn w:val="DefaultParagraphFont"/>
    <w:link w:val="Header"/>
    <w:semiHidden/>
    <w:rsid w:val="003F2B7E"/>
    <w:rPr>
      <w:sz w:val="24"/>
    </w:rPr>
  </w:style>
  <w:style w:type="paragraph" w:customStyle="1" w:styleId="EPComma">
    <w:name w:val="EPComma"/>
    <w:basedOn w:val="Normal"/>
    <w:rsid w:val="00BE2C7F"/>
    <w:pPr>
      <w:spacing w:before="480" w:after="240"/>
    </w:pPr>
  </w:style>
  <w:style w:type="paragraph" w:customStyle="1" w:styleId="Lgendesigne">
    <w:name w:val="Légende signe"/>
    <w:basedOn w:val="Normal"/>
    <w:rsid w:val="0079044B"/>
    <w:pPr>
      <w:tabs>
        <w:tab w:val="right" w:pos="454"/>
        <w:tab w:val="left" w:pos="737"/>
      </w:tabs>
      <w:ind w:left="737" w:hanging="737"/>
    </w:pPr>
    <w:rPr>
      <w:snapToGrid w:val="0"/>
      <w:sz w:val="18"/>
      <w:lang w:eastAsia="en-US"/>
    </w:rPr>
  </w:style>
  <w:style w:type="paragraph" w:customStyle="1" w:styleId="Lgendetitre">
    <w:name w:val="Légende titre"/>
    <w:basedOn w:val="Normal"/>
    <w:rsid w:val="0079044B"/>
    <w:pPr>
      <w:spacing w:before="240" w:after="240"/>
    </w:pPr>
    <w:rPr>
      <w:b/>
      <w:i/>
      <w:snapToGrid w:val="0"/>
      <w:lang w:eastAsia="en-US"/>
    </w:rPr>
  </w:style>
  <w:style w:type="paragraph" w:customStyle="1" w:styleId="Lgendestandard">
    <w:name w:val="Légende standard"/>
    <w:basedOn w:val="Normal"/>
    <w:rsid w:val="0079044B"/>
    <w:rPr>
      <w:sz w:val="18"/>
    </w:rPr>
  </w:style>
  <w:style w:type="paragraph" w:styleId="FootnoteText">
    <w:name w:val="footnote text"/>
    <w:basedOn w:val="Normal"/>
    <w:link w:val="FootnoteTextChar"/>
    <w:rsid w:val="0079044B"/>
    <w:rPr>
      <w:sz w:val="20"/>
    </w:rPr>
  </w:style>
  <w:style w:type="character" w:customStyle="1" w:styleId="FootnoteTextChar">
    <w:name w:val="Footnote Text Char"/>
    <w:basedOn w:val="DefaultParagraphFont"/>
    <w:link w:val="FootnoteText"/>
    <w:rsid w:val="0079044B"/>
    <w:rPr>
      <w:lang w:val="nl-NL"/>
    </w:rPr>
  </w:style>
  <w:style w:type="character" w:styleId="FootnoteReference">
    <w:name w:val="footnote reference"/>
    <w:basedOn w:val="DefaultParagraphFont"/>
    <w:rsid w:val="0079044B"/>
    <w:rPr>
      <w:vertAlign w:val="superscript"/>
    </w:rPr>
  </w:style>
  <w:style w:type="character" w:customStyle="1" w:styleId="Heading1Char">
    <w:name w:val="Heading 1 Char"/>
    <w:basedOn w:val="DefaultParagraphFont"/>
    <w:link w:val="Heading1"/>
    <w:rsid w:val="005C6334"/>
    <w:rPr>
      <w:rFonts w:ascii="Arial" w:hAnsi="Arial"/>
      <w:b/>
      <w:kern w:val="28"/>
      <w:sz w:val="28"/>
      <w:lang w:val="nl-NL"/>
    </w:rPr>
  </w:style>
  <w:style w:type="character" w:customStyle="1" w:styleId="Heading2Char">
    <w:name w:val="Heading 2 Char"/>
    <w:basedOn w:val="DefaultParagraphFont"/>
    <w:link w:val="Heading2"/>
    <w:semiHidden/>
    <w:rsid w:val="005C6334"/>
    <w:rPr>
      <w:rFonts w:ascii="Arial" w:hAnsi="Arial"/>
      <w:b/>
      <w:i/>
      <w:sz w:val="24"/>
      <w:lang w:val="nl-NL"/>
    </w:rPr>
  </w:style>
  <w:style w:type="character" w:customStyle="1" w:styleId="Heading3Char">
    <w:name w:val="Heading 3 Char"/>
    <w:basedOn w:val="DefaultParagraphFont"/>
    <w:link w:val="Heading3"/>
    <w:semiHidden/>
    <w:rsid w:val="005C6334"/>
    <w:rPr>
      <w:rFonts w:ascii="Arial" w:hAnsi="Arial"/>
      <w:sz w:val="24"/>
      <w:lang w:val="nl-NL"/>
    </w:rPr>
  </w:style>
  <w:style w:type="character" w:customStyle="1" w:styleId="Heading4Char">
    <w:name w:val="Heading 4 Char"/>
    <w:basedOn w:val="DefaultParagraphFont"/>
    <w:link w:val="Heading4"/>
    <w:semiHidden/>
    <w:rsid w:val="005C6334"/>
    <w:rPr>
      <w:rFonts w:ascii="Arial" w:hAnsi="Arial"/>
      <w:b/>
      <w:sz w:val="24"/>
      <w:lang w:val="nl-NL"/>
    </w:rPr>
  </w:style>
  <w:style w:type="character" w:customStyle="1" w:styleId="Heading5Char">
    <w:name w:val="Heading 5 Char"/>
    <w:basedOn w:val="DefaultParagraphFont"/>
    <w:link w:val="Heading5"/>
    <w:semiHidden/>
    <w:rsid w:val="005C6334"/>
    <w:rPr>
      <w:sz w:val="22"/>
      <w:lang w:val="nl-NL"/>
    </w:rPr>
  </w:style>
  <w:style w:type="character" w:customStyle="1" w:styleId="Heading6Char">
    <w:name w:val="Heading 6 Char"/>
    <w:basedOn w:val="DefaultParagraphFont"/>
    <w:link w:val="Heading6"/>
    <w:semiHidden/>
    <w:rsid w:val="005C6334"/>
    <w:rPr>
      <w:i/>
      <w:sz w:val="22"/>
      <w:lang w:val="nl-NL"/>
    </w:rPr>
  </w:style>
  <w:style w:type="character" w:customStyle="1" w:styleId="Heading7Char">
    <w:name w:val="Heading 7 Char"/>
    <w:basedOn w:val="DefaultParagraphFont"/>
    <w:link w:val="Heading7"/>
    <w:semiHidden/>
    <w:rsid w:val="005C6334"/>
    <w:rPr>
      <w:rFonts w:ascii="Arial" w:hAnsi="Arial"/>
      <w:sz w:val="24"/>
      <w:lang w:val="nl-NL"/>
    </w:rPr>
  </w:style>
  <w:style w:type="character" w:customStyle="1" w:styleId="Heading8Char">
    <w:name w:val="Heading 8 Char"/>
    <w:basedOn w:val="DefaultParagraphFont"/>
    <w:link w:val="Heading8"/>
    <w:semiHidden/>
    <w:rsid w:val="005C6334"/>
    <w:rPr>
      <w:rFonts w:ascii="Arial" w:hAnsi="Arial"/>
      <w:i/>
      <w:sz w:val="24"/>
      <w:lang w:val="nl-NL"/>
    </w:rPr>
  </w:style>
  <w:style w:type="character" w:customStyle="1" w:styleId="Heading9Char">
    <w:name w:val="Heading 9 Char"/>
    <w:basedOn w:val="DefaultParagraphFont"/>
    <w:link w:val="Heading9"/>
    <w:semiHidden/>
    <w:rsid w:val="005C6334"/>
    <w:rPr>
      <w:rFonts w:ascii="Arial" w:hAnsi="Arial"/>
      <w:b/>
      <w:i/>
      <w:sz w:val="18"/>
      <w:lang w:val="nl-NL"/>
    </w:rPr>
  </w:style>
  <w:style w:type="character" w:customStyle="1" w:styleId="NormalBoldChar">
    <w:name w:val="NormalBold Char"/>
    <w:basedOn w:val="DefaultParagraphFont"/>
    <w:link w:val="NormalBold"/>
    <w:locked/>
    <w:rsid w:val="005C6334"/>
    <w:rPr>
      <w:b/>
      <w:sz w:val="24"/>
      <w:lang w:val="nl-NL"/>
    </w:rPr>
  </w:style>
  <w:style w:type="paragraph" w:customStyle="1" w:styleId="msonormal0">
    <w:name w:val="msonormal"/>
    <w:basedOn w:val="Normal"/>
    <w:rsid w:val="005C6334"/>
    <w:pPr>
      <w:widowControl/>
      <w:spacing w:before="100" w:beforeAutospacing="1" w:after="100" w:afterAutospacing="1"/>
    </w:pPr>
    <w:rPr>
      <w:szCs w:val="24"/>
    </w:rPr>
  </w:style>
  <w:style w:type="character" w:customStyle="1" w:styleId="FooterChar">
    <w:name w:val="Footer Char"/>
    <w:basedOn w:val="DefaultParagraphFont"/>
    <w:link w:val="Footer"/>
    <w:rsid w:val="005C6334"/>
    <w:rPr>
      <w:sz w:val="22"/>
    </w:rPr>
  </w:style>
  <w:style w:type="paragraph" w:styleId="Footer">
    <w:name w:val="footer"/>
    <w:link w:val="FooterChar"/>
    <w:unhideWhenUsed/>
    <w:rsid w:val="005C6334"/>
    <w:pPr>
      <w:tabs>
        <w:tab w:val="center" w:pos="4536"/>
        <w:tab w:val="right" w:pos="9072"/>
      </w:tabs>
      <w:spacing w:before="240" w:after="240" w:line="218" w:lineRule="auto"/>
    </w:pPr>
    <w:rPr>
      <w:sz w:val="22"/>
    </w:rPr>
  </w:style>
  <w:style w:type="character" w:customStyle="1" w:styleId="FooterChar1">
    <w:name w:val="Footer Char1"/>
    <w:basedOn w:val="DefaultParagraphFont"/>
    <w:rsid w:val="005C6334"/>
    <w:rPr>
      <w:sz w:val="24"/>
      <w:lang w:val="nl-NL"/>
    </w:rPr>
  </w:style>
  <w:style w:type="character" w:customStyle="1" w:styleId="Normal12Char">
    <w:name w:val="Normal12 Char"/>
    <w:basedOn w:val="DefaultParagraphFont"/>
    <w:link w:val="Normal12"/>
    <w:locked/>
    <w:rsid w:val="005C6334"/>
    <w:rPr>
      <w:noProof/>
      <w:sz w:val="24"/>
    </w:rPr>
  </w:style>
  <w:style w:type="paragraph" w:customStyle="1" w:styleId="Normal12">
    <w:name w:val="Normal12"/>
    <w:basedOn w:val="Normal"/>
    <w:link w:val="Normal12Char"/>
    <w:rsid w:val="005C6334"/>
    <w:pPr>
      <w:spacing w:after="240"/>
    </w:pPr>
    <w:rPr>
      <w:noProof/>
    </w:rPr>
  </w:style>
  <w:style w:type="paragraph" w:customStyle="1" w:styleId="CommitteeAM">
    <w:name w:val="CommitteeAM"/>
    <w:basedOn w:val="Normal"/>
    <w:rsid w:val="005C6334"/>
    <w:pPr>
      <w:spacing w:before="240" w:after="600"/>
      <w:jc w:val="center"/>
    </w:pPr>
    <w:rPr>
      <w:i/>
    </w:rPr>
  </w:style>
  <w:style w:type="paragraph" w:customStyle="1" w:styleId="ZDateAM">
    <w:name w:val="ZDateAM"/>
    <w:basedOn w:val="Normal"/>
    <w:rsid w:val="005C6334"/>
    <w:pPr>
      <w:tabs>
        <w:tab w:val="right" w:pos="9356"/>
      </w:tabs>
      <w:spacing w:after="480"/>
    </w:pPr>
    <w:rPr>
      <w:noProof/>
    </w:rPr>
  </w:style>
  <w:style w:type="paragraph" w:customStyle="1" w:styleId="ProjRap">
    <w:name w:val="ProjRap"/>
    <w:basedOn w:val="Normal"/>
    <w:rsid w:val="005C6334"/>
    <w:pPr>
      <w:tabs>
        <w:tab w:val="right" w:pos="9356"/>
      </w:tabs>
    </w:pPr>
    <w:rPr>
      <w:b/>
      <w:noProof/>
    </w:rPr>
  </w:style>
  <w:style w:type="paragraph" w:customStyle="1" w:styleId="PELeft">
    <w:name w:val="PELeft"/>
    <w:basedOn w:val="Normal"/>
    <w:rsid w:val="005C6334"/>
    <w:pPr>
      <w:spacing w:before="40" w:after="40"/>
    </w:pPr>
    <w:rPr>
      <w:rFonts w:ascii="Arial" w:hAnsi="Arial" w:cs="Arial"/>
      <w:sz w:val="22"/>
      <w:szCs w:val="22"/>
    </w:rPr>
  </w:style>
  <w:style w:type="paragraph" w:customStyle="1" w:styleId="PERight">
    <w:name w:val="PERight"/>
    <w:basedOn w:val="Normal"/>
    <w:next w:val="Normal"/>
    <w:rsid w:val="005C6334"/>
    <w:pPr>
      <w:jc w:val="right"/>
    </w:pPr>
    <w:rPr>
      <w:rFonts w:ascii="Arial" w:hAnsi="Arial" w:cs="Arial"/>
      <w:sz w:val="22"/>
      <w:szCs w:val="22"/>
    </w:rPr>
  </w:style>
  <w:style w:type="character" w:customStyle="1" w:styleId="Normal6Char">
    <w:name w:val="Normal6 Char"/>
    <w:basedOn w:val="DefaultParagraphFont"/>
    <w:link w:val="Normal6"/>
    <w:locked/>
    <w:rsid w:val="005C6334"/>
    <w:rPr>
      <w:sz w:val="24"/>
      <w:lang w:val="nl-NL"/>
    </w:rPr>
  </w:style>
  <w:style w:type="paragraph" w:customStyle="1" w:styleId="Normal6">
    <w:name w:val="Normal6"/>
    <w:basedOn w:val="Normal"/>
    <w:link w:val="Normal6Char"/>
    <w:rsid w:val="005C6334"/>
    <w:pPr>
      <w:spacing w:after="120"/>
    </w:pPr>
  </w:style>
  <w:style w:type="paragraph" w:customStyle="1" w:styleId="Normal12Italic">
    <w:name w:val="Normal12Italic"/>
    <w:basedOn w:val="Normal12"/>
    <w:rsid w:val="005C6334"/>
    <w:rPr>
      <w:i/>
    </w:rPr>
  </w:style>
  <w:style w:type="paragraph" w:customStyle="1" w:styleId="JustificationTitle">
    <w:name w:val="JustificationTitle"/>
    <w:basedOn w:val="Normal"/>
    <w:next w:val="Normal12"/>
    <w:rsid w:val="005C6334"/>
    <w:pPr>
      <w:keepNext/>
      <w:spacing w:before="240" w:after="240"/>
      <w:jc w:val="center"/>
    </w:pPr>
    <w:rPr>
      <w:i/>
      <w:noProof/>
    </w:rPr>
  </w:style>
  <w:style w:type="paragraph" w:customStyle="1" w:styleId="Olang">
    <w:name w:val="Olang"/>
    <w:basedOn w:val="Normal"/>
    <w:rsid w:val="005C6334"/>
    <w:pPr>
      <w:spacing w:before="240" w:after="240"/>
      <w:jc w:val="right"/>
    </w:pPr>
    <w:rPr>
      <w:noProof/>
      <w:szCs w:val="24"/>
    </w:rPr>
  </w:style>
  <w:style w:type="paragraph" w:customStyle="1" w:styleId="ColumnHeading">
    <w:name w:val="ColumnHeading"/>
    <w:basedOn w:val="Normal"/>
    <w:rsid w:val="005C6334"/>
    <w:pPr>
      <w:spacing w:after="240"/>
      <w:jc w:val="center"/>
    </w:pPr>
    <w:rPr>
      <w:i/>
    </w:rPr>
  </w:style>
  <w:style w:type="paragraph" w:customStyle="1" w:styleId="AMNumberTabs0">
    <w:name w:val="AMNumberTabs"/>
    <w:basedOn w:val="Normal"/>
    <w:rsid w:val="005C63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C6334"/>
    <w:pPr>
      <w:spacing w:before="240"/>
      <w:jc w:val="center"/>
    </w:pPr>
    <w:rPr>
      <w:i/>
    </w:rPr>
  </w:style>
  <w:style w:type="paragraph" w:customStyle="1" w:styleId="Footer2">
    <w:name w:val="Footer2"/>
    <w:basedOn w:val="Normal12"/>
    <w:rsid w:val="005C6334"/>
    <w:pPr>
      <w:tabs>
        <w:tab w:val="center" w:pos="4535"/>
        <w:tab w:val="right" w:pos="9923"/>
      </w:tabs>
      <w:spacing w:line="480" w:lineRule="auto"/>
      <w:ind w:left="-851"/>
    </w:pPr>
    <w:rPr>
      <w:rFonts w:ascii="Arial" w:cs="Arial"/>
      <w:b/>
      <w:sz w:val="48"/>
    </w:rPr>
  </w:style>
  <w:style w:type="paragraph" w:customStyle="1" w:styleId="EntPE">
    <w:name w:val="EntPE"/>
    <w:basedOn w:val="Normal12"/>
    <w:rsid w:val="005C6334"/>
    <w:pPr>
      <w:jc w:val="center"/>
    </w:pPr>
    <w:rPr>
      <w:noProof w:val="0"/>
      <w:sz w:val="56"/>
    </w:rPr>
  </w:style>
  <w:style w:type="paragraph" w:styleId="BalloonText">
    <w:name w:val="Balloon Text"/>
    <w:basedOn w:val="Normal"/>
    <w:link w:val="BalloonTextChar"/>
    <w:semiHidden/>
    <w:unhideWhenUsed/>
    <w:rsid w:val="005C6334"/>
    <w:rPr>
      <w:rFonts w:ascii="Segoe UI" w:hAnsi="Segoe UI" w:cs="Segoe UI"/>
      <w:sz w:val="18"/>
      <w:szCs w:val="18"/>
    </w:rPr>
  </w:style>
  <w:style w:type="character" w:customStyle="1" w:styleId="BalloonTextChar">
    <w:name w:val="Balloon Text Char"/>
    <w:basedOn w:val="DefaultParagraphFont"/>
    <w:link w:val="BalloonText"/>
    <w:semiHidden/>
    <w:rsid w:val="005C6334"/>
    <w:rPr>
      <w:rFonts w:ascii="Segoe UI" w:hAnsi="Segoe UI" w:cs="Segoe UI"/>
      <w:sz w:val="18"/>
      <w:szCs w:val="18"/>
    </w:rPr>
  </w:style>
  <w:style w:type="paragraph" w:customStyle="1" w:styleId="Normal12Hanging">
    <w:name w:val="Normal12Hanging"/>
    <w:basedOn w:val="Normal"/>
    <w:rsid w:val="005C6334"/>
    <w:pPr>
      <w:spacing w:after="240"/>
      <w:ind w:left="357" w:hanging="357"/>
    </w:pPr>
    <w:rPr>
      <w:snapToGrid w:val="0"/>
    </w:rPr>
  </w:style>
  <w:style w:type="character" w:styleId="CommentReference">
    <w:name w:val="annotation reference"/>
    <w:basedOn w:val="DefaultParagraphFont"/>
    <w:rsid w:val="005C6334"/>
    <w:rPr>
      <w:sz w:val="16"/>
      <w:szCs w:val="16"/>
    </w:rPr>
  </w:style>
  <w:style w:type="paragraph" w:styleId="CommentText">
    <w:name w:val="annotation text"/>
    <w:basedOn w:val="Normal"/>
    <w:link w:val="CommentTextChar"/>
    <w:rsid w:val="005C6334"/>
    <w:rPr>
      <w:sz w:val="20"/>
    </w:rPr>
  </w:style>
  <w:style w:type="character" w:customStyle="1" w:styleId="CommentTextChar">
    <w:name w:val="Comment Text Char"/>
    <w:basedOn w:val="DefaultParagraphFont"/>
    <w:link w:val="CommentText"/>
    <w:rsid w:val="005C6334"/>
  </w:style>
  <w:style w:type="paragraph" w:styleId="CommentSubject">
    <w:name w:val="annotation subject"/>
    <w:basedOn w:val="CommentText"/>
    <w:next w:val="CommentText"/>
    <w:link w:val="CommentSubjectChar"/>
    <w:semiHidden/>
    <w:unhideWhenUsed/>
    <w:rsid w:val="005C6334"/>
    <w:rPr>
      <w:b/>
      <w:bCs/>
    </w:rPr>
  </w:style>
  <w:style w:type="character" w:customStyle="1" w:styleId="CommentSubjectChar">
    <w:name w:val="Comment Subject Char"/>
    <w:basedOn w:val="CommentTextChar"/>
    <w:link w:val="CommentSubject"/>
    <w:semiHidden/>
    <w:rsid w:val="005C6334"/>
    <w:rPr>
      <w:b/>
      <w:bCs/>
    </w:rPr>
  </w:style>
  <w:style w:type="paragraph" w:styleId="Revision">
    <w:name w:val="Revision"/>
    <w:hidden/>
    <w:uiPriority w:val="99"/>
    <w:semiHidden/>
    <w:rsid w:val="005C633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03321-F02F-43ED-BDB4-C718C9F65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11162</Words>
  <Characters>66864</Characters>
  <Application>Microsoft Office Word</Application>
  <DocSecurity>0</DocSecurity>
  <Lines>2305</Lines>
  <Paragraphs>591</Paragraphs>
  <ScaleCrop>false</ScaleCrop>
  <HeadingPairs>
    <vt:vector size="2" baseType="variant">
      <vt:variant>
        <vt:lpstr>Title</vt:lpstr>
      </vt:variant>
      <vt:variant>
        <vt:i4>1</vt:i4>
      </vt:variant>
    </vt:vector>
  </HeadingPairs>
  <TitlesOfParts>
    <vt:vector size="1" baseType="lpstr">
      <vt:lpstr>PR_COD_1recastingam</vt:lpstr>
    </vt:vector>
  </TitlesOfParts>
  <Company/>
  <LinksUpToDate>false</LinksUpToDate>
  <CharactersWithSpaces>77435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PR_COD_1recastingam</dc:title>
  <dc:creator>HOOGLAND Yvonne</dc:creator>
  <cp:lastModifiedBy>HARTMANS Pelle</cp:lastModifiedBy>
  <cp:revision>2</cp:revision>
  <cp:lastPrinted>2004-11-04T10:10:00Z</cp:lastPrinted>
  <dcterms:created xsi:type="dcterms:W3CDTF">2024-05-13T13:02:00Z</dcterms:created>
  <dcterms:modified xsi:type="dcterms:W3CDTF">2024-05-13T13:02:00Z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1301224</vt:lpwstr>
  </property>
  <property fmtid="{D5CDD505-2E9C-101B-9397-08002B2CF9AE}" pid="4" name="&lt;Model&gt;">
    <vt:lpwstr>PR_COD_1recastingam</vt:lpwstr>
  </property>
  <property fmtid="{D5CDD505-2E9C-101B-9397-08002B2CF9AE}" pid="5" name="&lt;ModelCod&gt;">
    <vt:lpwstr>\\eiciBRUpr1\pdocep$\DocEP\DOCS\General\PR\PR_Leg\COD\PR_COD_1recastingam.dotx(17/04/2020 19:27:10)</vt:lpwstr>
  </property>
  <property fmtid="{D5CDD505-2E9C-101B-9397-08002B2CF9AE}" pid="6" name="&lt;ModelTra&gt;">
    <vt:lpwstr>\\eiciBRUpr1\pdocep$\DocEP\TRANSFIL\NL\PR_COD_1recastingam.NL(26/09/2022 11:55:02)</vt:lpwstr>
  </property>
  <property fmtid="{D5CDD505-2E9C-101B-9397-08002B2CF9AE}" pid="7" name="&lt;Type&gt;">
    <vt:lpwstr>PR</vt:lpwstr>
  </property>
  <property fmtid="{D5CDD505-2E9C-101B-9397-08002B2CF9AE}" pid="8" name="Bookout">
    <vt:lpwstr>OK - 2024/05/13 15:02</vt:lpwstr>
  </property>
  <property fmtid="{D5CDD505-2E9C-101B-9397-08002B2CF9AE}" pid="9" name="Created with">
    <vt:lpwstr>9.17.2 Build [20240301]</vt:lpwstr>
  </property>
  <property fmtid="{D5CDD505-2E9C-101B-9397-08002B2CF9AE}" pid="10" name="FooterPath">
    <vt:lpwstr>PR\1301224NL.docx</vt:lpwstr>
  </property>
  <property fmtid="{D5CDD505-2E9C-101B-9397-08002B2CF9AE}" pid="11" name="LastEdited with">
    <vt:lpwstr>9.17.2 Build [20240301]</vt:lpwstr>
  </property>
  <property fmtid="{D5CDD505-2E9C-101B-9397-08002B2CF9AE}" pid="12" name="PE number">
    <vt:lpwstr>761.022</vt:lpwstr>
  </property>
  <property fmtid="{D5CDD505-2E9C-101B-9397-08002B2CF9AE}" pid="13" name="SDLStudio">
    <vt:lpwstr/>
  </property>
</Properties>
</file>