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6526B" w:rsidRPr="005D44FE" w:rsidTr="00BF3419">
        <w:trPr>
          <w:trHeight w:hRule="exact" w:val="1418"/>
        </w:trPr>
        <w:tc>
          <w:tcPr>
            <w:tcW w:w="6804" w:type="dxa"/>
            <w:shd w:val="clear" w:color="auto" w:fill="auto"/>
            <w:vAlign w:val="center"/>
          </w:tcPr>
          <w:p w:rsidR="001722BB" w:rsidRPr="005D44FE" w:rsidRDefault="00075CAE" w:rsidP="00BF3419">
            <w:pPr>
              <w:pStyle w:val="EPName"/>
            </w:pPr>
            <w:r w:rsidRPr="005D44FE">
              <w:t>Parlament Europejski</w:t>
            </w:r>
          </w:p>
          <w:p w:rsidR="001722BB" w:rsidRPr="005D44FE" w:rsidRDefault="00075CAE" w:rsidP="00837B4C">
            <w:pPr>
              <w:pStyle w:val="EPTerm"/>
            </w:pPr>
            <w:r w:rsidRPr="005D44FE">
              <w:t>2019–2024</w:t>
            </w:r>
          </w:p>
        </w:tc>
        <w:tc>
          <w:tcPr>
            <w:tcW w:w="2268" w:type="dxa"/>
            <w:shd w:val="clear" w:color="auto" w:fill="auto"/>
          </w:tcPr>
          <w:p w:rsidR="001722BB" w:rsidRPr="005D44FE" w:rsidRDefault="00075CAE" w:rsidP="00BF3419">
            <w:pPr>
              <w:pStyle w:val="EPLogo"/>
            </w:pPr>
            <w:r w:rsidRPr="005D44FE">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866DA1" w:rsidRPr="005D44FE" w:rsidRDefault="00866DA1" w:rsidP="00866DA1">
      <w:pPr>
        <w:pStyle w:val="LineTop"/>
      </w:pPr>
    </w:p>
    <w:p w:rsidR="00866DA1" w:rsidRPr="005D44FE" w:rsidRDefault="00075CAE" w:rsidP="00C31D39">
      <w:pPr>
        <w:pStyle w:val="EPBody"/>
      </w:pPr>
      <w:r w:rsidRPr="005D44FE">
        <w:rPr>
          <w:rStyle w:val="HideTWBExt"/>
        </w:rPr>
        <w:t>&lt;</w:t>
      </w:r>
      <w:r w:rsidRPr="005D44FE">
        <w:rPr>
          <w:rStyle w:val="HideTWBExt"/>
          <w:i w:val="0"/>
        </w:rPr>
        <w:t>Commission</w:t>
      </w:r>
      <w:r w:rsidRPr="005D44FE">
        <w:rPr>
          <w:rStyle w:val="HideTWBExt"/>
        </w:rPr>
        <w:t>&gt;</w:t>
      </w:r>
      <w:r w:rsidRPr="005D44FE">
        <w:rPr>
          <w:rStyle w:val="HideTWBInt"/>
          <w:color w:val="auto"/>
        </w:rPr>
        <w:t>{LIBE}</w:t>
      </w:r>
      <w:r w:rsidRPr="005D44FE">
        <w:t>Komisja Wolności Obywatelskich, Sprawiedliwości i Spraw Wewnętrznych</w:t>
      </w:r>
      <w:r w:rsidRPr="005D44FE">
        <w:rPr>
          <w:rStyle w:val="HideTWBExt"/>
        </w:rPr>
        <w:t>&lt;/</w:t>
      </w:r>
      <w:r w:rsidRPr="005D44FE">
        <w:rPr>
          <w:rStyle w:val="HideTWBExt"/>
          <w:i w:val="0"/>
        </w:rPr>
        <w:t>Commission</w:t>
      </w:r>
      <w:r w:rsidRPr="005D44FE">
        <w:rPr>
          <w:rStyle w:val="HideTWBExt"/>
        </w:rPr>
        <w:t>&gt;</w:t>
      </w:r>
    </w:p>
    <w:p w:rsidR="00866DA1" w:rsidRPr="005D44FE" w:rsidRDefault="00866DA1" w:rsidP="00866DA1">
      <w:pPr>
        <w:pStyle w:val="LineBottom"/>
      </w:pPr>
    </w:p>
    <w:p w:rsidR="00ED0821" w:rsidRPr="005D44FE" w:rsidRDefault="00075CAE" w:rsidP="00726C00">
      <w:pPr>
        <w:pStyle w:val="CoverReference"/>
      </w:pPr>
      <w:r w:rsidRPr="005D44FE">
        <w:rPr>
          <w:rStyle w:val="HideTWBExt"/>
          <w:b w:val="0"/>
        </w:rPr>
        <w:t>&lt;RefProc&gt;</w:t>
      </w:r>
      <w:r w:rsidRPr="005D44FE">
        <w:t>2024/0035</w:t>
      </w:r>
      <w:r w:rsidRPr="005D44FE">
        <w:rPr>
          <w:rStyle w:val="HideTWBExt"/>
          <w:b w:val="0"/>
        </w:rPr>
        <w:t>&lt;/RefProc&gt;&lt;RefTypeProc&gt;</w:t>
      </w:r>
      <w:r w:rsidRPr="005D44FE">
        <w:t>(COD)</w:t>
      </w:r>
      <w:r w:rsidRPr="005D44FE">
        <w:rPr>
          <w:rStyle w:val="HideTWBExt"/>
          <w:b w:val="0"/>
        </w:rPr>
        <w:t>&lt;/RefTypeProc&gt;</w:t>
      </w:r>
    </w:p>
    <w:p w:rsidR="00ED0821" w:rsidRPr="005D44FE" w:rsidRDefault="00075CAE">
      <w:pPr>
        <w:pStyle w:val="CoverDate"/>
      </w:pPr>
      <w:r w:rsidRPr="005D44FE">
        <w:rPr>
          <w:rStyle w:val="HideTWBExt"/>
        </w:rPr>
        <w:t>&lt;Date&gt;</w:t>
      </w:r>
      <w:r w:rsidRPr="005D44FE">
        <w:rPr>
          <w:rStyle w:val="HideTWBInt"/>
          <w:color w:val="auto"/>
        </w:rPr>
        <w:t>{16/04/2024}</w:t>
      </w:r>
      <w:r w:rsidRPr="005D44FE">
        <w:t>16.4.2024</w:t>
      </w:r>
      <w:r w:rsidRPr="005D44FE">
        <w:rPr>
          <w:rStyle w:val="HideTWBExt"/>
        </w:rPr>
        <w:t>&lt;/Date&gt;</w:t>
      </w:r>
    </w:p>
    <w:p w:rsidR="00ED0821" w:rsidRPr="005D44FE" w:rsidRDefault="00075CAE">
      <w:pPr>
        <w:pStyle w:val="CoverDocType"/>
      </w:pPr>
      <w:r w:rsidRPr="005D44FE">
        <w:rPr>
          <w:rStyle w:val="HideTWBExt"/>
          <w:b w:val="0"/>
        </w:rPr>
        <w:t>&lt;RefProcLect&gt;</w:t>
      </w:r>
      <w:r w:rsidRPr="005D44FE">
        <w:t>***I</w:t>
      </w:r>
      <w:r w:rsidRPr="005D44FE">
        <w:rPr>
          <w:rStyle w:val="HideTWBExt"/>
          <w:b w:val="0"/>
        </w:rPr>
        <w:t>&lt;/RefProcLect&gt;</w:t>
      </w:r>
    </w:p>
    <w:p w:rsidR="00ED0821" w:rsidRPr="005D44FE" w:rsidRDefault="00075CAE">
      <w:pPr>
        <w:pStyle w:val="CoverDocType24a"/>
      </w:pPr>
      <w:r w:rsidRPr="005D44FE">
        <w:rPr>
          <w:rStyle w:val="HideTWBExt"/>
          <w:b w:val="0"/>
        </w:rPr>
        <w:t>&lt;TitreType&gt;</w:t>
      </w:r>
      <w:r w:rsidRPr="005D44FE">
        <w:t>PROJEKT SPRAWOZDANIA</w:t>
      </w:r>
      <w:r w:rsidRPr="005D44FE">
        <w:rPr>
          <w:rStyle w:val="HideTWBExt"/>
          <w:b w:val="0"/>
        </w:rPr>
        <w:t>&lt;/TitreType&gt;</w:t>
      </w:r>
    </w:p>
    <w:p w:rsidR="00ED0821" w:rsidRPr="005D44FE" w:rsidRDefault="00075CAE">
      <w:pPr>
        <w:pStyle w:val="CoverNormal"/>
      </w:pPr>
      <w:r w:rsidRPr="005D44FE">
        <w:rPr>
          <w:rStyle w:val="HideTWBExt"/>
        </w:rPr>
        <w:t>&lt;Titre&gt;</w:t>
      </w:r>
      <w:r w:rsidRPr="005D44FE">
        <w:t>w sprawie wniosku dotyczącego dyrektywy Parlamentu Europejskiego i Rady w sprawie zwalczania niegodziwego traktowania w celach seksualnych i wykorzystywania seksualnego dzieci oraz materiałó</w:t>
      </w:r>
      <w:r w:rsidRPr="005D44FE">
        <w:t>w przedstawiających niegodziwe traktowanie dzieci w celach seksualnych, zastępującej decyzję ramową Rady 2004/68/WSiSW (przekształcenie)</w:t>
      </w:r>
      <w:r w:rsidRPr="005D44FE">
        <w:rPr>
          <w:rStyle w:val="HideTWBExt"/>
        </w:rPr>
        <w:t>&lt;/Titre&gt;</w:t>
      </w:r>
    </w:p>
    <w:p w:rsidR="00ED0821" w:rsidRPr="005D44FE" w:rsidRDefault="00075CAE">
      <w:pPr>
        <w:pStyle w:val="CoverNormal24a"/>
      </w:pPr>
      <w:r w:rsidRPr="005D44FE">
        <w:rPr>
          <w:rStyle w:val="HideTWBExt"/>
        </w:rPr>
        <w:t>&lt;DocRef&gt;</w:t>
      </w:r>
      <w:r w:rsidRPr="005D44FE">
        <w:t>(COM(2024)0060 – C9</w:t>
      </w:r>
      <w:r w:rsidRPr="005D44FE">
        <w:noBreakHyphen/>
        <w:t>0028/2024 – 2024/0035(COD))</w:t>
      </w:r>
      <w:r w:rsidRPr="005D44FE">
        <w:rPr>
          <w:rStyle w:val="HideTWBExt"/>
        </w:rPr>
        <w:t>&lt;/DocRef&gt;</w:t>
      </w:r>
    </w:p>
    <w:p w:rsidR="00ED0821" w:rsidRPr="005D44FE" w:rsidRDefault="00075CAE">
      <w:pPr>
        <w:pStyle w:val="CoverNormal24a"/>
      </w:pPr>
      <w:r w:rsidRPr="005D44FE">
        <w:rPr>
          <w:rStyle w:val="HideTWBExt"/>
        </w:rPr>
        <w:t>&lt;Commission&gt;</w:t>
      </w:r>
      <w:r w:rsidRPr="005D44FE">
        <w:rPr>
          <w:rStyle w:val="HideTWBInt"/>
          <w:color w:val="auto"/>
        </w:rPr>
        <w:t>{LIBE}</w:t>
      </w:r>
      <w:r w:rsidRPr="005D44FE">
        <w:t>Komisja Wolności Obywatelski</w:t>
      </w:r>
      <w:r w:rsidRPr="005D44FE">
        <w:t>ch, Sprawiedliwości i Spraw Wewnętrznych</w:t>
      </w:r>
      <w:r w:rsidRPr="005D44FE">
        <w:rPr>
          <w:rStyle w:val="HideTWBExt"/>
        </w:rPr>
        <w:t>&lt;/Commission&gt;</w:t>
      </w:r>
    </w:p>
    <w:p w:rsidR="00ED0821" w:rsidRPr="005D44FE" w:rsidRDefault="00075CAE" w:rsidP="00E21D93">
      <w:pPr>
        <w:pStyle w:val="CoverNormal24a"/>
      </w:pPr>
      <w:r w:rsidRPr="005D44FE">
        <w:t xml:space="preserve">Sprawozdawca: </w:t>
      </w:r>
      <w:r w:rsidRPr="005D44FE">
        <w:rPr>
          <w:rStyle w:val="HideTWBExt"/>
        </w:rPr>
        <w:t>&lt;Depute&gt;</w:t>
      </w:r>
      <w:r w:rsidRPr="005D44FE">
        <w:t>Jeroen Lenaers</w:t>
      </w:r>
      <w:r w:rsidRPr="005D44FE">
        <w:rPr>
          <w:rStyle w:val="HideTWBExt"/>
        </w:rPr>
        <w:t>&lt;/Depute&gt;</w:t>
      </w:r>
    </w:p>
    <w:p w:rsidR="003B5DAA" w:rsidRPr="005D44FE" w:rsidRDefault="00075CAE" w:rsidP="003B5DAA">
      <w:pPr>
        <w:pStyle w:val="CoverNormal24a"/>
      </w:pPr>
      <w:r w:rsidRPr="005D44FE">
        <w:t>(Przekształcenie – art. 110 Regulaminu)</w:t>
      </w:r>
    </w:p>
    <w:p w:rsidR="00837B4C" w:rsidRPr="005D44FE" w:rsidRDefault="00075CAE" w:rsidP="00BF3419">
      <w:r w:rsidRPr="005D44FE">
        <w:br w:type="page"/>
      </w:r>
      <w:r w:rsidR="00DD61CC" w:rsidRPr="005D44FE">
        <w:lastRenderedPageBreak/>
        <w:fldChar w:fldCharType="begin"/>
      </w:r>
      <w:r w:rsidRPr="005D44FE">
        <w:instrText xml:space="preserve"> TITLE  \* MERGEFORMAT </w:instrText>
      </w:r>
      <w:r w:rsidR="00DD61CC" w:rsidRPr="005D44FE">
        <w:fldChar w:fldCharType="separate"/>
      </w:r>
      <w:r>
        <w:t>PR_COD_1recastingam</w:t>
      </w:r>
      <w:r w:rsidR="00DD61CC" w:rsidRPr="005D44FE">
        <w:fldChar w:fldCharType="end"/>
      </w:r>
    </w:p>
    <w:p w:rsidR="00837B4C" w:rsidRPr="005D44FE" w:rsidRDefault="00837B4C" w:rsidP="00BF3419"/>
    <w:p w:rsidR="00837B4C" w:rsidRPr="005D44FE" w:rsidRDefault="00837B4C" w:rsidP="00BF341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6526B" w:rsidRPr="005D44FE">
        <w:tc>
          <w:tcPr>
            <w:tcW w:w="5811" w:type="dxa"/>
          </w:tcPr>
          <w:p w:rsidR="00837B4C" w:rsidRPr="005D44FE" w:rsidRDefault="00075CAE" w:rsidP="00BF3419">
            <w:pPr>
              <w:pStyle w:val="Lgendetitre"/>
            </w:pPr>
            <w:r w:rsidRPr="005D44FE">
              <w:t>Objaśnienie używanych znaków</w:t>
            </w:r>
          </w:p>
        </w:tc>
      </w:tr>
      <w:tr w:rsidR="00E6526B" w:rsidRPr="005D44FE" w:rsidTr="00BF3419">
        <w:trPr>
          <w:cantSplit/>
          <w:trHeight w:val="1807"/>
        </w:trPr>
        <w:tc>
          <w:tcPr>
            <w:tcW w:w="5811" w:type="dxa"/>
            <w:tcBorders>
              <w:bottom w:val="single" w:sz="4" w:space="0" w:color="auto"/>
            </w:tcBorders>
          </w:tcPr>
          <w:p w:rsidR="00837B4C" w:rsidRPr="005D44FE" w:rsidRDefault="00075CAE" w:rsidP="00BF3419">
            <w:pPr>
              <w:pStyle w:val="Lgendesigne"/>
            </w:pPr>
            <w:r w:rsidRPr="005D44FE">
              <w:tab/>
              <w:t>*</w:t>
            </w:r>
            <w:r w:rsidRPr="005D44FE">
              <w:tab/>
              <w:t>Procedura konsultacji</w:t>
            </w:r>
          </w:p>
          <w:p w:rsidR="00837B4C" w:rsidRPr="005D44FE" w:rsidRDefault="00075CAE" w:rsidP="00BF3419">
            <w:pPr>
              <w:pStyle w:val="Lgendesigne"/>
            </w:pPr>
            <w:r w:rsidRPr="005D44FE">
              <w:tab/>
              <w:t>***</w:t>
            </w:r>
            <w:r w:rsidRPr="005D44FE">
              <w:tab/>
            </w:r>
            <w:r w:rsidRPr="005D44FE">
              <w:t>Procedura zgody</w:t>
            </w:r>
          </w:p>
          <w:p w:rsidR="00837B4C" w:rsidRPr="005D44FE" w:rsidRDefault="00075CAE" w:rsidP="00BF3419">
            <w:pPr>
              <w:pStyle w:val="Lgendesigne"/>
            </w:pPr>
            <w:r w:rsidRPr="005D44FE">
              <w:tab/>
              <w:t>***I</w:t>
            </w:r>
            <w:r w:rsidRPr="005D44FE">
              <w:tab/>
              <w:t>Zwykła procedura ustawodawcza (pierwsze czytanie)</w:t>
            </w:r>
          </w:p>
          <w:p w:rsidR="00837B4C" w:rsidRPr="005D44FE" w:rsidRDefault="00075CAE" w:rsidP="00BF3419">
            <w:pPr>
              <w:pStyle w:val="Lgendesigne"/>
            </w:pPr>
            <w:r w:rsidRPr="005D44FE">
              <w:tab/>
              <w:t>***II</w:t>
            </w:r>
            <w:r w:rsidRPr="005D44FE">
              <w:tab/>
              <w:t>Zwykła procedura ustawodawcza (drugie czytanie)</w:t>
            </w:r>
          </w:p>
          <w:p w:rsidR="00837B4C" w:rsidRPr="005D44FE" w:rsidRDefault="00075CAE" w:rsidP="00BF3419">
            <w:pPr>
              <w:pStyle w:val="Lgendesigne"/>
            </w:pPr>
            <w:r w:rsidRPr="005D44FE">
              <w:tab/>
              <w:t>***III</w:t>
            </w:r>
            <w:r w:rsidRPr="005D44FE">
              <w:tab/>
              <w:t>Zwykła procedura ustawodawcza (trzecie czytanie)</w:t>
            </w:r>
          </w:p>
          <w:p w:rsidR="00837B4C" w:rsidRPr="005D44FE" w:rsidRDefault="00837B4C" w:rsidP="00BF3419">
            <w:pPr>
              <w:pStyle w:val="Lgendestandard"/>
            </w:pPr>
          </w:p>
          <w:p w:rsidR="00837B4C" w:rsidRPr="005D44FE" w:rsidRDefault="00075CAE" w:rsidP="00BF3419">
            <w:pPr>
              <w:pStyle w:val="Lgendestandard"/>
            </w:pPr>
            <w:r w:rsidRPr="005D44FE">
              <w:t>(Wskazana procedura opiera się na podstawie prawnej zaproponowanej w pr</w:t>
            </w:r>
            <w:r w:rsidRPr="005D44FE">
              <w:t>ojekcie aktu.)</w:t>
            </w:r>
          </w:p>
          <w:p w:rsidR="00837B4C" w:rsidRPr="005D44FE" w:rsidRDefault="00837B4C" w:rsidP="00BF3419">
            <w:pPr>
              <w:pStyle w:val="Lgendestandard"/>
            </w:pPr>
          </w:p>
        </w:tc>
      </w:tr>
    </w:tbl>
    <w:p w:rsidR="00837B4C" w:rsidRPr="005D44FE" w:rsidRDefault="00837B4C" w:rsidP="00BF3419"/>
    <w:p w:rsidR="00837B4C" w:rsidRPr="005D44FE" w:rsidRDefault="00837B4C" w:rsidP="00BF3419"/>
    <w:p w:rsidR="00837B4C" w:rsidRPr="005D44FE" w:rsidRDefault="00837B4C" w:rsidP="00BF3419"/>
    <w:p w:rsidR="00837B4C" w:rsidRPr="005D44FE" w:rsidRDefault="00837B4C" w:rsidP="00BF3419"/>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6526B" w:rsidRPr="005D44FE">
        <w:tc>
          <w:tcPr>
            <w:tcW w:w="5811" w:type="dxa"/>
          </w:tcPr>
          <w:p w:rsidR="00837B4C" w:rsidRPr="005D44FE" w:rsidRDefault="00075CAE" w:rsidP="00BF3419">
            <w:pPr>
              <w:pStyle w:val="Lgendetitre"/>
            </w:pPr>
            <w:r w:rsidRPr="005D44FE">
              <w:t>Poprawki do projektu aktu</w:t>
            </w:r>
          </w:p>
        </w:tc>
      </w:tr>
      <w:tr w:rsidR="00E6526B" w:rsidRPr="005D44FE" w:rsidTr="00BF3419">
        <w:trPr>
          <w:trHeight w:val="4496"/>
        </w:trPr>
        <w:tc>
          <w:tcPr>
            <w:tcW w:w="5811" w:type="dxa"/>
          </w:tcPr>
          <w:p w:rsidR="00837B4C" w:rsidRPr="005D44FE" w:rsidRDefault="00075CAE" w:rsidP="00BF3419">
            <w:pPr>
              <w:pStyle w:val="Lgendestandard"/>
              <w:rPr>
                <w:szCs w:val="24"/>
              </w:rPr>
            </w:pPr>
            <w:r w:rsidRPr="005D44FE">
              <w:rPr>
                <w:b/>
              </w:rPr>
              <w:t>Poprawki Parlamentu w postaci dwóch kolumn</w:t>
            </w:r>
          </w:p>
          <w:p w:rsidR="00837B4C" w:rsidRPr="005D44FE" w:rsidRDefault="00837B4C" w:rsidP="00BF3419">
            <w:pPr>
              <w:pStyle w:val="Lgendestandard"/>
              <w:rPr>
                <w:szCs w:val="24"/>
              </w:rPr>
            </w:pPr>
          </w:p>
          <w:p w:rsidR="00837B4C" w:rsidRPr="005D44FE" w:rsidRDefault="00075CAE" w:rsidP="00BF3419">
            <w:pPr>
              <w:pStyle w:val="Lgendestandard"/>
              <w:rPr>
                <w:szCs w:val="24"/>
              </w:rPr>
            </w:pPr>
            <w:r w:rsidRPr="005D44FE">
              <w:t xml:space="preserve">Skreślenia zaznacza się </w:t>
            </w:r>
            <w:r w:rsidRPr="005D44FE">
              <w:rPr>
                <w:b/>
                <w:i/>
              </w:rPr>
              <w:t>wytłuszczonym drukiem i kursywą</w:t>
            </w:r>
            <w:r w:rsidRPr="005D44FE">
              <w:t xml:space="preserve"> w lewej kolumnie. Zmianę brzmienia zaznacza się </w:t>
            </w:r>
            <w:r w:rsidRPr="005D44FE">
              <w:rPr>
                <w:b/>
                <w:i/>
              </w:rPr>
              <w:t>wytłuszczonym drukiem i kursywą</w:t>
            </w:r>
            <w:r w:rsidRPr="005D44FE">
              <w:t xml:space="preserve"> w obu kolumnach. </w:t>
            </w:r>
            <w:r w:rsidRPr="005D44FE">
              <w:t xml:space="preserve">Nowy tekst zaznacza się </w:t>
            </w:r>
            <w:r w:rsidRPr="005D44FE">
              <w:rPr>
                <w:b/>
                <w:i/>
              </w:rPr>
              <w:t>wytłuszczonym drukiem i kursywą</w:t>
            </w:r>
            <w:r w:rsidRPr="005D44FE">
              <w:t xml:space="preserve"> w prawej kolumnie.</w:t>
            </w:r>
          </w:p>
          <w:p w:rsidR="00837B4C" w:rsidRPr="005D44FE" w:rsidRDefault="00837B4C" w:rsidP="00BF3419">
            <w:pPr>
              <w:pStyle w:val="Lgendestandard"/>
              <w:rPr>
                <w:szCs w:val="24"/>
              </w:rPr>
            </w:pPr>
          </w:p>
          <w:p w:rsidR="00837B4C" w:rsidRPr="005D44FE" w:rsidRDefault="00075CAE" w:rsidP="00BF3419">
            <w:pPr>
              <w:pStyle w:val="Lgendestandard"/>
              <w:rPr>
                <w:szCs w:val="24"/>
              </w:rPr>
            </w:pPr>
            <w:r w:rsidRPr="005D44FE">
              <w:t xml:space="preserve">Pierwszy i drugi wiersz nagłówka każdej poprawki wskazuje element rozpatrywanego projektu aktu, którego dotyczy poprawka. Jeżeli poprawka odnosi się do obowiązującego aktu, do </w:t>
            </w:r>
            <w:r w:rsidRPr="005D44FE">
              <w:t>którego zmiany zmierza projekt aktu, nagłówek zawiera dodatkowo trzeci wiersz, w którym wskazuje się odpowiednio obowiązujący akt i przepis, którego dotyczy poprawka.</w:t>
            </w:r>
          </w:p>
          <w:p w:rsidR="00837B4C" w:rsidRPr="005D44FE" w:rsidRDefault="00837B4C" w:rsidP="00BF3419">
            <w:pPr>
              <w:pStyle w:val="Lgendestandard"/>
              <w:rPr>
                <w:szCs w:val="24"/>
              </w:rPr>
            </w:pPr>
          </w:p>
          <w:p w:rsidR="00837B4C" w:rsidRPr="005D44FE" w:rsidRDefault="00075CAE" w:rsidP="00BF3419">
            <w:pPr>
              <w:pStyle w:val="Lgendestandard"/>
              <w:rPr>
                <w:b/>
                <w:szCs w:val="24"/>
              </w:rPr>
            </w:pPr>
            <w:r w:rsidRPr="005D44FE">
              <w:rPr>
                <w:b/>
              </w:rPr>
              <w:t>Poprawki Parlamentu w postaci tekstu skonsolidowanego</w:t>
            </w:r>
          </w:p>
          <w:p w:rsidR="00837B4C" w:rsidRPr="005D44FE" w:rsidRDefault="00837B4C" w:rsidP="00BF3419">
            <w:pPr>
              <w:pStyle w:val="Lgendestandard"/>
              <w:rPr>
                <w:szCs w:val="24"/>
              </w:rPr>
            </w:pPr>
          </w:p>
          <w:p w:rsidR="00837B4C" w:rsidRPr="005D44FE" w:rsidRDefault="00075CAE" w:rsidP="00BF3419">
            <w:pPr>
              <w:pStyle w:val="Lgendestandard"/>
              <w:rPr>
                <w:szCs w:val="24"/>
              </w:rPr>
            </w:pPr>
            <w:r w:rsidRPr="005D44FE">
              <w:t>Nowe fragmenty tekstu zaznacza si</w:t>
            </w:r>
            <w:r w:rsidRPr="005D44FE">
              <w:t xml:space="preserve">ę </w:t>
            </w:r>
            <w:r w:rsidRPr="005D44FE">
              <w:rPr>
                <w:b/>
                <w:i/>
              </w:rPr>
              <w:t>wytłuszczonym drukiem i kursywą</w:t>
            </w:r>
            <w:r w:rsidRPr="005D44FE">
              <w:t xml:space="preserve">. Fragmenty tekstu, które zostały skreślone, zaznacza się za pomocą symbolu ▌ lub przekreśla. Zmianę brzmienia zaznacza się przez wyróżnienie nowego tekstu </w:t>
            </w:r>
            <w:r w:rsidRPr="005D44FE">
              <w:rPr>
                <w:b/>
                <w:i/>
              </w:rPr>
              <w:t>wytłuszczonym drukiem i kursywą</w:t>
            </w:r>
            <w:r w:rsidRPr="005D44FE">
              <w:t xml:space="preserve"> i usunięcie lub przekreślenie zastą</w:t>
            </w:r>
            <w:r w:rsidRPr="005D44FE">
              <w:t xml:space="preserve">pionego tekstu. </w:t>
            </w:r>
          </w:p>
          <w:p w:rsidR="00837B4C" w:rsidRPr="005D44FE" w:rsidRDefault="00075CAE" w:rsidP="00BF3419">
            <w:pPr>
              <w:pStyle w:val="Lgendestandard"/>
            </w:pPr>
            <w:r w:rsidRPr="005D44FE">
              <w:t>Tytułem wyjątku nie zaznacza się zmian o charakterze ściśle technicznym wprowadzonych przez służby w celu opracowania końcowej wersji tekstu.</w:t>
            </w:r>
          </w:p>
          <w:p w:rsidR="00837B4C" w:rsidRPr="005D44FE" w:rsidRDefault="00837B4C" w:rsidP="00BF3419">
            <w:pPr>
              <w:pStyle w:val="Lgendestandard"/>
            </w:pPr>
          </w:p>
        </w:tc>
      </w:tr>
    </w:tbl>
    <w:p w:rsidR="00837B4C" w:rsidRPr="005D44FE" w:rsidRDefault="00837B4C" w:rsidP="00BF3419"/>
    <w:p w:rsidR="00ED0821" w:rsidRPr="005D44FE" w:rsidRDefault="00ED0821" w:rsidP="005A3CE4">
      <w:pPr>
        <w:widowControl/>
        <w:tabs>
          <w:tab w:val="center" w:pos="4677"/>
        </w:tabs>
      </w:pPr>
    </w:p>
    <w:p w:rsidR="00ED0821" w:rsidRPr="005D44FE" w:rsidRDefault="00075CAE">
      <w:pPr>
        <w:pStyle w:val="TOCHeading"/>
      </w:pPr>
      <w:r w:rsidRPr="005D44FE">
        <w:br w:type="page"/>
      </w:r>
      <w:r w:rsidRPr="005D44FE">
        <w:lastRenderedPageBreak/>
        <w:t>SPIS TREŚCI</w:t>
      </w:r>
    </w:p>
    <w:p w:rsidR="00ED0821" w:rsidRPr="005D44FE" w:rsidRDefault="00075CAE">
      <w:pPr>
        <w:pStyle w:val="TOCPage"/>
      </w:pPr>
      <w:r w:rsidRPr="005D44FE">
        <w:t>Strona</w:t>
      </w:r>
    </w:p>
    <w:p w:rsidR="00075CAE" w:rsidRDefault="00075CAE">
      <w:pPr>
        <w:pStyle w:val="TOC1"/>
        <w:tabs>
          <w:tab w:val="right" w:leader="dot" w:pos="9060"/>
        </w:tabs>
        <w:rPr>
          <w:rFonts w:asciiTheme="minorHAnsi" w:eastAsiaTheme="minorEastAsia" w:hAnsiTheme="minorHAnsi" w:cstheme="minorBidi"/>
          <w:noProof/>
          <w:sz w:val="22"/>
          <w:szCs w:val="22"/>
          <w:lang w:eastAsia="pl-PL"/>
        </w:rPr>
      </w:pPr>
      <w:r w:rsidRPr="005D44FE">
        <w:fldChar w:fldCharType="begin"/>
      </w:r>
      <w:r w:rsidRPr="005D44FE">
        <w:instrText xml:space="preserve"> TOC \t "PageHeading</w:instrText>
      </w:r>
      <w:r w:rsidR="00DE19CF" w:rsidRPr="005D44FE">
        <w:instrText>;</w:instrText>
      </w:r>
      <w:r w:rsidRPr="005D44FE">
        <w:instrText xml:space="preserve">1" </w:instrText>
      </w:r>
      <w:r w:rsidRPr="005D44FE">
        <w:fldChar w:fldCharType="separate"/>
      </w:r>
      <w:r>
        <w:rPr>
          <w:noProof/>
        </w:rPr>
        <w:t>PROJEKT REZOLUCJI USTAWODAWCZEJ PARLAMENTU EUROPEJSKIEGO</w:t>
      </w:r>
      <w:r>
        <w:rPr>
          <w:noProof/>
        </w:rPr>
        <w:tab/>
      </w:r>
      <w:r>
        <w:rPr>
          <w:noProof/>
        </w:rPr>
        <w:fldChar w:fldCharType="begin"/>
      </w:r>
      <w:r>
        <w:rPr>
          <w:noProof/>
        </w:rPr>
        <w:instrText xml:space="preserve"> PAGEREF _Toc166509454 \h </w:instrText>
      </w:r>
      <w:r>
        <w:rPr>
          <w:noProof/>
        </w:rPr>
      </w:r>
      <w:r>
        <w:rPr>
          <w:noProof/>
        </w:rPr>
        <w:fldChar w:fldCharType="separate"/>
      </w:r>
      <w:r>
        <w:rPr>
          <w:noProof/>
        </w:rPr>
        <w:t>5</w:t>
      </w:r>
      <w:r>
        <w:rPr>
          <w:noProof/>
        </w:rPr>
        <w:fldChar w:fldCharType="end"/>
      </w:r>
    </w:p>
    <w:p w:rsidR="00075CAE" w:rsidRDefault="00075CAE">
      <w:pPr>
        <w:pStyle w:val="TOC1"/>
        <w:tabs>
          <w:tab w:val="right" w:leader="dot" w:pos="9060"/>
        </w:tabs>
        <w:rPr>
          <w:rFonts w:asciiTheme="minorHAnsi" w:eastAsiaTheme="minorEastAsia" w:hAnsiTheme="minorHAnsi" w:cstheme="minorBidi"/>
          <w:noProof/>
          <w:sz w:val="22"/>
          <w:szCs w:val="22"/>
          <w:lang w:eastAsia="pl-PL"/>
        </w:rPr>
      </w:pPr>
      <w:r>
        <w:rPr>
          <w:noProof/>
        </w:rPr>
        <w:t>UZASADNIENIE</w:t>
      </w:r>
      <w:r>
        <w:rPr>
          <w:noProof/>
        </w:rPr>
        <w:tab/>
      </w:r>
      <w:r>
        <w:rPr>
          <w:noProof/>
        </w:rPr>
        <w:fldChar w:fldCharType="begin"/>
      </w:r>
      <w:r>
        <w:rPr>
          <w:noProof/>
        </w:rPr>
        <w:instrText xml:space="preserve"> PAGEREF _Toc166509455 \h </w:instrText>
      </w:r>
      <w:r>
        <w:rPr>
          <w:noProof/>
        </w:rPr>
      </w:r>
      <w:r>
        <w:rPr>
          <w:noProof/>
        </w:rPr>
        <w:fldChar w:fldCharType="separate"/>
      </w:r>
      <w:r>
        <w:rPr>
          <w:noProof/>
        </w:rPr>
        <w:t>38</w:t>
      </w:r>
      <w:r>
        <w:rPr>
          <w:noProof/>
        </w:rPr>
        <w:fldChar w:fldCharType="end"/>
      </w:r>
    </w:p>
    <w:p w:rsidR="00ED0821" w:rsidRPr="005D44FE" w:rsidRDefault="00075CAE" w:rsidP="00647272">
      <w:r w:rsidRPr="005D44FE">
        <w:fldChar w:fldCharType="end"/>
      </w:r>
    </w:p>
    <w:p w:rsidR="00ED0821" w:rsidRPr="005D44FE" w:rsidRDefault="00075CAE" w:rsidP="00647272">
      <w:pPr>
        <w:pStyle w:val="PageHeading"/>
      </w:pPr>
      <w:r w:rsidRPr="005D44FE">
        <w:br w:type="page"/>
      </w:r>
      <w:r w:rsidRPr="005D44FE">
        <w:lastRenderedPageBreak/>
        <w:br w:type="page"/>
      </w:r>
      <w:bookmarkStart w:id="0" w:name="_Toc166509454"/>
      <w:r w:rsidRPr="005D44FE">
        <w:lastRenderedPageBreak/>
        <w:t xml:space="preserve">PROJEKT REZOLUCJI USTAWODAWCZEJ </w:t>
      </w:r>
      <w:r w:rsidRPr="005D44FE">
        <w:t>PARLAMENTU EUROPEJSKIEGO</w:t>
      </w:r>
      <w:bookmarkEnd w:id="0"/>
    </w:p>
    <w:p w:rsidR="00ED0821" w:rsidRPr="005D44FE" w:rsidRDefault="00075CAE" w:rsidP="00644956">
      <w:pPr>
        <w:pStyle w:val="NormalBold"/>
      </w:pPr>
      <w:r w:rsidRPr="005D44FE">
        <w:t xml:space="preserve">w sprawie wniosku dotyczącego dyrektywy Parlamentu Europejskiego i Rady w sprawie zwalczania niegodziwego traktowania w celach seksualnych i wykorzystywania seksualnego dzieci oraz materiałów przedstawiających niegodziwe </w:t>
      </w:r>
      <w:r w:rsidRPr="005D44FE">
        <w:t>traktowanie dzieci w celach seksualnych, zastępującej decyzję ramową Rady 2004/68/WSiSW (przekształcenie)</w:t>
      </w:r>
    </w:p>
    <w:p w:rsidR="00ED0821" w:rsidRPr="005D44FE" w:rsidRDefault="00075CAE">
      <w:pPr>
        <w:pStyle w:val="NormalBold12a"/>
      </w:pPr>
      <w:r w:rsidRPr="005D44FE">
        <w:t>(COM(2024)0060 – C9</w:t>
      </w:r>
      <w:r w:rsidRPr="005D44FE">
        <w:noBreakHyphen/>
        <w:t>0028/2024 – 2024/0035(COD))</w:t>
      </w:r>
    </w:p>
    <w:p w:rsidR="00ED0821" w:rsidRPr="005D44FE" w:rsidRDefault="00075CAE" w:rsidP="00BE2C7F">
      <w:pPr>
        <w:pStyle w:val="NormalBold"/>
      </w:pPr>
      <w:r w:rsidRPr="005D44FE">
        <w:t>(Zwykła procedura ustawodawcza – przekształcenie)</w:t>
      </w:r>
    </w:p>
    <w:p w:rsidR="00ED0821" w:rsidRPr="005D44FE" w:rsidRDefault="00075CAE" w:rsidP="00BE2C7F">
      <w:pPr>
        <w:pStyle w:val="EPComma"/>
      </w:pPr>
      <w:r w:rsidRPr="005D44FE">
        <w:rPr>
          <w:i/>
        </w:rPr>
        <w:t>Parlament Europejski</w:t>
      </w:r>
      <w:r w:rsidRPr="005D44FE">
        <w:t>,</w:t>
      </w:r>
    </w:p>
    <w:p w:rsidR="00ED0821" w:rsidRPr="005D44FE" w:rsidRDefault="00075CAE">
      <w:pPr>
        <w:pStyle w:val="NormalHanging12a"/>
      </w:pPr>
      <w:r w:rsidRPr="005D44FE">
        <w:t>–</w:t>
      </w:r>
      <w:r w:rsidRPr="005D44FE">
        <w:tab/>
        <w:t>uwzględniając wniosek Komisj</w:t>
      </w:r>
      <w:r w:rsidRPr="005D44FE">
        <w:t>i przedstawiony Parlamentowi Europejskiemu i Radzie (COM(2024)0060),</w:t>
      </w:r>
    </w:p>
    <w:p w:rsidR="00ED0821" w:rsidRPr="005D44FE" w:rsidRDefault="00075CAE">
      <w:pPr>
        <w:pStyle w:val="NormalHanging12a"/>
      </w:pPr>
      <w:r w:rsidRPr="005D44FE">
        <w:t>–</w:t>
      </w:r>
      <w:r w:rsidRPr="005D44FE">
        <w:tab/>
        <w:t>uwzględniając art. 294 ust. 2, art. 82 ust. 2 oraz art. 83 ust. 1 Traktatu o funkcjonowaniu Unii Europejskiej, zgodnie z którymi Komisja przedstawiła wniosek Parlamentowi (C9</w:t>
      </w:r>
      <w:r w:rsidRPr="005D44FE">
        <w:noBreakHyphen/>
        <w:t>0028/2024)</w:t>
      </w:r>
      <w:r w:rsidRPr="005D44FE">
        <w:t>,</w:t>
      </w:r>
    </w:p>
    <w:p w:rsidR="004C201D" w:rsidRPr="005D44FE" w:rsidRDefault="00075CAE" w:rsidP="004C201D">
      <w:pPr>
        <w:pStyle w:val="NormalHanging12a"/>
      </w:pPr>
      <w:r w:rsidRPr="005D44FE">
        <w:t>–</w:t>
      </w:r>
      <w:r w:rsidRPr="005D44FE">
        <w:tab/>
        <w:t>uwzględniając opinię Komisji Prawnej w sprawie proponowanej podstawy prawnej</w:t>
      </w:r>
      <w:r w:rsidRPr="005D44FE">
        <w:rPr>
          <w:rStyle w:val="FootnoteReference"/>
        </w:rPr>
        <w:footnoteReference w:id="1"/>
      </w:r>
      <w:r w:rsidRPr="005D44FE">
        <w:t>,</w:t>
      </w:r>
    </w:p>
    <w:p w:rsidR="004C201D" w:rsidRPr="005D44FE" w:rsidRDefault="00075CAE" w:rsidP="004C201D">
      <w:pPr>
        <w:pStyle w:val="NormalHanging12a"/>
      </w:pPr>
      <w:r w:rsidRPr="005D44FE">
        <w:t>–</w:t>
      </w:r>
      <w:r w:rsidRPr="005D44FE">
        <w:tab/>
        <w:t>uwzględniając art. 294 ust. 3 Traktatu o funkcjonowaniu Unii Europejskiej,</w:t>
      </w:r>
    </w:p>
    <w:p w:rsidR="00BD28D4" w:rsidRPr="005D44FE" w:rsidRDefault="00075CAE" w:rsidP="007D4D20">
      <w:pPr>
        <w:pStyle w:val="NormalHanging12a"/>
      </w:pPr>
      <w:r w:rsidRPr="005D44FE">
        <w:t>–</w:t>
      </w:r>
      <w:r w:rsidRPr="005D44FE">
        <w:tab/>
        <w:t>uwzględniając Porozumienie międzyinstytucjonalne z dnia 28 listopada 2001 r. w sprawie bardzie</w:t>
      </w:r>
      <w:r w:rsidRPr="005D44FE">
        <w:t>j uporządkowanego wykorzystania techniki przekształcania aktów prawnych</w:t>
      </w:r>
      <w:r w:rsidRPr="005D44FE">
        <w:rPr>
          <w:rStyle w:val="FootnoteReference"/>
        </w:rPr>
        <w:footnoteReference w:id="2"/>
      </w:r>
      <w:r w:rsidRPr="005D44FE">
        <w:t>,</w:t>
      </w:r>
    </w:p>
    <w:p w:rsidR="00A2287D" w:rsidRPr="005D44FE" w:rsidRDefault="00075CAE" w:rsidP="00A2287D">
      <w:pPr>
        <w:pStyle w:val="NormalHanging12a"/>
      </w:pPr>
      <w:r w:rsidRPr="005D44FE">
        <w:t>–</w:t>
      </w:r>
      <w:r w:rsidRPr="005D44FE">
        <w:tab/>
        <w:t>uwzględniając pismo Komisji Prawnej z dnia [...] skierowane do Komisji Wolności Obywatelskich, Sprawiedliwości i Spraw Wewnętrznych zgodnie z art. 110 ust. 3 Regulaminu,</w:t>
      </w:r>
    </w:p>
    <w:p w:rsidR="004D79E5" w:rsidRPr="005D44FE" w:rsidRDefault="00075CAE" w:rsidP="00A2287D">
      <w:pPr>
        <w:pStyle w:val="NormalHanging12a"/>
      </w:pPr>
      <w:r w:rsidRPr="005D44FE">
        <w:t>–</w:t>
      </w:r>
      <w:r w:rsidRPr="005D44FE">
        <w:tab/>
        <w:t>uwzględn</w:t>
      </w:r>
      <w:r w:rsidRPr="005D44FE">
        <w:t>iając pismo Komisji Prawnej z dnia [...] skierowane do przewodniczącej zgodnie z art. 110 ust. 4 Regulaminu,</w:t>
      </w:r>
    </w:p>
    <w:p w:rsidR="004D79E5" w:rsidRPr="005D44FE" w:rsidRDefault="00075CAE" w:rsidP="004D79E5">
      <w:pPr>
        <w:pStyle w:val="NormalHanging12a"/>
        <w:rPr>
          <w:szCs w:val="24"/>
          <w:shd w:val="pct15" w:color="auto" w:fill="FFFFFF"/>
        </w:rPr>
      </w:pPr>
      <w:r w:rsidRPr="005D44FE">
        <w:t>–</w:t>
      </w:r>
      <w:r w:rsidRPr="005D44FE">
        <w:rPr>
          <w:b/>
        </w:rPr>
        <w:tab/>
      </w:r>
      <w:r w:rsidRPr="005D44FE">
        <w:t>uwzględniając pismo z dnia [...], w którym przewodnicząca Komisji oświadcza, że nie wycofuje swojego wniosku,</w:t>
      </w:r>
    </w:p>
    <w:p w:rsidR="00ED0821" w:rsidRPr="005D44FE" w:rsidRDefault="00075CAE">
      <w:pPr>
        <w:pStyle w:val="NormalHanging12a"/>
      </w:pPr>
      <w:r w:rsidRPr="005D44FE">
        <w:t>–</w:t>
      </w:r>
      <w:r w:rsidRPr="005D44FE">
        <w:tab/>
        <w:t>uwzględniając art. 110, 59 i 40 R</w:t>
      </w:r>
      <w:r w:rsidRPr="005D44FE">
        <w:t>egulaminu,</w:t>
      </w:r>
    </w:p>
    <w:p w:rsidR="00021008" w:rsidRPr="005D44FE" w:rsidRDefault="00075CAE" w:rsidP="00021008">
      <w:pPr>
        <w:pStyle w:val="NormalHanging12a"/>
      </w:pPr>
      <w:r w:rsidRPr="005D44FE">
        <w:t>–</w:t>
      </w:r>
      <w:r w:rsidRPr="005D44FE">
        <w:tab/>
        <w:t>uwzględniając sprawozdanie Komisji Wolności Obywatelskich, Sprawiedliwości i Spraw Wewnętrznych (A9</w:t>
      </w:r>
      <w:r w:rsidRPr="005D44FE">
        <w:noBreakHyphen/>
        <w:t>0000/2024),</w:t>
      </w:r>
    </w:p>
    <w:p w:rsidR="0056430C" w:rsidRPr="005D44FE" w:rsidRDefault="00075CAE" w:rsidP="00DC2F51">
      <w:pPr>
        <w:pStyle w:val="NormalHanging12a"/>
      </w:pPr>
      <w:r w:rsidRPr="005D44FE">
        <w:t>A.</w:t>
      </w:r>
      <w:r w:rsidRPr="005D44FE">
        <w:tab/>
        <w:t xml:space="preserve">mając na uwadze, że konsultacyjna grupa robocza służb prawnych Parlamentu Europejskiego, Rady i Komisji stwierdziła, że wniosek </w:t>
      </w:r>
      <w:r w:rsidRPr="005D44FE">
        <w:t xml:space="preserve">Komisji nie zawiera żadnych zmian merytorycznych innych niż te określone jako takie we wniosku, oraz mając na uwadze, że w odniesieniu do ujednolicenia niezmienionych przepisów wcześniejszych </w:t>
      </w:r>
      <w:r w:rsidRPr="005D44FE">
        <w:lastRenderedPageBreak/>
        <w:t>aktów z tymi zmianami wniosek ogranicza się do zwykłego ujednoli</w:t>
      </w:r>
      <w:r w:rsidRPr="005D44FE">
        <w:t>cenia istniejących tekstów, bez zmiany co do istoty;</w:t>
      </w:r>
    </w:p>
    <w:p w:rsidR="00ED0821" w:rsidRPr="005D44FE" w:rsidRDefault="00075CAE">
      <w:pPr>
        <w:pStyle w:val="NormalHanging12a"/>
      </w:pPr>
      <w:r w:rsidRPr="005D44FE">
        <w:t>1.</w:t>
      </w:r>
      <w:r w:rsidRPr="005D44FE">
        <w:tab/>
        <w:t>uchwala poniższe stanowisko w pierwszym czytaniu, biorąc pod uwagę zalecenia konsultacyjnej grupy roboczej służb prawnych Parlamentu Europejskiego, Rady i Komisji;</w:t>
      </w:r>
    </w:p>
    <w:p w:rsidR="00DE19CF" w:rsidRPr="005D44FE" w:rsidRDefault="00075CAE" w:rsidP="00DE19CF">
      <w:pPr>
        <w:pStyle w:val="NormalHanging12a"/>
      </w:pPr>
      <w:r w:rsidRPr="005D44FE">
        <w:t>2.</w:t>
      </w:r>
      <w:r w:rsidRPr="005D44FE">
        <w:tab/>
        <w:t>zwraca się do Komisji o ponowne p</w:t>
      </w:r>
      <w:r w:rsidRPr="005D44FE">
        <w:t>rzekazanie mu sprawy, jeśli zastąpi ona pierwotny wniosek, wprowadzi w nim istotne zmiany lub planuje ich wprowadzenie;</w:t>
      </w:r>
    </w:p>
    <w:p w:rsidR="00DE19CF" w:rsidRPr="005D44FE" w:rsidRDefault="00075CAE" w:rsidP="00DE19CF">
      <w:pPr>
        <w:pStyle w:val="NormalHanging12a"/>
      </w:pPr>
      <w:r w:rsidRPr="005D44FE">
        <w:t>3.</w:t>
      </w:r>
      <w:r w:rsidRPr="005D44FE">
        <w:tab/>
        <w:t>zobowiązuje swojego przewodniczącego do przekazania stanowiska Parlamentu Radzie i Komisji oraz parlamentom narodowym.</w:t>
      </w:r>
    </w:p>
    <w:p w:rsidR="001A5111" w:rsidRPr="005D44FE" w:rsidRDefault="00075CAE" w:rsidP="001A5111">
      <w:pPr>
        <w:pStyle w:val="AMNumberTabs0"/>
        <w:keepNext/>
      </w:pPr>
      <w:r w:rsidRPr="005D44FE">
        <w:rPr>
          <w:rStyle w:val="HideTWBExt"/>
        </w:rPr>
        <w:t>&lt;RepeatBlock-A</w:t>
      </w:r>
      <w:r w:rsidRPr="005D44FE">
        <w:rPr>
          <w:rStyle w:val="HideTWBExt"/>
        </w:rPr>
        <w:t>mend&gt;&lt;Amend&gt;</w:t>
      </w:r>
      <w:r w:rsidRPr="005D44FE">
        <w:t>Poprawka</w:t>
      </w:r>
      <w:r w:rsidRPr="005D44FE">
        <w:tab/>
      </w:r>
      <w:r w:rsidRPr="005D44FE">
        <w:tab/>
      </w:r>
      <w:r w:rsidRPr="005D44FE">
        <w:rPr>
          <w:rStyle w:val="HideTWBExt"/>
        </w:rPr>
        <w:t>&lt;NumAm&gt;</w:t>
      </w:r>
      <w:r w:rsidRPr="005D44FE">
        <w:t>1</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Motyw 10</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(10)</w:t>
            </w:r>
            <w:r w:rsidRPr="005D44FE">
              <w:tab/>
              <w:t xml:space="preserve">Materiały przedstawiające niegodziwe traktowanie dzieci w celach seksualnych często </w:t>
            </w:r>
            <w:r w:rsidRPr="005D44FE">
              <w:t>zawierają wizerunki niegodziwego traktowania dzieci przez dorosłych w celach seksualnych. Mogą również zawierać wizerunki dzieci uczestniczących w zachowaniach o wyraźnie seksualnym charakterze lub wizerunki organów płciowych dziecka, przy czym są one prod</w:t>
            </w:r>
            <w:r w:rsidRPr="005D44FE">
              <w:t>ukowane lub wykorzystywane do celów głównie seksualnych, za wiedzą dziecka lub bez niej. Ponadto pojęcie materiału przedstawiającego niegodziwe traktowanie dzieci w celach seksualnych obejmuje także realistyczne wizerunki dziecka uczestniczącego lub przeds</w:t>
            </w:r>
            <w:r w:rsidRPr="005D44FE">
              <w:t xml:space="preserve">tawionego jako uczestniczące w zachowaniach o wyraźnie seksualnym charakterze w celach głównie seksualnych oraz </w:t>
            </w:r>
            <w:r w:rsidRPr="005D44FE">
              <w:rPr>
                <w:b/>
                <w:i/>
              </w:rPr>
              <w:t>tzw. „</w:t>
            </w:r>
            <w:r w:rsidRPr="005D44FE">
              <w:t xml:space="preserve">podręczniki </w:t>
            </w:r>
            <w:r w:rsidRPr="005D44FE">
              <w:rPr>
                <w:b/>
                <w:i/>
              </w:rPr>
              <w:t>dla pedofili” </w:t>
            </w:r>
            <w:r w:rsidRPr="005D44FE">
              <w:t>.</w:t>
            </w:r>
          </w:p>
        </w:tc>
        <w:tc>
          <w:tcPr>
            <w:tcW w:w="4876" w:type="dxa"/>
            <w:hideMark/>
          </w:tcPr>
          <w:p w:rsidR="001A5111" w:rsidRPr="005D44FE" w:rsidRDefault="00075CAE" w:rsidP="00DE3A37">
            <w:pPr>
              <w:pStyle w:val="Normal6"/>
              <w:rPr>
                <w:szCs w:val="24"/>
              </w:rPr>
            </w:pPr>
            <w:r w:rsidRPr="005D44FE">
              <w:t>(10)</w:t>
            </w:r>
            <w:r w:rsidRPr="005D44FE">
              <w:tab/>
              <w:t>Materiały przedstawiające niegodziwe traktowanie dzieci w celach seksualnych często zawierają wizerunki n</w:t>
            </w:r>
            <w:r w:rsidRPr="005D44FE">
              <w:t>iegodziwego traktowania dzieci przez dorosłych w celach seksualnych. Mogą również zawierać wizerunki dzieci uczestniczących w zachowaniach o wyraźnie seksualnym charakterze lub wizerunki organów płciowych dziecka, przy czym są one produkowane lub wykorzyst</w:t>
            </w:r>
            <w:r w:rsidRPr="005D44FE">
              <w:t>ywane do celów głównie seksualnych, za wiedzą dziecka lub bez niej. Ponadto pojęcie materiału przedstawiającego niegodziwe traktowanie dzieci w celach seksualnych obejmuje także realistyczne wizerunki dziecka uczestniczącego lub przedstawionego jako uczest</w:t>
            </w:r>
            <w:r w:rsidRPr="005D44FE">
              <w:t xml:space="preserve">niczące w zachowaniach o wyraźnie seksualnym charakterze w celach głównie seksualnych oraz podręczniki </w:t>
            </w:r>
            <w:r w:rsidRPr="005D44FE">
              <w:rPr>
                <w:b/>
                <w:i/>
              </w:rPr>
              <w:t>instruktażowe mające na celu udzielanie porad, wskazówek lub instrukcji dotyczących tego, jak niegodziwie traktować dzieci w celach seksualnych, wykorzys</w:t>
            </w:r>
            <w:r w:rsidRPr="005D44FE">
              <w:rPr>
                <w:b/>
                <w:i/>
              </w:rPr>
              <w:t xml:space="preserve">tywać seksualnie dzieci lub nagabywać dzieci. Aby usprawnić skuteczne wdrażanie niniejszej dyrektywy, państwa członkowskie powinny zharmonizować i zmodernizować język używany w swoim prawie krajowym w </w:t>
            </w:r>
            <w:r w:rsidRPr="005D44FE">
              <w:rPr>
                <w:b/>
                <w:i/>
              </w:rPr>
              <w:lastRenderedPageBreak/>
              <w:t>celu dostosowania go do języka używanego w niniejszej d</w:t>
            </w:r>
            <w:r w:rsidRPr="005D44FE">
              <w:rPr>
                <w:b/>
                <w:i/>
              </w:rPr>
              <w:t>yrektywie. W pierwszej kolejności należy zastąpić termin „pornografia dziecięca” terminem „materiały przedstawiające niegodziwe traktowanie dzieci w celach seksualnych”</w:t>
            </w:r>
            <w:r w:rsidRPr="005D44FE">
              <w:t>.</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2</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Motyw 11</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(11)</w:t>
            </w:r>
            <w:r w:rsidRPr="005D44FE">
              <w:tab/>
              <w:t>Badania wykazały, że ograniczenie rozpowszechniania materiałów przedstawiających niegodziwe traktowanie dzieci w celach seksualnych ma klucz</w:t>
            </w:r>
            <w:r w:rsidRPr="005D44FE">
              <w:t>owe znaczenie nie tylko dla uniknięcia ponownej wiktymizacji wynikającej z obiegu wizerunków i nagrań wideo przedstawiających niegodziwe traktowanie, ale ma również zasadnicze znaczenie jako forma prewencji po stronie przestępców, ponieważ uzyskiwanie dost</w:t>
            </w:r>
            <w:r w:rsidRPr="005D44FE">
              <w:t>ępu do materiałów przedstawiających niegodziwe traktowanie dzieci w celach seksualnych jest często pierwszym krokiem prowadzącym do dopuszczania się takiego niegodziwego traktowania w rzeczywistości, niezależnie od tego, czy dany materiał przedstawia fakty</w:t>
            </w:r>
            <w:r w:rsidRPr="005D44FE">
              <w:t>czne czy po prostu realistycznie przedstawione niegodziwe traktowanie i wykorzystywanie. W związku z ciągłym rozwojem zastosowań sztucznej inteligencji zdolnych do tworzenia realistycznych wizerunków, które są niemożliwe do odróżnienia od rzeczywistych wiz</w:t>
            </w:r>
            <w:r w:rsidRPr="005D44FE">
              <w:t xml:space="preserve">erunków, w nadchodzących latach liczba wizerunków i nagrań wideo tzw. „deepfake” przedstawiających niegodziwe traktowanie dzieci w celach seksualnych prawdopodobnie gwałtownie wzrośnie. Ponadto obecna definicja nie obejmuje w </w:t>
            </w:r>
            <w:r w:rsidRPr="005D44FE">
              <w:lastRenderedPageBreak/>
              <w:t>pełni rozwoju rzeczywistości r</w:t>
            </w:r>
            <w:r w:rsidRPr="005D44FE">
              <w:t>ozszerzonej, rozbudowanej i wirtualnej, który umożliwia wykorzystanie awatarów, w tym sensorycznych informacji zwrotnych, np. za pomocą urządzeń imitujących wrażenia dotykowe. Włączenie do definicji materiału przedstawiającego niegodziwe traktowanie dzieci</w:t>
            </w:r>
            <w:r w:rsidRPr="005D44FE">
              <w:t xml:space="preserve"> w celach seksualnych wyraźnego odniesienia do „wytworzonych lub przetworzonych obrazów” powinno zapewnić, aby obejmowała ona wymienione i przyszłe zmiany technologiczne w sposób wystarczająco neutralny technologicznie i przez to była dostosowana do przysz</w:t>
            </w:r>
            <w:r w:rsidRPr="005D44FE">
              <w:t>łych wyzwań.</w:t>
            </w:r>
          </w:p>
        </w:tc>
        <w:tc>
          <w:tcPr>
            <w:tcW w:w="4876" w:type="dxa"/>
            <w:hideMark/>
          </w:tcPr>
          <w:p w:rsidR="001A5111" w:rsidRPr="005D44FE" w:rsidRDefault="00075CAE">
            <w:pPr>
              <w:pStyle w:val="Normal6"/>
              <w:rPr>
                <w:szCs w:val="24"/>
              </w:rPr>
            </w:pPr>
            <w:r w:rsidRPr="005D44FE">
              <w:lastRenderedPageBreak/>
              <w:t>(11)</w:t>
            </w:r>
            <w:r w:rsidRPr="005D44FE">
              <w:tab/>
              <w:t>Badania wykazały, że ograniczenie rozpowszechniania materiałów przedstawiających niegodziwe traktowanie dzieci w celach seksualnych ma kluczowe znaczenie nie tylko dla uniknięcia ponownej wiktymizacji wynikającej z obiegu wizerunków i nag</w:t>
            </w:r>
            <w:r w:rsidRPr="005D44FE">
              <w:t>rań wideo przedstawiających niegodziwe traktowanie, ale ma również zasadnicze znaczenie jako forma prewencji po stronie przestępców, ponieważ uzyskiwanie dostępu do materiałów przedstawiających niegodziwe traktowanie dzieci w celach seksualnych jest często</w:t>
            </w:r>
            <w:r w:rsidRPr="005D44FE">
              <w:t xml:space="preserve"> pierwszym krokiem prowadzącym do dopuszczania się takiego niegodziwego traktowania w rzeczywistości, niezależnie od tego, czy dany materiał przedstawia faktyczne czy po prostu realistycznie przedstawione niegodziwe traktowanie i wykorzystywanie. W związku</w:t>
            </w:r>
            <w:r w:rsidRPr="005D44FE">
              <w:t xml:space="preserve"> z ciągłym rozwojem zastosowań sztucznej inteligencji zdolnych do tworzenia realistycznych wizerunków, które są niemożliwe do odróżnienia od rzeczywistych wizerunków, w nadchodzących latach liczba wizerunków i nagrań wideo tzw. „deepfake” </w:t>
            </w:r>
            <w:r w:rsidRPr="005D44FE">
              <w:rPr>
                <w:b/>
                <w:i/>
              </w:rPr>
              <w:t>generowanych prze</w:t>
            </w:r>
            <w:r w:rsidRPr="005D44FE">
              <w:rPr>
                <w:b/>
                <w:i/>
              </w:rPr>
              <w:t>z sztuczną inteligencję</w:t>
            </w:r>
            <w:r w:rsidRPr="005D44FE">
              <w:t xml:space="preserve"> i przedstawiających niegodziwe traktowanie dzieci w celach seksualnych prawdopodobnie gwałtownie wzrośnie. </w:t>
            </w:r>
            <w:r w:rsidRPr="005D44FE">
              <w:lastRenderedPageBreak/>
              <w:t>Ponadto obecna definicja nie obejmuje w pełni rozwoju rzeczywistości rozszerzonej, rozbudowanej i wirtualnej, który umożliwia</w:t>
            </w:r>
            <w:r w:rsidRPr="005D44FE">
              <w:t xml:space="preserve"> wykorzystanie awatarów, w tym sensorycznych informacji zwrotnych, np. za pomocą urządzeń imitujących wrażenia dotykowe. Włączenie do definicji materiału przedstawiającego niegodziwe traktowanie dzieci w celach seksualnych wyraźnego odniesienia do „wytworz</w:t>
            </w:r>
            <w:r w:rsidRPr="005D44FE">
              <w:t>onych lub przetworzonych obrazów” powinno zapewnić, aby obejmowała ona wymienione i przyszłe zmiany technologiczne w sposób wystarczająco neutralny technologicznie i przez to była dostosowana do przyszłych wyzwań.</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3</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Motyw 12</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(12)</w:t>
            </w:r>
            <w:r w:rsidRPr="005D44FE">
              <w:tab/>
            </w:r>
            <w:r w:rsidRPr="005D44FE">
              <w:t xml:space="preserve">Aby zapobiegać przestępstwom związanym z niegodziwym traktowaniem dzieci w celach seksualnych, definicja materiału przedstawiającego niegodziwe traktowanie dzieci w celach seksualnych powinna obejmować </w:t>
            </w:r>
            <w:r w:rsidRPr="005D44FE">
              <w:rPr>
                <w:b/>
                <w:i/>
              </w:rPr>
              <w:t>tzw.</w:t>
            </w:r>
            <w:r w:rsidRPr="005D44FE">
              <w:t xml:space="preserve"> podręczniki </w:t>
            </w:r>
            <w:r w:rsidRPr="005D44FE">
              <w:rPr>
                <w:b/>
                <w:i/>
              </w:rPr>
              <w:t>dla pedofili</w:t>
            </w:r>
            <w:r w:rsidRPr="005D44FE">
              <w:t>.</w:t>
            </w:r>
            <w:r w:rsidRPr="005D44FE">
              <w:rPr>
                <w:b/>
                <w:i/>
              </w:rPr>
              <w:t xml:space="preserve"> </w:t>
            </w:r>
            <w:r w:rsidRPr="005D44FE">
              <w:t xml:space="preserve">Podręczniki </w:t>
            </w:r>
            <w:r w:rsidRPr="005D44FE">
              <w:rPr>
                <w:b/>
                <w:i/>
              </w:rPr>
              <w:t>dla pedofil</w:t>
            </w:r>
            <w:r w:rsidRPr="005D44FE">
              <w:rPr>
                <w:b/>
                <w:i/>
              </w:rPr>
              <w:t>i</w:t>
            </w:r>
            <w:r w:rsidRPr="005D44FE">
              <w:t xml:space="preserve"> zawierają porady na temat tego, w jaki sposób wyszukiwać dzieci, nagabywać je i wykorzystywać oraz jak uniknąć identyfikacji i ścigania. Przez zniesienie barier i dostarczanie niezbędnych informacji praktycznych takie podręczniki zachęcają przestępców do</w:t>
            </w:r>
            <w:r w:rsidRPr="005D44FE">
              <w:t xml:space="preserve"> popełnienia przestępstwa niegodziwego traktowania w celach seksualnych i ułatwiają jego popełnienie. Ze względu na rozpowszechnianie takich podręczników w internecie niektóre państwa członkowskie już zmieniły swoje prawo karne i jednoznacznie penalizują p</w:t>
            </w:r>
            <w:r w:rsidRPr="005D44FE">
              <w:t xml:space="preserve">osiadanie i dystrybucję takich podręczników. Brak </w:t>
            </w:r>
            <w:r w:rsidRPr="005D44FE">
              <w:lastRenderedPageBreak/>
              <w:t>harmonizacji w tym zakresie prowadzi do nierównego poziomu ochrony w UE.</w:t>
            </w:r>
          </w:p>
        </w:tc>
        <w:tc>
          <w:tcPr>
            <w:tcW w:w="4876" w:type="dxa"/>
            <w:hideMark/>
          </w:tcPr>
          <w:p w:rsidR="001A5111" w:rsidRPr="005D44FE" w:rsidRDefault="00075CAE">
            <w:pPr>
              <w:pStyle w:val="Normal6"/>
              <w:rPr>
                <w:szCs w:val="24"/>
              </w:rPr>
            </w:pPr>
            <w:r w:rsidRPr="005D44FE">
              <w:lastRenderedPageBreak/>
              <w:t>(12)</w:t>
            </w:r>
            <w:r w:rsidRPr="005D44FE">
              <w:tab/>
              <w:t>Aby zapobiegać przestępstwom związanym z niegodziwym traktowaniem dzieci w celach seksualnych, definicja materiału przedstawiają</w:t>
            </w:r>
            <w:r w:rsidRPr="005D44FE">
              <w:t xml:space="preserve">cego niegodziwe traktowanie dzieci w celach seksualnych powinna obejmować podręczniki </w:t>
            </w:r>
            <w:r w:rsidRPr="005D44FE">
              <w:rPr>
                <w:b/>
                <w:i/>
              </w:rPr>
              <w:t>instruktażowe dotyczące tego, jak wykorzystywać seksualnie dzieci</w:t>
            </w:r>
            <w:r w:rsidRPr="005D44FE">
              <w:t>.</w:t>
            </w:r>
            <w:r w:rsidRPr="005D44FE">
              <w:rPr>
                <w:b/>
                <w:i/>
              </w:rPr>
              <w:t xml:space="preserve"> Takie</w:t>
            </w:r>
            <w:r w:rsidRPr="005D44FE">
              <w:t xml:space="preserve"> podręczniki </w:t>
            </w:r>
            <w:r w:rsidRPr="005D44FE">
              <w:rPr>
                <w:b/>
                <w:i/>
              </w:rPr>
              <w:t>instruktażowe</w:t>
            </w:r>
            <w:r w:rsidRPr="005D44FE">
              <w:t xml:space="preserve"> zawierają porady na temat tego, w jaki sposób wyszukiwać dzieci, nagaby</w:t>
            </w:r>
            <w:r w:rsidRPr="005D44FE">
              <w:t>wać je i wykorzystywać oraz jak uniknąć identyfikacji i ścigania. Przez zniesienie barier i dostarczanie niezbędnych informacji praktycznych takie podręczniki zachęcają przestępców do popełnienia przestępstwa niegodziwego traktowania w celach seksualnych i</w:t>
            </w:r>
            <w:r w:rsidRPr="005D44FE">
              <w:t xml:space="preserve"> ułatwiają jego popełnienie. Ze względu na rozpowszechnianie takich podręczników w internecie niektóre państwa członkowskie już zmieniły swoje prawo karne i </w:t>
            </w:r>
            <w:r w:rsidRPr="005D44FE">
              <w:lastRenderedPageBreak/>
              <w:t>jednoznacznie penalizują posiadanie i dystrybucję takich podręczników. Brak harmonizacji w tym zakr</w:t>
            </w:r>
            <w:r w:rsidRPr="005D44FE">
              <w:t>esie prowadzi do nierównego poziomu ochrony w UE.</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4</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Motyw 22</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(22)</w:t>
            </w:r>
            <w:r w:rsidRPr="005D44FE">
              <w:tab/>
            </w:r>
            <w:r w:rsidRPr="005D44FE">
              <w:t>Nagabywanie dzieci w celach seksualnych jest zagrożeniem o specjalnym charakterze w kontekście internetu, który zapewnia użytkownikom bezprecedensową anonimowość gdyż mogą oni ukryć własną tożsamość i dane osobowe, na przykład wiek. Na przestrzeni ostatnic</w:t>
            </w:r>
            <w:r w:rsidRPr="005D44FE">
              <w:t>h dziesięciu lat technologie informacyjno-komunikacyjne ułatwiły przestępcom dostęp do dzieci – kontakt często rozpoczyna się zwabieniem dziecka przez sprawcę na przykład udającego, że jest rówieśnikiem lub wykorzystującego inne oszukańcze lub schlebiające</w:t>
            </w:r>
            <w:r w:rsidRPr="005D44FE">
              <w:t xml:space="preserve"> zachowania, i postawieniem go w kompromitującej sytuacji. Taki ułatwiony dostęp do dzieci doprowadził do szybkiego rozwoju takich zjawisk jak </w:t>
            </w:r>
            <w:r w:rsidRPr="005D44FE">
              <w:rPr>
                <w:b/>
                <w:i/>
              </w:rPr>
              <w:t>„</w:t>
            </w:r>
            <w:r w:rsidRPr="005D44FE">
              <w:t>szantaż przy użyciu treści pornograficznych</w:t>
            </w:r>
            <w:r w:rsidRPr="005D44FE">
              <w:rPr>
                <w:b/>
                <w:i/>
              </w:rPr>
              <w:t>”</w:t>
            </w:r>
            <w:r w:rsidRPr="005D44FE">
              <w:t xml:space="preserve"> (tj. zachowania, w którym stosuje się groźbę udostępnienia intymnych materiałów przedstawiających ofiarę w celu uzyskania pieniędzy, materiału przedstawiającego niegodziwe traktowanie dzieci w celach seksualnych lub innych korzyści), które dotykają dzieci</w:t>
            </w:r>
            <w:r w:rsidRPr="005D44FE">
              <w:t xml:space="preserve"> zarówno poniżej, jak i powyżej wieku przyzwolenia. W ostatnich latach nastąpił gwałtowny wzrost przypadków szantażu przy użyciu treści pornograficznych w celu osiągnięcia korzyści majątkowej, którego dopuszczają się zorganizowane grupy przestępcze, koncen</w:t>
            </w:r>
            <w:r w:rsidRPr="005D44FE">
              <w:t xml:space="preserve">trujące swoje działania w szczególności na nastoletnich chłopcach, co doprowadziło do wielu przypadków </w:t>
            </w:r>
            <w:r w:rsidRPr="005D44FE">
              <w:lastRenderedPageBreak/>
              <w:t>samobójstw wśród takich dzieci. W związku z tym istotne jest, aby wszystkie te zjawiska zostały odpowiednio uwzględnione w prawie państw członkowskich. R</w:t>
            </w:r>
            <w:r w:rsidRPr="005D44FE">
              <w:t>ównocześnie państwa członkowskie uznają znaczenie zwalczania także nagabywania dziecka poza internetem, w szczególności gdy nagabywanie takie nie odbywa się przy użyciu technologii informacyjno-komunikacyjnych. Zachęca się państwa członkowskie do kryminali</w:t>
            </w:r>
            <w:r w:rsidRPr="005D44FE">
              <w:t>zowania czynów, w których nakłanianie dziecka do spotkania przestępcy w celach seksualnych ma miejsce w obecności lub w pobliżu dziecka, na przykład w postaci szczególnego przygotowania do popełnienia przestępstwa, usiłowania popełnienia przestępstw, o któ</w:t>
            </w:r>
            <w:r w:rsidRPr="005D44FE">
              <w:t>rych mowa w niniejszej dyrektywie, lub szczególnej formy niegodziwego traktowania w celach seksualnych. Bez względu na wybór rozwiązania prawnego służącego kryminalizacji nagabywania poza internetem państwa członkowskie powinny zapewnić ściganie sprawców t</w:t>
            </w:r>
            <w:r w:rsidRPr="005D44FE">
              <w:t>ych przestępstw.</w:t>
            </w:r>
          </w:p>
        </w:tc>
        <w:tc>
          <w:tcPr>
            <w:tcW w:w="4876" w:type="dxa"/>
            <w:hideMark/>
          </w:tcPr>
          <w:p w:rsidR="001A5111" w:rsidRPr="005D44FE" w:rsidRDefault="00075CAE">
            <w:pPr>
              <w:pStyle w:val="Normal6"/>
              <w:rPr>
                <w:szCs w:val="24"/>
              </w:rPr>
            </w:pPr>
            <w:r w:rsidRPr="005D44FE">
              <w:lastRenderedPageBreak/>
              <w:t>(22)</w:t>
            </w:r>
            <w:r w:rsidRPr="005D44FE">
              <w:tab/>
              <w:t>Nagabywanie dzieci w celach seksualnych jest zagrożeniem o specjalnym charakterze w kontekście internetu, który zapewnia użytkownikom bezprecedensową anonimowość gdyż mogą oni ukryć własną tożsamość i dane osobowe, na przykład wiek. N</w:t>
            </w:r>
            <w:r w:rsidRPr="005D44FE">
              <w:t>a przestrzeni ostatnich dziesięciu lat technologie informacyjno-komunikacyjne ułatwiły przestępcom dostęp do dzieci – kontakt często rozpoczyna się zwabieniem dziecka przez sprawcę na przykład udającego, że jest rówieśnikiem lub wykorzystującego inne oszuk</w:t>
            </w:r>
            <w:r w:rsidRPr="005D44FE">
              <w:t>ańcze lub schlebiające zachowania, i postawieniem go w kompromitującej sytuacji. Taki ułatwiony dostęp do dzieci doprowadził do szybkiego rozwoju takich zjawisk jak szantaż przy użyciu treści pornograficznych (tj. zachowania, w którym stosuje się groźbę ud</w:t>
            </w:r>
            <w:r w:rsidRPr="005D44FE">
              <w:t>ostępnienia intymnych materiałów przedstawiających ofiarę w celu uzyskania pieniędzy, materiału przedstawiającego niegodziwe traktowanie dzieci w celach seksualnych lub innych korzyści), które dotykają dzieci zarówno poniżej, jak i powyżej wieku przyzwolen</w:t>
            </w:r>
            <w:r w:rsidRPr="005D44FE">
              <w:t>ia. W ostatnich latach nastąpił gwałtowny wzrost przypadków szantażu przy użyciu treści pornograficznych w celu osiągnięcia korzyści majątkowej, którego dopuszczają się zorganizowane grupy przestępcze, koncentrujące swoje działania w szczególności na nasto</w:t>
            </w:r>
            <w:r w:rsidRPr="005D44FE">
              <w:t xml:space="preserve">letnich chłopcach, co doprowadziło do wielu przypadków </w:t>
            </w:r>
            <w:r w:rsidRPr="005D44FE">
              <w:lastRenderedPageBreak/>
              <w:t>samobójstw wśród takich dzieci. W związku z tym istotne jest, aby wszystkie te zjawiska zostały odpowiednio uwzględnione w prawie państw członkowskich. Równocześnie państwa członkowskie uznają znaczeni</w:t>
            </w:r>
            <w:r w:rsidRPr="005D44FE">
              <w:t>e zwalczania także nagabywania dziecka poza internetem, w szczególności gdy nagabywanie takie nie odbywa się przy użyciu technologii informacyjno-komunikacyjnych. Zachęca się państwa członkowskie do kryminalizowania czynów, w których nakłanianie dziecka do</w:t>
            </w:r>
            <w:r w:rsidRPr="005D44FE">
              <w:t xml:space="preserve"> spotkania przestępcy w celach seksualnych ma miejsce w obecności lub w pobliżu dziecka, na przykład w postaci szczególnego przygotowania do popełnienia przestępstwa, usiłowania popełnienia przestępstw, o których mowa w niniejszej dyrektywie, lub szczególn</w:t>
            </w:r>
            <w:r w:rsidRPr="005D44FE">
              <w:t>ej formy niegodziwego traktowania w celach seksualnych. Bez względu na wybór rozwiązania prawnego służącego kryminalizacji nagabywania poza internetem państwa członkowskie powinny zapewnić ściganie sprawców tych przestępstw.</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5</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Motyw 24</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(24)</w:t>
            </w:r>
            <w:r w:rsidRPr="005D44FE">
              <w:tab/>
              <w:t>Niniejsza dyrektywa nie reguluje polityki państw członkowskich w zakresie c</w:t>
            </w:r>
            <w:r w:rsidRPr="005D44FE">
              <w:t>zynności seksualnych podejmowanych dobrowolnie przez dzieci, które mogą być uznawane za normalne odkrywanie seksualności w trakcie rozwoju człowieka, z uwzględnieniem różnych tradycji kulturowych i prawnych oraz nowych form nawiązywania i podtrzymywania re</w:t>
            </w:r>
            <w:r w:rsidRPr="005D44FE">
              <w:t>lacji między dziećmi i nastolatkami, w tym poprzez technologie informacyjno-</w:t>
            </w:r>
            <w:r w:rsidRPr="005D44FE">
              <w:lastRenderedPageBreak/>
              <w:t>komunikacyjne. Państwa członkowskie korzystające z możliwości, o których mowa w niniejszej dyrektywie, działają na mocy swoich uprawnień. W szczególności państwa członkowskie powin</w:t>
            </w:r>
            <w:r w:rsidRPr="005D44FE">
              <w:t xml:space="preserve">ny mieć możliwość odstąpienia od karania dobrowolnych czynności seksualnych z udziałem wyłącznie dzieci powyżej wieku przyzwolenia oraz dobrowolnych czynności seksualnych z udziałem rówieśników. Zmiany wprowadzone do tego artykułu mają na celu wyjaśnienie </w:t>
            </w:r>
            <w:r w:rsidRPr="005D44FE">
              <w:t>zakresu odstępstwa ze względu na fakt, iż niektóre państwa członkowskie miały interpretować jego pierwotne brzmienie zbyt szeroko (np. odstępując od karania dobrowolnych czynności między małoletnimi powyżej wieku przyzwolenia a osobami dorosłymi w dowolnym</w:t>
            </w:r>
            <w:r w:rsidRPr="005D44FE">
              <w:t xml:space="preserve"> wieku, uznając je za „rówieśników” pomimo znacznych różnic wiekowych).</w:t>
            </w:r>
          </w:p>
        </w:tc>
        <w:tc>
          <w:tcPr>
            <w:tcW w:w="4876" w:type="dxa"/>
            <w:hideMark/>
          </w:tcPr>
          <w:p w:rsidR="001A5111" w:rsidRPr="005D44FE" w:rsidRDefault="00075CAE" w:rsidP="00DE3A37">
            <w:pPr>
              <w:pStyle w:val="Normal6"/>
              <w:rPr>
                <w:szCs w:val="24"/>
              </w:rPr>
            </w:pPr>
            <w:r w:rsidRPr="005D44FE">
              <w:lastRenderedPageBreak/>
              <w:t>(24)</w:t>
            </w:r>
            <w:r w:rsidRPr="005D44FE">
              <w:tab/>
              <w:t xml:space="preserve">Niniejsza dyrektywa nie reguluje polityki państw członkowskich w zakresie czynności seksualnych podejmowanych dobrowolnie przez dzieci, które mogą być uznawane za normalne </w:t>
            </w:r>
            <w:r w:rsidRPr="005D44FE">
              <w:t>odkrywanie seksualności w trakcie rozwoju człowieka, z uwzględnieniem różnych tradycji kulturowych i prawnych oraz nowych form nawiązywania i podtrzymywania relacji między dziećmi i nastolatkami, w tym poprzez technologie informacyjno-</w:t>
            </w:r>
            <w:r w:rsidRPr="005D44FE">
              <w:lastRenderedPageBreak/>
              <w:t>komunikacyjne. Państw</w:t>
            </w:r>
            <w:r w:rsidRPr="005D44FE">
              <w:t xml:space="preserve">a członkowskie korzystające z możliwości, o których mowa w niniejszej dyrektywie, działają na mocy swoich uprawnień. W szczególności państwa członkowskie powinny mieć możliwość odstąpienia od karania dobrowolnych czynności seksualnych z udziałem wyłącznie </w:t>
            </w:r>
            <w:r w:rsidRPr="005D44FE">
              <w:t xml:space="preserve">dzieci powyżej wieku przyzwolenia oraz dobrowolnych czynności seksualnych z udziałem rówieśników. Zmiany wprowadzone do tego artykułu mają na celu wyjaśnienie zakresu odstępstwa ze względu na fakt, iż niektóre państwa członkowskie miały interpretować jego </w:t>
            </w:r>
            <w:r w:rsidRPr="005D44FE">
              <w:t>pierwotne brzmienie zbyt szeroko (np. odstępując od karania dobrowolnych czynności między małoletnimi powyżej wieku przyzwolenia a osobami dorosłymi w dowolnym wieku, uznając je za „rówieśników” pomimo znacznych różnic wiekowych).</w:t>
            </w:r>
            <w:r w:rsidRPr="005D44FE">
              <w:rPr>
                <w:b/>
                <w:i/>
              </w:rPr>
              <w:t xml:space="preserve"> Przepisy dotyczące wieku </w:t>
            </w:r>
            <w:r w:rsidRPr="005D44FE">
              <w:rPr>
                <w:b/>
                <w:i/>
              </w:rPr>
              <w:t>przyzwolenia nie powinny być interpretowane w sposób, który w jakikolwiek sposób ograniczałby kryminalizację niegodziwego traktowania dzieci w celach seksualnych i wykorzystywania dzieci, które osiągnęły i przekroczyły wiek przyzwolenia, ponieważ żadne dzi</w:t>
            </w:r>
            <w:r w:rsidRPr="005D44FE">
              <w:rPr>
                <w:b/>
                <w:i/>
              </w:rPr>
              <w:t>ecko nie może wyrazić zgody na niegodziwe traktowanie w celach seksualnych.</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6</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Motyw 25</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w:t>
            </w:r>
            <w:r w:rsidRPr="005D44FE">
              <w:t>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(25)</w:t>
            </w:r>
            <w:r w:rsidRPr="005D44FE">
              <w:tab/>
              <w:t xml:space="preserve">Państwa członkowskie powinny wprowadzić do swego prawa krajowego okoliczności obciążające – zgodnie z obowiązującymi przepisami dotyczącymi okoliczności obciążających istniejącymi w ich systemie prawnym. Państwa członkowskie powinny </w:t>
            </w:r>
            <w:r w:rsidRPr="005D44FE">
              <w:t xml:space="preserve">zapewnić sędziom </w:t>
            </w:r>
            <w:r w:rsidRPr="005D44FE">
              <w:lastRenderedPageBreak/>
              <w:t>skazującym sprawców możliwość uwzględniania tych okoliczności, z tym że uwzględnianie ich przez sędziów nie jest obowiązkowe. Państwa członkowskie nie powinny wprowadzać tych okoliczności obciążających do swojego prawa, jeżeli są one nieis</w:t>
            </w:r>
            <w:r w:rsidRPr="005D44FE">
              <w:t>totne ze względu na charakter danego przestępstwa. W odniesieniu do wszystkich przestępstw wymienionych w niniejszej dyrektywie należy ocenić na poziomie krajowym istotność różnych okoliczności obciążających przewidzianych w niniejszej dyrektywie.</w:t>
            </w:r>
          </w:p>
        </w:tc>
        <w:tc>
          <w:tcPr>
            <w:tcW w:w="4876" w:type="dxa"/>
            <w:hideMark/>
          </w:tcPr>
          <w:p w:rsidR="001A5111" w:rsidRPr="005D44FE" w:rsidRDefault="00075CAE">
            <w:pPr>
              <w:pStyle w:val="Normal6"/>
              <w:rPr>
                <w:szCs w:val="24"/>
              </w:rPr>
            </w:pPr>
            <w:r w:rsidRPr="005D44FE">
              <w:lastRenderedPageBreak/>
              <w:t>(25)</w:t>
            </w:r>
            <w:r w:rsidRPr="005D44FE">
              <w:tab/>
              <w:t>Pań</w:t>
            </w:r>
            <w:r w:rsidRPr="005D44FE">
              <w:t>stwa członkowskie powinny wprowadzić do swego prawa krajowego okoliczności obciążające – zgodnie z obowiązującymi przepisami dotyczącymi okoliczności obciążających istniejącymi w ich systemie prawnym</w:t>
            </w:r>
            <w:r w:rsidRPr="005D44FE">
              <w:rPr>
                <w:b/>
                <w:i/>
              </w:rPr>
              <w:t xml:space="preserve">. Wiek ofiary powinien być brany pod uwagę jako </w:t>
            </w:r>
            <w:r w:rsidRPr="005D44FE">
              <w:rPr>
                <w:b/>
                <w:i/>
              </w:rPr>
              <w:lastRenderedPageBreak/>
              <w:t>okoliczno</w:t>
            </w:r>
            <w:r w:rsidRPr="005D44FE">
              <w:rPr>
                <w:b/>
                <w:i/>
              </w:rPr>
              <w:t>ść zaostrzająca karę</w:t>
            </w:r>
            <w:r w:rsidRPr="005D44FE">
              <w:t xml:space="preserve">. Państwa członkowskie powinny zapewnić sędziom skazującym sprawców możliwość uwzględniania tych okoliczności, z tym że uwzględnianie ich przez sędziów nie jest obowiązkowe. Państwa członkowskie nie powinny wprowadzać tych okoliczności </w:t>
            </w:r>
            <w:r w:rsidRPr="005D44FE">
              <w:t>obciążających do swojego prawa, jeżeli są one nieistotne ze względu na charakter danego przestępstwa. W odniesieniu do wszystkich przestępstw wymienionych w niniejszej dyrektywie należy ocenić na poziomie krajowym istotność różnych okoliczności obciążający</w:t>
            </w:r>
            <w:r w:rsidRPr="005D44FE">
              <w:t>ch przewidzianych w niniejszej dyrektywie.</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7</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Motyw 36</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(36)</w:t>
            </w:r>
            <w:r w:rsidRPr="005D44FE">
              <w:tab/>
              <w:t>Powinny być</w:t>
            </w:r>
            <w:r w:rsidRPr="005D44FE">
              <w:t xml:space="preserve"> podejmowane środki na rzecz kompleksowej ochrony dzieci będących ofiarami w celu jak najlepszego zabezpieczenia ich interesu, z uwzględnieniem oceny ich potrzeb. Skuteczna ochrona dzieci wymaga podejścia obejmującego całe społeczeństwo. Stawiając dobro dz</w:t>
            </w:r>
            <w:r w:rsidRPr="005D44FE">
              <w:t xml:space="preserve">ieci w centrum uwagi, wszystkie właściwe organy i służby powinny współpracować w celu ochrony i wspierania dzieci w ich najlepszym interesie. Model „Barnahus” polegający na zapewnieniu przyjaznego dziecku środowiska obejmującego specjalistów ze wszystkich </w:t>
            </w:r>
            <w:r w:rsidRPr="005D44FE">
              <w:t xml:space="preserve">odpowiednich dyscyplin jest aktualnie najbardziej zaawansowanym przykładem przyjaznego dziecku podejścia do wymiaru sprawiedliwości i unikania ponownej wiktymizacji. Odpowiednie przepisy niniejszej dyrektywy opierają się na zasadach tego modelu. Model ten </w:t>
            </w:r>
            <w:r w:rsidRPr="005D44FE">
              <w:t xml:space="preserve">ma na celu zapewnienie, aby wszystkie dzieci </w:t>
            </w:r>
            <w:r w:rsidRPr="005D44FE">
              <w:lastRenderedPageBreak/>
              <w:t>biorące udział w dochodzeniach w sprawie niegodziwego traktowania dzieci lub wykorzystywania seksualnego dzieci korzystały z wysokiej jakości oceny w przyjaznym im środowisku, odpowiedniego wsparcia psychospołec</w:t>
            </w:r>
            <w:r w:rsidRPr="005D44FE">
              <w:t xml:space="preserve">znego i usług ochrony. Niniejsza dyrektywa ma na celu zapewnienie, aby wszystkie państwa członkowskie przestrzegały wspomnianych zasad, choć nie nakłada ona na państwa członkowskie obowiązku </w:t>
            </w:r>
            <w:r w:rsidRPr="005D44FE">
              <w:rPr>
                <w:b/>
                <w:i/>
              </w:rPr>
              <w:t>stosowania</w:t>
            </w:r>
            <w:r w:rsidRPr="005D44FE">
              <w:t xml:space="preserve"> modelu Barnahus jako takiego. Jeśli do celów postępowa</w:t>
            </w:r>
            <w:r w:rsidRPr="005D44FE">
              <w:t>nia przygotowawczego, na przykład zebrania dowodów niegodziwego traktowania, konieczne są badania lekarskie dziecka, takie badania nie powinny wykraczać poza niezbędne minimum, aby ograniczyć wtórną traumatyzację. Obowiązek ten nie powinien uniemożliwiać p</w:t>
            </w:r>
            <w:r w:rsidRPr="005D44FE">
              <w:t>rzeprowadzania innych badań lekarskich koniecznych dla dobra dziecka. Dzieci będące ofiarami . powinny mieć łatwy dostęp do wymiaru sprawiedliwości przyjaznego dziecku, środków ochrony prawnej oraz środków zapobiegających konfliktom interesów, w przypadkac</w:t>
            </w:r>
            <w:r w:rsidRPr="005D44FE">
              <w:t>h, w których niegodziwego traktowania w celach seksualnych lub wykorzystywania seksualnego dziecka dopuszczają się członkowie rodziny. W przypadkach gdy na czas postępowania przygotowawczego lub sądowego należy wyznaczyć specjalnego przedstawiciela dla dzi</w:t>
            </w:r>
            <w:r w:rsidRPr="005D44FE">
              <w:t>ecka będącego ofiarą, taką rolę może również odgrywać osoba prawna, instytucja lub organ. Ponadto dzieci będące ofiarami, które przedstawią swoją sprawę właściwym organom, powinny być chronione przed sankcjami wynikającymi na przykład z krajowych przepisów</w:t>
            </w:r>
            <w:r w:rsidRPr="005D44FE">
              <w:t xml:space="preserve"> dotyczących prostytucji. Poza tym uczestnictwo dzieci będących ofiarami w postępowaniu karnym nie powinno być w miarę możliwości źródłem dodatkowych traumatycznych przeżyć wynikających z przesłuchań lub kontaktu wzrokowego ze sprawcami. Przedstawiciele ws</w:t>
            </w:r>
            <w:r w:rsidRPr="005D44FE">
              <w:t xml:space="preserve">zystkich organów uczestniczących w postępowaniu powinni być przeszkoleni w zakresie </w:t>
            </w:r>
            <w:r w:rsidRPr="005D44FE">
              <w:lastRenderedPageBreak/>
              <w:t>wymiaru sprawiedliwości przyjaznego dziecku. Właściwe zrozumienie dziecka i sposobów jego reakcji na traumatyczne doświadczenia pozwoli zapewnić wysoką jakość gromadzenia m</w:t>
            </w:r>
            <w:r w:rsidRPr="005D44FE">
              <w:t>ateriałów dowodowych, a także oszczędzić dziecku stresu w trakcie prowadzenia niezbędnych czynności. Jeżeli dziecko będące ofiarą uczestniczy w postępowaniu karnym, przy prowadzeniu postępowania sąd powinien w pełni uwzględnić wiek i stopień dojrzałości dz</w:t>
            </w:r>
            <w:r w:rsidRPr="005D44FE">
              <w:t>iecka oraz dopilnować, aby postępowanie było dla niego dostępne i zrozumiałe.</w:t>
            </w:r>
          </w:p>
        </w:tc>
        <w:tc>
          <w:tcPr>
            <w:tcW w:w="4876" w:type="dxa"/>
            <w:hideMark/>
          </w:tcPr>
          <w:p w:rsidR="001A5111" w:rsidRPr="005D44FE" w:rsidRDefault="00075CAE">
            <w:pPr>
              <w:pStyle w:val="Normal6"/>
              <w:rPr>
                <w:szCs w:val="24"/>
              </w:rPr>
            </w:pPr>
            <w:r w:rsidRPr="005D44FE">
              <w:lastRenderedPageBreak/>
              <w:t>(36)</w:t>
            </w:r>
            <w:r w:rsidRPr="005D44FE">
              <w:tab/>
              <w:t>Powinny być podejmowane środki na rzecz kompleksowej ochrony dzieci będących ofiarami w celu jak najlepszego zabezpieczenia ich interesu, z uwzględnieniem oceny ich potrzeb.</w:t>
            </w:r>
            <w:r w:rsidRPr="005D44FE">
              <w:t xml:space="preserve"> Skuteczna ochrona dzieci wymaga podejścia obejmującego całe społeczeństwo. Stawiając dobro dzieci w centrum uwagi, wszystkie właściwe organy i służby powinny współpracować w celu ochrony i wspierania dzieci w ich najlepszym interesie. Model „Barnahus” pol</w:t>
            </w:r>
            <w:r w:rsidRPr="005D44FE">
              <w:t>egający na zapewnieniu przyjaznego dziecku środowiska obejmującego specjalistów ze wszystkich odpowiednich dyscyplin jest aktualnie najbardziej zaawansowanym przykładem przyjaznego dziecku podejścia do wymiaru sprawiedliwości i unikania ponownej wiktymizac</w:t>
            </w:r>
            <w:r w:rsidRPr="005D44FE">
              <w:t xml:space="preserve">ji. Odpowiednie przepisy niniejszej dyrektywy opierają się na zasadach tego modelu. Model ten ma na celu zapewnienie, aby wszystkie dzieci </w:t>
            </w:r>
            <w:r w:rsidRPr="005D44FE">
              <w:lastRenderedPageBreak/>
              <w:t>biorące udział w dochodzeniach w sprawie niegodziwego traktowania dzieci lub wykorzystywania seksualnego dzieci korzy</w:t>
            </w:r>
            <w:r w:rsidRPr="005D44FE">
              <w:t xml:space="preserve">stały z wysokiej jakości oceny w przyjaznym im środowisku, odpowiedniego wsparcia psychospołecznego i usług ochrony. Niniejsza dyrektywa ma na celu zapewnienie, aby wszystkie państwa członkowskie przestrzegały wspomnianych zasad </w:t>
            </w:r>
            <w:r w:rsidRPr="005D44FE">
              <w:rPr>
                <w:b/>
                <w:i/>
              </w:rPr>
              <w:t>ukierunkowanych na ofiary</w:t>
            </w:r>
            <w:r w:rsidRPr="005D44FE">
              <w:t xml:space="preserve">, </w:t>
            </w:r>
            <w:r w:rsidRPr="005D44FE">
              <w:t xml:space="preserve">choć nie nakłada ona na państwa członkowskie obowiązku </w:t>
            </w:r>
            <w:r w:rsidRPr="005D44FE">
              <w:rPr>
                <w:b/>
                <w:i/>
              </w:rPr>
              <w:t>wdrożenia</w:t>
            </w:r>
            <w:r w:rsidRPr="005D44FE">
              <w:t xml:space="preserve"> modelu Barnahus jako takiego. Jeśli do celów postępowania przygotowawczego, na przykład zebrania dowodów niegodziwego traktowania, konieczne są badania lekarskie dziecka, takie badania nie po</w:t>
            </w:r>
            <w:r w:rsidRPr="005D44FE">
              <w:t>winny wykraczać poza niezbędne minimum, aby ograniczyć wtórną traumatyzację. Obowiązek ten nie powinien uniemożliwiać przeprowadzania innych badań lekarskich koniecznych dla dobra dziecka. Dzieci będące ofiarami . powinny mieć łatwy dostęp do wymiaru spraw</w:t>
            </w:r>
            <w:r w:rsidRPr="005D44FE">
              <w:t xml:space="preserve">iedliwości przyjaznego dziecku, środków ochrony prawnej oraz środków zapobiegających konfliktom interesów, w przypadkach, w których niegodziwego traktowania w celach seksualnych lub wykorzystywania seksualnego dziecka dopuszczają się członkowie rodziny. W </w:t>
            </w:r>
            <w:r w:rsidRPr="005D44FE">
              <w:t>przypadkach gdy na czas postępowania przygotowawczego lub sądowego należy wyznaczyć specjalnego przedstawiciela dla dziecka będącego ofiarą, taką rolę może również odgrywać osoba prawna, instytucja lub organ. Ponadto dzieci będące ofiarami, które przedstaw</w:t>
            </w:r>
            <w:r w:rsidRPr="005D44FE">
              <w:t>ią swoją sprawę właściwym organom, powinny być chronione przed sankcjami wynikającymi na przykład z krajowych przepisów dotyczących prostytucji. Poza tym uczestnictwo dzieci będących ofiarami w postępowaniu karnym nie powinno być w miarę możliwości źródłem</w:t>
            </w:r>
            <w:r w:rsidRPr="005D44FE">
              <w:t xml:space="preserve"> dodatkowych traumatycznych przeżyć wynikających z przesłuchań lub kontaktu wzrokowego ze sprawcami. Przedstawiciele wszystkich organów uczestniczących w postępowaniu powinni być przeszkoleni w zakresie </w:t>
            </w:r>
            <w:r w:rsidRPr="005D44FE">
              <w:lastRenderedPageBreak/>
              <w:t>wymiaru sprawiedliwości przyjaznego dziecku. Właściwe</w:t>
            </w:r>
            <w:r w:rsidRPr="005D44FE">
              <w:t xml:space="preserve"> zrozumienie dziecka i sposobów jego reakcji na traumatyczne doświadczenia pozwoli zapewnić wysoką jakość gromadzenia materiałów dowodowych, a także oszczędzić dziecku stresu w trakcie prowadzenia niezbędnych czynności. Jeżeli dziecko będące ofiarą uczestn</w:t>
            </w:r>
            <w:r w:rsidRPr="005D44FE">
              <w:t>iczy w postępowaniu karnym, przy prowadzeniu postępowania sąd powinien w pełni uwzględnić wiek i stopień dojrzałości dziecka oraz dopilnować, aby postępowanie było dla niego dostępne i zrozumiałe.</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8</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Motyw 40</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(40)</w:t>
            </w:r>
            <w:r w:rsidRPr="005D44FE">
              <w:tab/>
              <w:t xml:space="preserve">Unijne Centrum ds. </w:t>
            </w:r>
            <w:r w:rsidRPr="005D44FE">
              <w:rPr>
                <w:b/>
                <w:i/>
              </w:rPr>
              <w:t>Zapobiegania Niegodziwemu Traktowaniu</w:t>
            </w:r>
            <w:r w:rsidRPr="005D44FE">
              <w:t xml:space="preserve"> Dzieci </w:t>
            </w:r>
            <w:r w:rsidRPr="005D44FE">
              <w:rPr>
                <w:b/>
                <w:i/>
              </w:rPr>
              <w:t>w Celach Seksualnych i Jego Zwalczania</w:t>
            </w:r>
            <w:r w:rsidRPr="005D44FE">
              <w:t xml:space="preserve"> („Unijne Centrum”), ustanowione rozporządzeniem [.../.../UE ustanawiającym przepisy mające na celu zapobieganie niegodziwemu traktowaniu dzieci w celach seksualnych i jego zwalczanie]</w:t>
            </w:r>
            <w:r w:rsidRPr="005D44FE">
              <w:rPr>
                <w:vertAlign w:val="superscript"/>
              </w:rPr>
              <w:t>16</w:t>
            </w:r>
            <w:r w:rsidRPr="005D44FE">
              <w:t>, powinno wspierać realizację działań i zobowiązań państw członkowskic</w:t>
            </w:r>
            <w:r w:rsidRPr="005D44FE">
              <w:t>h w zakresie zapobiegania przestępstwom i udzielania pomocy ofiarom wynikających z niniejszej dyrektywy. Powinno też ułatwiać wymianę najlepszych praktyk w Unii i poza nią. Unijne Centrum powinno zachęcać do dialogu między wszystkimi odpowiednimi zainteres</w:t>
            </w:r>
            <w:r w:rsidRPr="005D44FE">
              <w:t xml:space="preserve">owanymi stronami, aby pomóc w opracowaniu nowoczesnych programów zapobiegawczych. Współpracując z państwami członkowskimi i przyczyniając się do standaryzacji gromadzenia danych dotyczących niegodziwego traktowania dzieci w celach seksualnych i </w:t>
            </w:r>
            <w:r w:rsidRPr="005D44FE">
              <w:lastRenderedPageBreak/>
              <w:t>wykorzystyw</w:t>
            </w:r>
            <w:r w:rsidRPr="005D44FE">
              <w:t>ania seksualnego dzieci w całej Unii, Unijne Centrum powinno także ułatwiać prowadzenie opartej na dowodach polityki zarówno w zakresie zapobiegania przestępstwom, jak i pomocy ofiarom. Państwa członkowskie powinny ustanowić organy krajowe lub podmioty rów</w:t>
            </w:r>
            <w:r w:rsidRPr="005D44FE">
              <w:t>noważne, które uznają za najwłaściwsze pod kątem ich organizacji wewnętrznej, uwzględniając fakt, że potrzebna jest minimalna struktura realizująca określone zadania, zdolna do analizowania tendencji w zakresie niegodziwego traktowania dzieci w celach seks</w:t>
            </w:r>
            <w:r w:rsidRPr="005D44FE">
              <w:t>ualnych, gromadzenia danych statystycznych, mierzenia wyników działań mających na celu zapobieganie niegodziwemu traktowaniu dzieci w celach seksualnych i jego zwalczanie oraz do przekazywania regularnie informacji o takich tendencjach, statystykach i wyni</w:t>
            </w:r>
            <w:r w:rsidRPr="005D44FE">
              <w:t>kach. Takie organy krajowe powinny pełnić funkcję krajowego punktu kontaktowego i przyjąć w swoich pracach integracyjne podejście angażujące wiele zainteresowanych stron. Państwa członkowskie powinny ponadto ustanowić na szczeblu krajowym niezbędne mechani</w:t>
            </w:r>
            <w:r w:rsidRPr="005D44FE">
              <w:t>zmy służące zapewnieniu skutecznej koordynacji i współpracy wszystkich właściwych podmiotów publicznych i prywatnych w zakresie opracowywania i wdrażania środków zapobiegania niegodziwemu traktowaniu dzieci w celach seksualnych i wykorzystywaniu seksualnem</w:t>
            </w:r>
            <w:r w:rsidRPr="005D44FE">
              <w:t>u dzieci, zarówno w internecie, jak i poza nim, oraz zwalczania tych zjawisk; powinny też ułatwiać współpracę z Unijnym Centrum i Komisją.</w:t>
            </w:r>
          </w:p>
        </w:tc>
        <w:tc>
          <w:tcPr>
            <w:tcW w:w="4876" w:type="dxa"/>
            <w:hideMark/>
          </w:tcPr>
          <w:p w:rsidR="001A5111" w:rsidRPr="005D44FE" w:rsidRDefault="00075CAE" w:rsidP="00DE3A37">
            <w:pPr>
              <w:pStyle w:val="Normal6"/>
              <w:rPr>
                <w:szCs w:val="24"/>
              </w:rPr>
            </w:pPr>
            <w:r w:rsidRPr="005D44FE">
              <w:lastRenderedPageBreak/>
              <w:t>(40)</w:t>
            </w:r>
            <w:r w:rsidRPr="005D44FE">
              <w:tab/>
              <w:t xml:space="preserve">Unijne Centrum ds. </w:t>
            </w:r>
            <w:r w:rsidRPr="005D44FE">
              <w:rPr>
                <w:b/>
                <w:i/>
              </w:rPr>
              <w:t>Ochrony</w:t>
            </w:r>
            <w:r w:rsidRPr="005D44FE">
              <w:t xml:space="preserve"> Dzieci („Unijne Centrum”), ustanowione rozporządzeniem [.../.../UE ustanawiającym prz</w:t>
            </w:r>
            <w:r w:rsidRPr="005D44FE">
              <w:t>episy mające na celu zapobieganie niegodziwemu traktowaniu dzieci w celach seksualnych i jego zwalczanie]</w:t>
            </w:r>
            <w:r w:rsidRPr="005D44FE">
              <w:rPr>
                <w:vertAlign w:val="superscript"/>
              </w:rPr>
              <w:t>16</w:t>
            </w:r>
            <w:r w:rsidRPr="005D44FE">
              <w:t>, powinno wspierać realizację działań i zobowiązań państw członkowskich w zakresie zapobiegania przestępstwom i udzielania pomocy ofiarom wynikającyc</w:t>
            </w:r>
            <w:r w:rsidRPr="005D44FE">
              <w:t>h z niniejszej dyrektywy.</w:t>
            </w:r>
            <w:r w:rsidRPr="005D44FE">
              <w:rPr>
                <w:b/>
                <w:i/>
              </w:rPr>
              <w:t xml:space="preserve"> Ustanowienie tych przepisów i powołanie bez zbędnej zwłoki Unijnego Centrum ma ogromne znaczenie dla usprawnienia i zwiększenia wielorakich wysiłków na rzecz zapobiegania niegodziwemu traktowaniu dzieci w celach seksualnych i jego</w:t>
            </w:r>
            <w:r w:rsidRPr="005D44FE">
              <w:rPr>
                <w:b/>
                <w:i/>
              </w:rPr>
              <w:t xml:space="preserve"> zwalczania w całej Unii.</w:t>
            </w:r>
            <w:r w:rsidRPr="005D44FE">
              <w:t xml:space="preserve"> Powinno też ułatwiać wymianę najlepszych praktyk w Unii i poza nią. Unijne Centrum powinno zachęcać do dialogu między wszystkimi odpowiednimi zainteresowanymi stronami, aby pomóc w opracowaniu nowoczesnych programów </w:t>
            </w:r>
            <w:r w:rsidRPr="005D44FE">
              <w:lastRenderedPageBreak/>
              <w:t>zapobiegawczyc</w:t>
            </w:r>
            <w:r w:rsidRPr="005D44FE">
              <w:t>h. Współpracując z państwami członkowskimi i przyczyniając się do standaryzacji gromadzenia danych dotyczących niegodziwego traktowania dzieci w celach seksualnych i wykorzystywania seksualnego dzieci w całej Unii, Unijne Centrum powinno także ułatwiać pro</w:t>
            </w:r>
            <w:r w:rsidRPr="005D44FE">
              <w:t>wadzenie opartej na dowodach polityki zarówno w zakresie zapobiegania przestępstwom, jak i pomocy ofiarom. Państwa członkowskie powinny ustanowić organy krajowe lub podmioty równoważne, które uznają za najwłaściwsze pod kątem ich organizacji wewnętrznej, u</w:t>
            </w:r>
            <w:r w:rsidRPr="005D44FE">
              <w:t xml:space="preserve">względniając fakt, że potrzebna jest minimalna struktura realizująca określone zadania, zdolna do analizowania tendencji w zakresie niegodziwego traktowania dzieci w celach seksualnych, gromadzenia danych statystycznych, mierzenia wyników działań mających </w:t>
            </w:r>
            <w:r w:rsidRPr="005D44FE">
              <w:t>na celu zapobieganie niegodziwemu traktowaniu dzieci w celach seksualnych i jego zwalczanie oraz do przekazywania regularnie informacji o takich tendencjach, statystykach i wynikach. Takie organy krajowe powinny pełnić funkcję krajowego punktu kontaktowego</w:t>
            </w:r>
            <w:r w:rsidRPr="005D44FE">
              <w:t xml:space="preserve"> i przyjąć w swoich pracach integracyjne podejście angażujące wiele zainteresowanych stron. Państwa członkowskie powinny ponadto ustanowić na szczeblu krajowym niezbędne mechanizmy służące zapewnieniu skutecznej koordynacji i współpracy wszystkich właściwy</w:t>
            </w:r>
            <w:r w:rsidRPr="005D44FE">
              <w:t>ch podmiotów publicznych i prywatnych w zakresie opracowywania i wdrażania środków zapobiegania niegodziwemu traktowaniu dzieci w celach seksualnych i wykorzystywaniu seksualnemu dzieci, zarówno w internecie, jak i poza nim, oraz zwalczania tych zjawisk; p</w:t>
            </w:r>
            <w:r w:rsidRPr="005D44FE">
              <w:t>owinny też ułatwiać współpracę z Unijnym Centrum i Komisją.</w:t>
            </w:r>
          </w:p>
        </w:tc>
      </w:tr>
      <w:tr w:rsidR="00E6526B" w:rsidRPr="005D44FE" w:rsidTr="001A5111">
        <w:trPr>
          <w:jc w:val="center"/>
        </w:trPr>
        <w:tc>
          <w:tcPr>
            <w:tcW w:w="4876" w:type="dxa"/>
            <w:hideMark/>
          </w:tcPr>
          <w:p w:rsidR="001A5111" w:rsidRPr="005D44FE" w:rsidRDefault="00075CAE">
            <w:pPr>
              <w:pStyle w:val="Normal6"/>
            </w:pPr>
            <w:r w:rsidRPr="005D44FE">
              <w:lastRenderedPageBreak/>
              <w:t>__________________</w:t>
            </w:r>
          </w:p>
        </w:tc>
        <w:tc>
          <w:tcPr>
            <w:tcW w:w="4876" w:type="dxa"/>
            <w:hideMark/>
          </w:tcPr>
          <w:p w:rsidR="001A5111" w:rsidRPr="005D44FE" w:rsidRDefault="00075CAE">
            <w:pPr>
              <w:pStyle w:val="Normal6"/>
              <w:rPr>
                <w:szCs w:val="24"/>
              </w:rPr>
            </w:pPr>
            <w:r w:rsidRPr="005D44FE">
              <w:t>__________________</w:t>
            </w:r>
          </w:p>
        </w:tc>
      </w:tr>
      <w:tr w:rsidR="00E6526B" w:rsidRPr="005D44FE" w:rsidTr="001A5111">
        <w:trPr>
          <w:jc w:val="center"/>
        </w:trPr>
        <w:tc>
          <w:tcPr>
            <w:tcW w:w="4876" w:type="dxa"/>
            <w:hideMark/>
          </w:tcPr>
          <w:p w:rsidR="001A5111" w:rsidRPr="005D44FE" w:rsidRDefault="00075CAE">
            <w:pPr>
              <w:pStyle w:val="Normal6"/>
            </w:pPr>
            <w:r w:rsidRPr="005D44FE">
              <w:rPr>
                <w:vertAlign w:val="superscript"/>
              </w:rPr>
              <w:t>16</w:t>
            </w:r>
            <w:r w:rsidRPr="005D44FE">
              <w:t xml:space="preserve"> COM (2022) 209 z 11.5.2022.</w:t>
            </w:r>
          </w:p>
        </w:tc>
        <w:tc>
          <w:tcPr>
            <w:tcW w:w="4876" w:type="dxa"/>
            <w:hideMark/>
          </w:tcPr>
          <w:p w:rsidR="001A5111" w:rsidRPr="005D44FE" w:rsidRDefault="00075CAE">
            <w:pPr>
              <w:pStyle w:val="Normal6"/>
              <w:rPr>
                <w:szCs w:val="24"/>
              </w:rPr>
            </w:pPr>
            <w:r w:rsidRPr="005D44FE">
              <w:rPr>
                <w:vertAlign w:val="superscript"/>
              </w:rPr>
              <w:t>16</w:t>
            </w:r>
            <w:r w:rsidRPr="005D44FE">
              <w:t xml:space="preserve"> COM (2022) 209 z 11.5.2022.</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lastRenderedPageBreak/>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9</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 xml:space="preserve">Wniosek </w:t>
      </w:r>
      <w:r w:rsidRPr="005D44FE">
        <w:t>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Motyw 40 a (nowy)</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tcPr>
          <w:p w:rsidR="001A5111" w:rsidRPr="005D44FE" w:rsidRDefault="001A5111">
            <w:pPr>
              <w:pStyle w:val="Normal6"/>
            </w:pPr>
          </w:p>
        </w:tc>
        <w:tc>
          <w:tcPr>
            <w:tcW w:w="4876" w:type="dxa"/>
            <w:hideMark/>
          </w:tcPr>
          <w:p w:rsidR="001A5111" w:rsidRPr="005D44FE" w:rsidRDefault="00075CAE" w:rsidP="004415EC">
            <w:pPr>
              <w:pStyle w:val="Normal6"/>
              <w:rPr>
                <w:szCs w:val="24"/>
              </w:rPr>
            </w:pPr>
            <w:r w:rsidRPr="005D44FE">
              <w:rPr>
                <w:b/>
                <w:i/>
              </w:rPr>
              <w:t>(40a)</w:t>
            </w:r>
            <w:r w:rsidRPr="005D44FE">
              <w:rPr>
                <w:b/>
                <w:i/>
              </w:rPr>
              <w:tab/>
              <w:t xml:space="preserve">Istotne jest, aby państwa członkowskie tworzyły multidyscyplinarne struktury w celu łączenia wiedzy specjalistycznej organów ścigania, </w:t>
            </w:r>
            <w:r w:rsidRPr="005D44FE">
              <w:rPr>
                <w:b/>
                <w:i/>
              </w:rPr>
              <w:t>organów ds. ochrony dzieci, pracowników służby zdrowia, wychowawców i specjalistów w zakresie zdrowia psychicznego. Struktury te powinny być przystosowane do radzenia sobie ze złożonymi aspektami wykorzystywania w internecie i powinny obejmować szybkie i s</w:t>
            </w:r>
            <w:r w:rsidRPr="005D44FE">
              <w:rPr>
                <w:b/>
                <w:i/>
              </w:rPr>
              <w:t>koordynowane reakcje w celu identyfikacji przestępców, prowadzenia przeciwko nim postępowań przygotowawczych i ich ścigania, przy jednoczesnej ochronie dobra ofiar. Struktury te, które powinny opierać się na modelu Barnahus, należy wspierać poprzez szeroko</w:t>
            </w:r>
            <w:r w:rsidRPr="005D44FE">
              <w:rPr>
                <w:b/>
                <w:i/>
              </w:rPr>
              <w:t xml:space="preserve"> zakrojone szkolenia, edukację i rozwój zawodowy personelu i powinny one ułatwiać tworzenie fizycznych ośrodków wsparcia. Powinny one umożliwiać ofiarom leczenie i udział w postępowaniu karnym pod jednym dachem bez ryzyka ponownej traumatyzacji. Struktury </w:t>
            </w:r>
            <w:r w:rsidRPr="005D44FE">
              <w:rPr>
                <w:b/>
                <w:i/>
              </w:rPr>
              <w:t>te są najbardziej efektywnym podejściem do wspierania dzieci będących ofiarami wykorzystywania ze względu na swój holistyczny, skoncentrowany na dziecku i multidyscyplinarny charakter. Propagowanie standardów modelu Barnahus ma zasadnicze znaczenie dla zap</w:t>
            </w:r>
            <w:r w:rsidRPr="005D44FE">
              <w:rPr>
                <w:b/>
                <w:i/>
              </w:rPr>
              <w:t xml:space="preserve">ewnienia dobrostanu i praw pokrzywdzonych dzieci. Aby usprawnić zgłaszanie, należy zachęcać państwa członkowskie, aby dywersyfikowały mechanizmy zgłaszania, z uwzględnieniem różnorodnych i zmieniających się przejawów przestępstw oraz potrzeb i szczególnej </w:t>
            </w:r>
            <w:r w:rsidRPr="005D44FE">
              <w:rPr>
                <w:b/>
                <w:i/>
              </w:rPr>
              <w:t xml:space="preserve">podatności </w:t>
            </w:r>
            <w:r w:rsidRPr="005D44FE">
              <w:rPr>
                <w:b/>
                <w:i/>
              </w:rPr>
              <w:lastRenderedPageBreak/>
              <w:t>dziecka na zagrożenia.</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10</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Motyw 43 a (nowy)</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tcPr>
          <w:p w:rsidR="001A5111" w:rsidRPr="005D44FE" w:rsidRDefault="001A5111">
            <w:pPr>
              <w:pStyle w:val="Normal6"/>
            </w:pPr>
          </w:p>
        </w:tc>
        <w:tc>
          <w:tcPr>
            <w:tcW w:w="4876" w:type="dxa"/>
            <w:hideMark/>
          </w:tcPr>
          <w:p w:rsidR="001A5111" w:rsidRPr="005D44FE" w:rsidRDefault="00075CAE" w:rsidP="00CE1B4E">
            <w:pPr>
              <w:pStyle w:val="Normal6"/>
              <w:rPr>
                <w:szCs w:val="24"/>
              </w:rPr>
            </w:pPr>
            <w:r w:rsidRPr="005D44FE">
              <w:rPr>
                <w:b/>
                <w:i/>
              </w:rPr>
              <w:t>(43a)</w:t>
            </w:r>
            <w:r w:rsidRPr="005D44FE">
              <w:rPr>
                <w:b/>
                <w:i/>
              </w:rPr>
              <w:tab/>
              <w:t xml:space="preserve">Państwa </w:t>
            </w:r>
            <w:r w:rsidRPr="005D44FE">
              <w:rPr>
                <w:b/>
                <w:i/>
              </w:rPr>
              <w:t>członkowskie powinny zapewniać, aby organy ścigania bez zbędnej zwłoki wszczynały postępowania przygotowawcze w sprawie prób nagabywania dzieci w celach seksualnych oraz aby dzieci będące ofiarami takich prób nagabywania były skutecznie kierowane do odpowi</w:t>
            </w:r>
            <w:r w:rsidRPr="005D44FE">
              <w:rPr>
                <w:b/>
                <w:i/>
              </w:rPr>
              <w:t>ednich służb wsparcia w celu uzyskania pomocy i ochrony.</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11</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3 – ustęp 4 – akapit 1 a (nowy)</w:t>
      </w:r>
      <w:r w:rsidRPr="005D44F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4D79E5">
        <w:trPr>
          <w:jc w:val="center"/>
        </w:trPr>
        <w:tc>
          <w:tcPr>
            <w:tcW w:w="9752" w:type="dxa"/>
            <w:gridSpan w:val="2"/>
          </w:tcPr>
          <w:p w:rsidR="001A5111" w:rsidRPr="005D44FE" w:rsidRDefault="001A5111">
            <w:pPr>
              <w:keepNext/>
            </w:pPr>
          </w:p>
        </w:tc>
      </w:tr>
      <w:tr w:rsidR="00E6526B" w:rsidRPr="005D44FE" w:rsidTr="004D79E5">
        <w:trPr>
          <w:jc w:val="center"/>
        </w:trPr>
        <w:tc>
          <w:tcPr>
            <w:tcW w:w="4876" w:type="dxa"/>
            <w:hideMark/>
          </w:tcPr>
          <w:p w:rsidR="001A5111" w:rsidRPr="005D44FE" w:rsidRDefault="00075CAE">
            <w:pPr>
              <w:pStyle w:val="ColumnHeading"/>
              <w:keepNext/>
            </w:pPr>
            <w:r w:rsidRPr="005D44FE">
              <w:t xml:space="preserve">Tekst </w:t>
            </w:r>
            <w:r w:rsidRPr="005D44FE">
              <w:t>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4D79E5">
        <w:trPr>
          <w:jc w:val="center"/>
        </w:trPr>
        <w:tc>
          <w:tcPr>
            <w:tcW w:w="4876" w:type="dxa"/>
          </w:tcPr>
          <w:p w:rsidR="001A5111" w:rsidRPr="005D44FE" w:rsidRDefault="001A5111">
            <w:pPr>
              <w:pStyle w:val="Normal6"/>
            </w:pPr>
          </w:p>
        </w:tc>
        <w:tc>
          <w:tcPr>
            <w:tcW w:w="4876" w:type="dxa"/>
            <w:hideMark/>
          </w:tcPr>
          <w:p w:rsidR="001A5111" w:rsidRPr="005D44FE" w:rsidRDefault="00075CAE" w:rsidP="00CE1B4E">
            <w:pPr>
              <w:pStyle w:val="Normal6"/>
              <w:rPr>
                <w:szCs w:val="24"/>
              </w:rPr>
            </w:pPr>
            <w:r w:rsidRPr="005D44FE">
              <w:rPr>
                <w:b/>
                <w:i/>
              </w:rPr>
              <w:t xml:space="preserve">Czyn, o którym mowa w akapicie pierwszym, podlega sankcji karnej w maksymalnym wymiarze co najmniej ośmiu lat pozbawienia wolności w przypadku, gdy dziecko przekroczyło wiek przyzwolenia oraz: </w:t>
            </w:r>
          </w:p>
        </w:tc>
      </w:tr>
      <w:tr w:rsidR="00E6526B" w:rsidRPr="005D44FE" w:rsidTr="004D79E5">
        <w:trPr>
          <w:jc w:val="center"/>
        </w:trPr>
        <w:tc>
          <w:tcPr>
            <w:tcW w:w="4876" w:type="dxa"/>
          </w:tcPr>
          <w:p w:rsidR="001A5111" w:rsidRPr="005D44FE" w:rsidRDefault="001A5111">
            <w:pPr>
              <w:pStyle w:val="Normal6"/>
            </w:pPr>
          </w:p>
        </w:tc>
        <w:tc>
          <w:tcPr>
            <w:tcW w:w="4876" w:type="dxa"/>
            <w:hideMark/>
          </w:tcPr>
          <w:p w:rsidR="001A5111" w:rsidRPr="005D44FE" w:rsidRDefault="00075CAE" w:rsidP="00CE1B4E">
            <w:pPr>
              <w:pStyle w:val="Normal6"/>
              <w:rPr>
                <w:szCs w:val="24"/>
              </w:rPr>
            </w:pPr>
            <w:r w:rsidRPr="005D44FE">
              <w:rPr>
                <w:b/>
                <w:i/>
              </w:rPr>
              <w:t xml:space="preserve">a) nie wyraża zgody na </w:t>
            </w:r>
            <w:r w:rsidRPr="005D44FE">
              <w:rPr>
                <w:b/>
                <w:i/>
              </w:rPr>
              <w:t>czyn z rówieśnikiem; lub</w:t>
            </w:r>
          </w:p>
        </w:tc>
      </w:tr>
      <w:tr w:rsidR="00E6526B" w:rsidRPr="005D44FE" w:rsidTr="004D79E5">
        <w:trPr>
          <w:jc w:val="center"/>
        </w:trPr>
        <w:tc>
          <w:tcPr>
            <w:tcW w:w="4876" w:type="dxa"/>
          </w:tcPr>
          <w:p w:rsidR="001A5111" w:rsidRPr="005D44FE" w:rsidRDefault="001A5111">
            <w:pPr>
              <w:pStyle w:val="Normal6"/>
            </w:pPr>
          </w:p>
        </w:tc>
        <w:tc>
          <w:tcPr>
            <w:tcW w:w="4876" w:type="dxa"/>
            <w:hideMark/>
          </w:tcPr>
          <w:p w:rsidR="001A5111" w:rsidRPr="005D44FE" w:rsidRDefault="00075CAE">
            <w:pPr>
              <w:pStyle w:val="Normal6"/>
              <w:rPr>
                <w:szCs w:val="24"/>
              </w:rPr>
            </w:pPr>
            <w:r w:rsidRPr="005D44FE">
              <w:rPr>
                <w:b/>
                <w:i/>
              </w:rPr>
              <w:t>b) zostało doprowadzone do podjęcia czynności seksualnych z osobą, która nie jest jego rówieśnikiem.</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lastRenderedPageBreak/>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12</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3 – ustęp 8</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8.</w:t>
            </w:r>
            <w:r w:rsidRPr="005D44FE">
              <w:tab/>
              <w:t xml:space="preserve">W przypadku gdy dziecko przekroczyło wiek przyzwolenia i nie wyraża zgody na czynność, czyny, o których mowa w ust. 7, podlegają sankcji karnej w maksymalnym wymiarze co </w:t>
            </w:r>
            <w:r w:rsidRPr="005D44FE">
              <w:t xml:space="preserve">najmniej </w:t>
            </w:r>
            <w:r w:rsidRPr="005D44FE">
              <w:rPr>
                <w:b/>
                <w:i/>
              </w:rPr>
              <w:t>10</w:t>
            </w:r>
            <w:r w:rsidRPr="005D44FE">
              <w:t xml:space="preserve"> lat pozbawienia wolności.</w:t>
            </w:r>
          </w:p>
        </w:tc>
        <w:tc>
          <w:tcPr>
            <w:tcW w:w="4876" w:type="dxa"/>
            <w:hideMark/>
          </w:tcPr>
          <w:p w:rsidR="001A5111" w:rsidRPr="005D44FE" w:rsidRDefault="00075CAE">
            <w:pPr>
              <w:pStyle w:val="Normal6"/>
              <w:rPr>
                <w:szCs w:val="24"/>
              </w:rPr>
            </w:pPr>
            <w:r w:rsidRPr="005D44FE">
              <w:t>8.</w:t>
            </w:r>
            <w:r w:rsidRPr="005D44FE">
              <w:tab/>
              <w:t xml:space="preserve">W przypadku gdy dziecko przekroczyło wiek przyzwolenia i nie wyraża zgody na czynność, czyny, o których mowa w ust. 7, podlegają sankcji karnej w maksymalnym wymiarze co najmniej </w:t>
            </w:r>
            <w:r w:rsidRPr="005D44FE">
              <w:rPr>
                <w:b/>
                <w:i/>
              </w:rPr>
              <w:t>12</w:t>
            </w:r>
            <w:r w:rsidRPr="005D44FE">
              <w:t xml:space="preserve"> lat pozbawienia wolności.</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13</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3 – ustęp 9 – wprowadzenie</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9.</w:t>
            </w:r>
            <w:r w:rsidRPr="005D44FE">
              <w:tab/>
              <w:t xml:space="preserve">Do celów ust. 8 państwa </w:t>
            </w:r>
            <w:r w:rsidRPr="005D44FE">
              <w:t>członkowskie zapewniają, aby:</w:t>
            </w:r>
          </w:p>
        </w:tc>
        <w:tc>
          <w:tcPr>
            <w:tcW w:w="4876" w:type="dxa"/>
            <w:hideMark/>
          </w:tcPr>
          <w:p w:rsidR="001A5111" w:rsidRPr="005D44FE" w:rsidRDefault="00075CAE">
            <w:pPr>
              <w:pStyle w:val="Normal6"/>
              <w:rPr>
                <w:szCs w:val="24"/>
              </w:rPr>
            </w:pPr>
            <w:r w:rsidRPr="005D44FE">
              <w:t>9.</w:t>
            </w:r>
            <w:r w:rsidRPr="005D44FE">
              <w:tab/>
              <w:t xml:space="preserve">Do celów ust. </w:t>
            </w:r>
            <w:r w:rsidRPr="005D44FE">
              <w:rPr>
                <w:b/>
                <w:i/>
              </w:rPr>
              <w:t>4 i</w:t>
            </w:r>
            <w:r w:rsidRPr="005D44FE">
              <w:t xml:space="preserve"> 8 państwa członkowskie zapewniają, aby:</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14</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 xml:space="preserve">Artykuł 5 – ustęp 8 – </w:t>
      </w:r>
      <w:r w:rsidRPr="005D44FE">
        <w:t>wprowadzenie</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8.</w:t>
            </w:r>
            <w:r w:rsidRPr="005D44FE">
              <w:tab/>
              <w:t>Państwa członkowskie zapewniają</w:t>
            </w:r>
            <w:r w:rsidRPr="005D44FE">
              <w:rPr>
                <w:b/>
                <w:i/>
              </w:rPr>
              <w:t>, aby upoważnienia</w:t>
            </w:r>
            <w:r w:rsidRPr="005D44FE">
              <w:t xml:space="preserve"> dla organizacji działających w interesie publicznym przeciwko niegodziwemu traktowaniu dzieci w celach seksualnych, o których to </w:t>
            </w:r>
            <w:r w:rsidRPr="005D44FE">
              <w:rPr>
                <w:b/>
                <w:i/>
              </w:rPr>
              <w:t>upoważnieniach</w:t>
            </w:r>
            <w:r w:rsidRPr="005D44FE">
              <w:t xml:space="preserve"> mowa w ust. 7, uprawniały do realizacji </w:t>
            </w:r>
            <w:r w:rsidRPr="005D44FE">
              <w:rPr>
                <w:b/>
                <w:i/>
              </w:rPr>
              <w:t>niektórych lub</w:t>
            </w:r>
            <w:r w:rsidRPr="005D44FE">
              <w:t xml:space="preserve"> wszystkich następujących działań:</w:t>
            </w:r>
          </w:p>
        </w:tc>
        <w:tc>
          <w:tcPr>
            <w:tcW w:w="4876" w:type="dxa"/>
            <w:hideMark/>
          </w:tcPr>
          <w:p w:rsidR="001A5111" w:rsidRPr="005D44FE" w:rsidRDefault="00075CAE" w:rsidP="00CE1B4E">
            <w:pPr>
              <w:pStyle w:val="Normal6"/>
              <w:rPr>
                <w:szCs w:val="24"/>
              </w:rPr>
            </w:pPr>
            <w:r w:rsidRPr="005D44FE">
              <w:t>8.</w:t>
            </w:r>
            <w:r w:rsidRPr="005D44FE">
              <w:tab/>
              <w:t xml:space="preserve">Państwa członkowskie zapewniają </w:t>
            </w:r>
            <w:r w:rsidRPr="005D44FE">
              <w:rPr>
                <w:b/>
                <w:i/>
              </w:rPr>
              <w:t>ramy prawne</w:t>
            </w:r>
            <w:r w:rsidRPr="005D44FE">
              <w:t xml:space="preserve"> dla organizacji działających w interesie publicznym przeciwko niegodziwemu traktowaniu dzieci w celach se</w:t>
            </w:r>
            <w:r w:rsidRPr="005D44FE">
              <w:t xml:space="preserve">ksualnych, o których to </w:t>
            </w:r>
            <w:r w:rsidRPr="005D44FE">
              <w:rPr>
                <w:b/>
                <w:i/>
              </w:rPr>
              <w:t>organizacjach</w:t>
            </w:r>
            <w:r w:rsidRPr="005D44FE">
              <w:t xml:space="preserve"> mowa w ust. 7, </w:t>
            </w:r>
            <w:r w:rsidRPr="005D44FE">
              <w:rPr>
                <w:b/>
                <w:i/>
              </w:rPr>
              <w:t>w celu ujednolicenia ich roli i kompetencji oraz zapewnienia, aby upoważnienia dla takich organizacji</w:t>
            </w:r>
            <w:r w:rsidRPr="005D44FE">
              <w:t xml:space="preserve"> uprawniały do realizacji wszystkich </w:t>
            </w:r>
            <w:r w:rsidRPr="005D44FE">
              <w:lastRenderedPageBreak/>
              <w:t>następujących działań:</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15</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5 – ustęp 8 – litera d a (nowa)</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tcPr>
          <w:p w:rsidR="001A5111" w:rsidRPr="005D44FE" w:rsidRDefault="001A5111">
            <w:pPr>
              <w:pStyle w:val="Normal6"/>
            </w:pPr>
          </w:p>
        </w:tc>
        <w:tc>
          <w:tcPr>
            <w:tcW w:w="4876" w:type="dxa"/>
            <w:hideMark/>
          </w:tcPr>
          <w:p w:rsidR="001A5111" w:rsidRPr="005D44FE" w:rsidRDefault="00075CAE" w:rsidP="00CE1B4E">
            <w:pPr>
              <w:pStyle w:val="Normal6"/>
              <w:rPr>
                <w:szCs w:val="24"/>
              </w:rPr>
            </w:pPr>
            <w:r w:rsidRPr="005D44FE">
              <w:rPr>
                <w:b/>
                <w:i/>
              </w:rPr>
              <w:t>da)</w:t>
            </w:r>
            <w:r w:rsidRPr="005D44FE">
              <w:rPr>
                <w:b/>
                <w:i/>
              </w:rPr>
              <w:tab/>
              <w:t xml:space="preserve">bezpośrednia współpraca z krajowymi dostawcami usług dotycząca </w:t>
            </w:r>
            <w:r w:rsidRPr="005D44FE">
              <w:rPr>
                <w:b/>
                <w:i/>
              </w:rPr>
              <w:t>procedur powiadamiania i usuwania, za zgodą właściwego krajowego organu ścigania.</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16</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6 – ustęp 1 – litera a</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a)</w:t>
            </w:r>
            <w:r w:rsidRPr="005D44FE">
              <w:tab/>
              <w:t xml:space="preserve">proponowanie za pośrednictwem technologii informacyjno-komunikacyjnych dziecku spotkania online lub w rzeczywistości, w celu popełnienia któregokolwiek z przestępstw, o których mowa w art. 3 ust. </w:t>
            </w:r>
            <w:r w:rsidRPr="005D44FE">
              <w:t>4 , 5, 6 i 7 i art. 5 ust. 6, jeżeli następstwem tej propozycji były czyny służące doprowadzeniu do takiego spotkania, podlega sankcji karnej w maksymalnym wymiarze co najmniej roku pozbawienia wolności;</w:t>
            </w:r>
          </w:p>
        </w:tc>
        <w:tc>
          <w:tcPr>
            <w:tcW w:w="4876" w:type="dxa"/>
            <w:hideMark/>
          </w:tcPr>
          <w:p w:rsidR="001A5111" w:rsidRPr="005D44FE" w:rsidRDefault="00075CAE">
            <w:pPr>
              <w:pStyle w:val="Normal6"/>
              <w:rPr>
                <w:szCs w:val="24"/>
              </w:rPr>
            </w:pPr>
            <w:r w:rsidRPr="005D44FE">
              <w:t>a)</w:t>
            </w:r>
            <w:r w:rsidRPr="005D44FE">
              <w:tab/>
              <w:t>proponowanie za pośrednictwem technologii informa</w:t>
            </w:r>
            <w:r w:rsidRPr="005D44FE">
              <w:t>cyjno-komunikacyjnych dziecku spotkania online lub w rzeczywistości, w celu popełnienia któregokolwiek z przestępstw, o których mowa w art. 3 ust. 4 , 5, 6 i 7</w:t>
            </w:r>
            <w:r w:rsidRPr="005D44FE">
              <w:rPr>
                <w:b/>
                <w:i/>
              </w:rPr>
              <w:t>, art. 4</w:t>
            </w:r>
            <w:r w:rsidRPr="005D44FE">
              <w:t xml:space="preserve"> i art. 5 ust. 6, jeżeli następstwem tej propozycji były czyny służące doprowadzeniu do t</w:t>
            </w:r>
            <w:r w:rsidRPr="005D44FE">
              <w:t>akiego spotkania, podlega sankcji karnej w maksymalnym wymiarze co najmniej roku pozbawienia wolności;</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17</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 xml:space="preserve">Artykuł 6 – ustęp </w:t>
      </w:r>
      <w:r w:rsidRPr="005D44FE">
        <w:t>3 – akapit 1</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 xml:space="preserve">Państwa członkowskie wprowadzają środki niezbędne do zapewnienia, aby usiłowanie popełnienia za pośrednictwem technologii informacyjno-komunikacyjnych przestępstw, o których mowa w art. 4 ust. 2 i 5, przez osobę dorosłą doprowadzającą dziecko do udziału w </w:t>
            </w:r>
            <w:r w:rsidRPr="005D44FE">
              <w:t xml:space="preserve">przedstawieniach ukazujących niegodziwe traktowanie dzieci w celach seksualnych oraz wykorzystywanie dzieci </w:t>
            </w:r>
            <w:r w:rsidRPr="005D44FE">
              <w:rPr>
                <w:b/>
                <w:i/>
              </w:rPr>
              <w:t>do prostytucji</w:t>
            </w:r>
            <w:r w:rsidRPr="005D44FE">
              <w:t xml:space="preserve"> podlegało sankcji karnej w maksymalnym wymiarze co najmniej 6 miesięcy pozbawienia wolności.</w:t>
            </w:r>
          </w:p>
        </w:tc>
        <w:tc>
          <w:tcPr>
            <w:tcW w:w="4876" w:type="dxa"/>
            <w:hideMark/>
          </w:tcPr>
          <w:p w:rsidR="001A5111" w:rsidRPr="005D44FE" w:rsidRDefault="00075CAE">
            <w:pPr>
              <w:pStyle w:val="Normal6"/>
              <w:rPr>
                <w:szCs w:val="24"/>
              </w:rPr>
            </w:pPr>
            <w:r w:rsidRPr="005D44FE">
              <w:t xml:space="preserve">Państwa członkowskie wprowadzają środki </w:t>
            </w:r>
            <w:r w:rsidRPr="005D44FE">
              <w:t xml:space="preserve">niezbędne do zapewnienia, aby usiłowanie popełnienia za pośrednictwem technologii informacyjno-komunikacyjnych przestępstw, o których mowa w art. 4 ust. 2 i 5, przez osobę dorosłą doprowadzającą dziecko do udziału w przedstawieniach ukazujących niegodziwe </w:t>
            </w:r>
            <w:r w:rsidRPr="005D44FE">
              <w:t xml:space="preserve">traktowanie dzieci w celach seksualnych oraz </w:t>
            </w:r>
            <w:r w:rsidRPr="005D44FE">
              <w:rPr>
                <w:b/>
                <w:i/>
              </w:rPr>
              <w:t>seksualne</w:t>
            </w:r>
            <w:r w:rsidRPr="005D44FE">
              <w:t xml:space="preserve"> wykorzystywanie dzieci podlegało sankcji karnej w maksymalnym wymiarze co najmniej 6 miesięcy pozbawienia wolności.</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18</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7 – nagłówek</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Nagabywanie do niegodziwego traktowania w celach seksualnych</w:t>
            </w:r>
          </w:p>
        </w:tc>
        <w:tc>
          <w:tcPr>
            <w:tcW w:w="4876" w:type="dxa"/>
            <w:hideMark/>
          </w:tcPr>
          <w:p w:rsidR="001A5111" w:rsidRPr="005D44FE" w:rsidRDefault="00075CAE">
            <w:pPr>
              <w:pStyle w:val="Normal6"/>
              <w:rPr>
                <w:szCs w:val="24"/>
              </w:rPr>
            </w:pPr>
            <w:r w:rsidRPr="005D44FE">
              <w:t xml:space="preserve">Nagabywanie do niegodziwego traktowania w celach seksualnych </w:t>
            </w:r>
            <w:r w:rsidRPr="005D44FE">
              <w:rPr>
                <w:b/>
                <w:i/>
              </w:rPr>
              <w:t>lub wykorzystywania seksualnego</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19</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10 – ustęp 5 – akapit 1</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 xml:space="preserve">Do </w:t>
            </w:r>
            <w:r w:rsidRPr="005D44FE">
              <w:t>celów ust. 1–4 można uznać, że dziecko powyżej wieku przyzwolenia wyraziło zgodę na czynność tylko wtedy, gdy zgoda została wyrażona dobrowolnie, którą to dobrą wolę dziecka ocenia się w kontekście okoliczności towarzyszących.</w:t>
            </w:r>
          </w:p>
        </w:tc>
        <w:tc>
          <w:tcPr>
            <w:tcW w:w="4876" w:type="dxa"/>
            <w:hideMark/>
          </w:tcPr>
          <w:p w:rsidR="001A5111" w:rsidRPr="005D44FE" w:rsidRDefault="00075CAE" w:rsidP="00CE1B4E">
            <w:pPr>
              <w:pStyle w:val="Normal6"/>
              <w:rPr>
                <w:szCs w:val="24"/>
              </w:rPr>
            </w:pPr>
            <w:r w:rsidRPr="005D44FE">
              <w:t>Do celów ust. 1–4 można uznać</w:t>
            </w:r>
            <w:r w:rsidRPr="005D44FE">
              <w:t>, że dziecko powyżej wieku przyzwolenia wyraziło zgodę na czynność tylko wtedy, gdy zgoda została wyrażona dobrowolnie, którą to dobrą wolę dziecka ocenia się w kontekście okoliczności towarzyszących.</w:t>
            </w:r>
            <w:r w:rsidRPr="005D44FE">
              <w:rPr>
                <w:b/>
                <w:i/>
              </w:rPr>
              <w:t xml:space="preserve"> Nie uznaje się, że dziecko powyżej wieku </w:t>
            </w:r>
            <w:r w:rsidRPr="005D44FE">
              <w:rPr>
                <w:b/>
                <w:i/>
              </w:rPr>
              <w:lastRenderedPageBreak/>
              <w:t>przyzwolenia w</w:t>
            </w:r>
            <w:r w:rsidRPr="005D44FE">
              <w:rPr>
                <w:b/>
                <w:i/>
              </w:rPr>
              <w:t>yraziło zgodę, jeżeli nie było w stanie wyrazić wolnej woli ze względu na okoliczności, o których mowa w art. 3 ust. 5, lub ze względu na inne okoliczności, w tym stan fizyczny lub psychiczny dziecka, na przykład stan nieświadomości, odurzenia, sparaliżowa</w:t>
            </w:r>
            <w:r w:rsidRPr="005D44FE">
              <w:rPr>
                <w:b/>
                <w:i/>
              </w:rPr>
              <w:t>nia strachem, choroby lub uszczerbku na zdrowiu.</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20</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10 – ustęp 6</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6.</w:t>
            </w:r>
            <w:r w:rsidRPr="005D44FE">
              <w:tab/>
              <w:t xml:space="preserve">Udostępnianie za zgodą czyiś intymnych wizerunków </w:t>
            </w:r>
            <w:r w:rsidRPr="005D44FE">
              <w:rPr>
                <w:b/>
                <w:i/>
              </w:rPr>
              <w:t>lub</w:t>
            </w:r>
            <w:r w:rsidRPr="005D44FE">
              <w:t xml:space="preserve"> nagrań wideo nie może być interpretowane jako zgoda na jakiekolwiek dalsze udostępnianie lub rozpowszechnianie takiego wizerunku </w:t>
            </w:r>
            <w:r w:rsidRPr="005D44FE">
              <w:rPr>
                <w:b/>
                <w:i/>
              </w:rPr>
              <w:t>lub</w:t>
            </w:r>
            <w:r w:rsidRPr="005D44FE">
              <w:t xml:space="preserve"> filmu.</w:t>
            </w:r>
          </w:p>
        </w:tc>
        <w:tc>
          <w:tcPr>
            <w:tcW w:w="4876" w:type="dxa"/>
            <w:hideMark/>
          </w:tcPr>
          <w:p w:rsidR="001A5111" w:rsidRPr="005D44FE" w:rsidRDefault="00075CAE">
            <w:pPr>
              <w:pStyle w:val="Normal6"/>
              <w:rPr>
                <w:szCs w:val="24"/>
              </w:rPr>
            </w:pPr>
            <w:r w:rsidRPr="005D44FE">
              <w:t>6.</w:t>
            </w:r>
            <w:r w:rsidRPr="005D44FE">
              <w:tab/>
              <w:t>Udostępnianie za zgodą czyiś intymnych wizerun</w:t>
            </w:r>
            <w:r w:rsidRPr="005D44FE">
              <w:t>ków</w:t>
            </w:r>
            <w:r w:rsidRPr="005D44FE">
              <w:rPr>
                <w:b/>
                <w:bCs/>
                <w:i/>
                <w:iCs/>
              </w:rPr>
              <w:t>,</w:t>
            </w:r>
            <w:r w:rsidRPr="005D44FE">
              <w:t xml:space="preserve"> nagrań wideo </w:t>
            </w:r>
            <w:r w:rsidRPr="005D44FE">
              <w:rPr>
                <w:b/>
                <w:i/>
              </w:rPr>
              <w:t>lub podobnych materiałów</w:t>
            </w:r>
            <w:r w:rsidRPr="005D44FE">
              <w:t xml:space="preserve"> nie może być interpretowane jako zgoda na jakiekolwiek dalsze udostępnianie lub rozpowszechnianie takiego wizerunku</w:t>
            </w:r>
            <w:r w:rsidRPr="005D44FE">
              <w:rPr>
                <w:b/>
                <w:i/>
              </w:rPr>
              <w:t>,</w:t>
            </w:r>
            <w:r w:rsidRPr="005D44FE">
              <w:t xml:space="preserve"> filmu </w:t>
            </w:r>
            <w:r w:rsidRPr="005D44FE">
              <w:rPr>
                <w:b/>
                <w:i/>
              </w:rPr>
              <w:t>lub podobnego materiału, w tym w wersji zmanipulowanej lub zmienionej</w:t>
            </w:r>
            <w:r w:rsidRPr="005D44FE">
              <w:t xml:space="preserve">. </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rStyle w:val="HideTWBInt"/>
          <w:noProof w:val="0"/>
        </w:rPr>
        <w:t>}</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21</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11 – akapit 1 – litera a</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a)</w:t>
            </w:r>
            <w:r w:rsidRPr="005D44FE">
              <w:tab/>
              <w:t>przestępstwo popełniono wobec dziecka szczególnie</w:t>
            </w:r>
            <w:r w:rsidRPr="005D44FE">
              <w:t xml:space="preserve"> bezbronnego, na przykład ze względu na jego niepełnosprawność umysłową lub fizyczną lub stosunek zależności lub niemożność fizyczną lub psychiczną;</w:t>
            </w:r>
          </w:p>
        </w:tc>
        <w:tc>
          <w:tcPr>
            <w:tcW w:w="4876" w:type="dxa"/>
            <w:hideMark/>
          </w:tcPr>
          <w:p w:rsidR="001A5111" w:rsidRPr="005D44FE" w:rsidRDefault="00075CAE">
            <w:pPr>
              <w:pStyle w:val="Normal6"/>
              <w:rPr>
                <w:szCs w:val="24"/>
              </w:rPr>
            </w:pPr>
            <w:r w:rsidRPr="005D44FE">
              <w:t>a)</w:t>
            </w:r>
            <w:r w:rsidRPr="005D44FE">
              <w:tab/>
              <w:t xml:space="preserve">przestępstwo popełniono wobec dziecka szczególnie bezbronnego, na przykład ze względu na jego </w:t>
            </w:r>
            <w:r w:rsidRPr="005D44FE">
              <w:rPr>
                <w:b/>
                <w:i/>
              </w:rPr>
              <w:t>młody wiek</w:t>
            </w:r>
            <w:r w:rsidRPr="005D44FE">
              <w:rPr>
                <w:b/>
                <w:i/>
              </w:rPr>
              <w:t>,</w:t>
            </w:r>
            <w:r w:rsidRPr="005D44FE">
              <w:t xml:space="preserve"> niepełnosprawność umysłową lub fizyczną lub stosunek zależności lub niemożność fizyczną lub psychiczną;</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lastRenderedPageBreak/>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22</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 xml:space="preserve">Artykuł 11 – </w:t>
      </w:r>
      <w:r w:rsidRPr="005D44FE">
        <w:t>akapit 1 – litera j a (nowa)</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tcPr>
          <w:p w:rsidR="001A5111" w:rsidRPr="005D44FE" w:rsidRDefault="001A5111">
            <w:pPr>
              <w:pStyle w:val="Normal6"/>
            </w:pPr>
          </w:p>
        </w:tc>
        <w:tc>
          <w:tcPr>
            <w:tcW w:w="4876" w:type="dxa"/>
            <w:hideMark/>
          </w:tcPr>
          <w:p w:rsidR="001A5111" w:rsidRPr="005D44FE" w:rsidRDefault="00075CAE" w:rsidP="00CE1B4E">
            <w:pPr>
              <w:pStyle w:val="Normal6"/>
              <w:rPr>
                <w:szCs w:val="24"/>
              </w:rPr>
            </w:pPr>
            <w:r w:rsidRPr="005D44FE">
              <w:rPr>
                <w:b/>
                <w:i/>
              </w:rPr>
              <w:t>ja)</w:t>
            </w:r>
            <w:r w:rsidRPr="005D44FE">
              <w:rPr>
                <w:b/>
                <w:i/>
              </w:rPr>
              <w:tab/>
              <w:t xml:space="preserve">przestępstwo było motywowane co najmniej jedną z przyczyn chronionych na mocy art. 21 Karty praw podstawowych Unii Europejskiej i skutkowało bezpośrednią lub pośrednią </w:t>
            </w:r>
            <w:r w:rsidRPr="005D44FE">
              <w:rPr>
                <w:b/>
                <w:i/>
              </w:rPr>
              <w:t>dyskryminacją sprzeczną z prawem Unii.</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23</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12 – ustęp 2</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2.</w:t>
            </w:r>
            <w:r w:rsidRPr="005D44FE">
              <w:tab/>
            </w:r>
            <w:r w:rsidRPr="005D44FE">
              <w:t>Państwa członkowskie wprowadzają środki niezbędne do zapewnienia, aby pracodawcy podczas rekrutowania osób do celów działalności zawodowej lub wolontariackiej związanej z bezpośrednimi i regularnymi kontaktami z dziećmi oraz organizacje działające w intere</w:t>
            </w:r>
            <w:r w:rsidRPr="005D44FE">
              <w:t xml:space="preserve">sie publicznym przeciwko niegodziwemu traktowaniu dzieci w celach seksualnych podczas rekrutowania personelu byli zobowiązani do uzyskiwania, zgodnie z prawem krajowym – wszelkimi właściwymi sposobami, takimi jak dostęp na wniosek lub uzyskanie informacji </w:t>
            </w:r>
            <w:r w:rsidRPr="005D44FE">
              <w:t xml:space="preserve">od danej osoby – informacji o wyrokach skazujących za którekolwiek z przestępstw, o których mowa w art. 3– 9 , odnotowanych w rejestrze karnym lub o jakimkolwiek zakazie prowadzenia działalności związanej z bezpośrednimi i regularnymi kontaktami z dziećmi </w:t>
            </w:r>
            <w:r w:rsidRPr="005D44FE">
              <w:t>wynikającym z tych wyroków skazujących.</w:t>
            </w:r>
          </w:p>
        </w:tc>
        <w:tc>
          <w:tcPr>
            <w:tcW w:w="4876" w:type="dxa"/>
            <w:hideMark/>
          </w:tcPr>
          <w:p w:rsidR="001A5111" w:rsidRPr="005D44FE" w:rsidRDefault="00075CAE">
            <w:pPr>
              <w:pStyle w:val="Normal6"/>
              <w:rPr>
                <w:szCs w:val="24"/>
              </w:rPr>
            </w:pPr>
            <w:r w:rsidRPr="005D44FE">
              <w:t>2.</w:t>
            </w:r>
            <w:r w:rsidRPr="005D44FE">
              <w:tab/>
              <w:t>Państwa członkowskie wprowadzają środki niezbędne do zapewnienia, aby pracodawcy podczas rekrutowania osób do celów działalności zawodowej lub wolontariackiej związanej z bezpośrednimi i regularnymi kontaktami z d</w:t>
            </w:r>
            <w:r w:rsidRPr="005D44FE">
              <w:t>ziećmi oraz organizacje działające w interesie publicznym przeciwko niegodziwemu traktowaniu dzieci w celach seksualnych podczas rekrutowania personelu</w:t>
            </w:r>
            <w:r w:rsidRPr="005D44FE">
              <w:rPr>
                <w:b/>
                <w:i/>
              </w:rPr>
              <w:t>, konsultantów i wolontariuszy</w:t>
            </w:r>
            <w:r w:rsidRPr="005D44FE">
              <w:t> byli zobowiązani do uzyskiwania, zgodnie z prawem krajowym – wszelkimi wła</w:t>
            </w:r>
            <w:r w:rsidRPr="005D44FE">
              <w:t>ściwymi sposobami, takimi jak dostęp na wniosek lub uzyskanie informacji od danej osoby – informacji o wyrokach skazujących za którekolwiek z przestępstw, o których mowa w art. 3– 9 , odnotowanych w rejestrze karnym lub o jakimkolwiek zakazie prowadzenia d</w:t>
            </w:r>
            <w:r w:rsidRPr="005D44FE">
              <w:t xml:space="preserve">ziałalności związanej z bezpośrednimi i regularnymi kontaktami z dziećmi </w:t>
            </w:r>
            <w:r w:rsidRPr="005D44FE">
              <w:lastRenderedPageBreak/>
              <w:t>wynikającym z tych wyroków skazujących.</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24</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 xml:space="preserve">Artykuł </w:t>
      </w:r>
      <w:r w:rsidRPr="005D44FE">
        <w:t>14 – nagłówek</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rPr>
                <w:b/>
                <w:i/>
              </w:rPr>
              <w:t>Sankcje wobec</w:t>
            </w:r>
            <w:r w:rsidRPr="005D44FE">
              <w:t xml:space="preserve"> osób prawnych</w:t>
            </w:r>
          </w:p>
        </w:tc>
        <w:tc>
          <w:tcPr>
            <w:tcW w:w="4876" w:type="dxa"/>
            <w:hideMark/>
          </w:tcPr>
          <w:p w:rsidR="001A5111" w:rsidRPr="005D44FE" w:rsidRDefault="00075CAE">
            <w:pPr>
              <w:pStyle w:val="Normal6"/>
              <w:rPr>
                <w:szCs w:val="24"/>
              </w:rPr>
            </w:pPr>
            <w:r w:rsidRPr="005D44FE">
              <w:rPr>
                <w:b/>
                <w:i/>
              </w:rPr>
              <w:t>Kary dla</w:t>
            </w:r>
            <w:r w:rsidRPr="005D44FE">
              <w:t xml:space="preserve"> osób prawnych</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25</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14 – ustęp 1 – litera f a (nowa)</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tcPr>
          <w:p w:rsidR="001A5111" w:rsidRPr="005D44FE" w:rsidRDefault="001A5111">
            <w:pPr>
              <w:pStyle w:val="Normal6"/>
            </w:pPr>
          </w:p>
        </w:tc>
        <w:tc>
          <w:tcPr>
            <w:tcW w:w="4876" w:type="dxa"/>
            <w:hideMark/>
          </w:tcPr>
          <w:p w:rsidR="001A5111" w:rsidRPr="005D44FE" w:rsidRDefault="00075CAE">
            <w:pPr>
              <w:pStyle w:val="Normal6"/>
              <w:rPr>
                <w:szCs w:val="24"/>
              </w:rPr>
            </w:pPr>
            <w:r w:rsidRPr="005D44FE">
              <w:rPr>
                <w:b/>
                <w:i/>
              </w:rPr>
              <w:t>fa)</w:t>
            </w:r>
            <w:r w:rsidRPr="005D44FE">
              <w:rPr>
                <w:b/>
                <w:i/>
              </w:rPr>
              <w:tab/>
              <w:t xml:space="preserve">w przypadku gdy przemawia za tym interes publiczny, publikacja całości lub części orzeczenia sądowego dotyczącego popełnionego przestępstwa oraz nałożonych </w:t>
            </w:r>
            <w:r w:rsidRPr="005D44FE">
              <w:rPr>
                <w:b/>
                <w:i/>
              </w:rPr>
              <w:t>kar lub środków, z zastrzeżeniem przepisów dotyczących prywatności i ochrony danych osobowych.</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26</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14 – ustęp 2</w:t>
      </w:r>
      <w:r w:rsidRPr="005D44FE">
        <w:rPr>
          <w:rStyle w:val="HideTWBExt"/>
        </w:rPr>
        <w:t>&lt;/Arti</w:t>
      </w:r>
      <w:r w:rsidRPr="005D44FE">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2.</w:t>
            </w:r>
            <w:r w:rsidRPr="005D44FE">
              <w:tab/>
            </w:r>
            <w:r w:rsidRPr="005D44FE">
              <w:t xml:space="preserve">Państwa członkowskie wprowadzają środki niezbędne do zapewnienia, aby – w odniesieniu do osób prawnych ponoszących odpowiedzialność na podstawie art. 13 – przestępstwa </w:t>
            </w:r>
            <w:r w:rsidRPr="005D44FE">
              <w:lastRenderedPageBreak/>
              <w:t>podlegające sankcji karnej w maksymalnym wymiarze co najmniej dwóch lat pozbawienia woln</w:t>
            </w:r>
            <w:r w:rsidRPr="005D44FE">
              <w:t xml:space="preserve">ości w odniesieniu do osób fizycznych, podlegały karze grzywny, której górna granica powinna wynosić nie mniej niż 1 procent całkowitego światowego obrotu takiej osoby prawnej w roku obrotowym poprzedzającym decyzję </w:t>
            </w:r>
            <w:r w:rsidRPr="005D44FE">
              <w:rPr>
                <w:b/>
                <w:i/>
              </w:rPr>
              <w:t>nakładającą grzywnę</w:t>
            </w:r>
            <w:r w:rsidRPr="005D44FE">
              <w:t>.</w:t>
            </w:r>
          </w:p>
        </w:tc>
        <w:tc>
          <w:tcPr>
            <w:tcW w:w="4876" w:type="dxa"/>
            <w:hideMark/>
          </w:tcPr>
          <w:p w:rsidR="001A5111" w:rsidRPr="005D44FE" w:rsidRDefault="00075CAE">
            <w:pPr>
              <w:pStyle w:val="Normal6"/>
              <w:rPr>
                <w:szCs w:val="24"/>
              </w:rPr>
            </w:pPr>
            <w:r w:rsidRPr="005D44FE">
              <w:lastRenderedPageBreak/>
              <w:t>2.</w:t>
            </w:r>
            <w:r w:rsidRPr="005D44FE">
              <w:tab/>
              <w:t>Państwa członkow</w:t>
            </w:r>
            <w:r w:rsidRPr="005D44FE">
              <w:t xml:space="preserve">skie wprowadzają środki niezbędne do zapewnienia, aby – w odniesieniu do osób prawnych ponoszących odpowiedzialność na podstawie art. 13 – przestępstwa </w:t>
            </w:r>
            <w:r w:rsidRPr="005D44FE">
              <w:lastRenderedPageBreak/>
              <w:t>podlegające sankcji karnej w maksymalnym wymiarze co najmniej dwóch lat pozbawienia wolności w odniesien</w:t>
            </w:r>
            <w:r w:rsidRPr="005D44FE">
              <w:t xml:space="preserve">iu do osób fizycznych, podlegały karze grzywny, której górna granica powinna wynosić nie mniej niż 1 procent całkowitego światowego obrotu takiej osoby prawnej </w:t>
            </w:r>
            <w:r w:rsidRPr="005D44FE">
              <w:rPr>
                <w:b/>
                <w:i/>
              </w:rPr>
              <w:t>w roku obrotowym poprzedzającym rok, w którym popełniono przestępstwo, lub</w:t>
            </w:r>
            <w:r w:rsidRPr="005D44FE">
              <w:t xml:space="preserve"> w roku obrotowym popr</w:t>
            </w:r>
            <w:r w:rsidRPr="005D44FE">
              <w:t xml:space="preserve">zedzającym decyzję </w:t>
            </w:r>
            <w:r w:rsidRPr="005D44FE">
              <w:rPr>
                <w:b/>
                <w:i/>
              </w:rPr>
              <w:t>o nałożeniu grzywny, lub kwota odpowiadająca 8 mln EUR</w:t>
            </w:r>
            <w:r w:rsidRPr="005D44FE">
              <w:t>.</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27</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14 – ustęp 3</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 xml:space="preserve">Tekst </w:t>
            </w:r>
            <w:r w:rsidRPr="005D44FE">
              <w:t>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3.</w:t>
            </w:r>
            <w:r w:rsidRPr="005D44FE">
              <w:tab/>
              <w:t>Państwa członkowskie wprowadzają środki niezbędne do zapewnienia, aby – w odniesieniu do osób prawnych ponoszących odpowiedzialność na podstawie art. 13 – przestępstwa podlegające sankcji karnej w maksymalnym wymiarze</w:t>
            </w:r>
            <w:r w:rsidRPr="005D44FE">
              <w:t xml:space="preserve"> co najmniej trzech lat pozbawienia wolności w odniesieniu do osób fizycznych, podlegały karze grzywny, której górna granica powinna wynosić nie mniej niż 5 procent całkowitego światowego obrotu takiej osoby prawnej w roku obrotowym poprzedzającym decyzję </w:t>
            </w:r>
            <w:r w:rsidRPr="005D44FE">
              <w:rPr>
                <w:b/>
                <w:i/>
              </w:rPr>
              <w:t>nakładającą grzywnę</w:t>
            </w:r>
            <w:r w:rsidRPr="005D44FE">
              <w:t>.</w:t>
            </w:r>
          </w:p>
        </w:tc>
        <w:tc>
          <w:tcPr>
            <w:tcW w:w="4876" w:type="dxa"/>
            <w:hideMark/>
          </w:tcPr>
          <w:p w:rsidR="001A5111" w:rsidRPr="005D44FE" w:rsidRDefault="00075CAE" w:rsidP="00FC3744">
            <w:pPr>
              <w:pStyle w:val="Normal6"/>
              <w:rPr>
                <w:szCs w:val="24"/>
              </w:rPr>
            </w:pPr>
            <w:r w:rsidRPr="005D44FE">
              <w:t>3.</w:t>
            </w:r>
            <w:r w:rsidRPr="005D44FE">
              <w:tab/>
              <w:t>Państwa członkowskie wprowadzają środki niezbędne do zapewnienia, aby – w odniesieniu do osób prawnych ponoszących odpowiedzialność na podstawie art. 13 – przestępstwa podlegające sankcji karnej w maksymalnym wymiarze co najmniej tr</w:t>
            </w:r>
            <w:r w:rsidRPr="005D44FE">
              <w:t xml:space="preserve">zech lat pozbawienia wolności w odniesieniu do osób fizycznych, podlegały karze grzywny, której górna granica powinna wynosić nie mniej niż 5 procent całkowitego światowego obrotu takiej osoby prawnej </w:t>
            </w:r>
            <w:r w:rsidRPr="005D44FE">
              <w:rPr>
                <w:b/>
                <w:i/>
              </w:rPr>
              <w:t>w roku obrotowym poprzedzającym rok, w którym popełnion</w:t>
            </w:r>
            <w:r w:rsidRPr="005D44FE">
              <w:rPr>
                <w:b/>
                <w:i/>
              </w:rPr>
              <w:t>o przestępstwo, lub</w:t>
            </w:r>
            <w:r w:rsidRPr="005D44FE">
              <w:t xml:space="preserve"> w roku obrotowym poprzedzającym decyzję </w:t>
            </w:r>
            <w:r w:rsidRPr="005D44FE">
              <w:rPr>
                <w:b/>
                <w:i/>
              </w:rPr>
              <w:t>o nałożeniu grzywny, lub kwota odpowiadająca 40 mln EUR</w:t>
            </w:r>
            <w:r w:rsidRPr="005D44FE">
              <w:t>.</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lastRenderedPageBreak/>
        <w:t>&lt;Amend&gt;</w:t>
      </w:r>
      <w:r w:rsidRPr="005D44FE">
        <w:t>Poprawka</w:t>
      </w:r>
      <w:r w:rsidRPr="005D44FE">
        <w:tab/>
      </w:r>
      <w:r w:rsidRPr="005D44FE">
        <w:tab/>
      </w:r>
      <w:r w:rsidRPr="005D44FE">
        <w:rPr>
          <w:rStyle w:val="HideTWBExt"/>
        </w:rPr>
        <w:t>&lt;NumAm&gt;</w:t>
      </w:r>
      <w:r w:rsidRPr="005D44FE">
        <w:t>28</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14 – ustęp 3 a (nowy)</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tcPr>
          <w:p w:rsidR="001A5111" w:rsidRPr="005D44FE" w:rsidRDefault="001A5111">
            <w:pPr>
              <w:pStyle w:val="Normal6"/>
            </w:pPr>
          </w:p>
        </w:tc>
        <w:tc>
          <w:tcPr>
            <w:tcW w:w="4876" w:type="dxa"/>
            <w:hideMark/>
          </w:tcPr>
          <w:p w:rsidR="001A5111" w:rsidRPr="005D44FE" w:rsidRDefault="00075CAE" w:rsidP="00FC3744">
            <w:pPr>
              <w:pStyle w:val="Normal6"/>
              <w:rPr>
                <w:szCs w:val="24"/>
              </w:rPr>
            </w:pPr>
            <w:r w:rsidRPr="005D44FE">
              <w:rPr>
                <w:b/>
                <w:i/>
              </w:rPr>
              <w:t>3a.</w:t>
            </w:r>
            <w:r w:rsidRPr="005D44FE">
              <w:rPr>
                <w:b/>
                <w:i/>
              </w:rPr>
              <w:tab/>
              <w:t>Państwa członkowskie mogą ustanowić przepisy regulujące przypadki, w których nie jest możliwe określenie wysokości grzywny na podstawie całkowitego światowego obrotu u</w:t>
            </w:r>
            <w:r w:rsidRPr="005D44FE">
              <w:rPr>
                <w:b/>
                <w:i/>
              </w:rPr>
              <w:t>zyskanego przez osobę prawną w roku obrotowym poprzedzającym rok, w którym popełniono przestępstwo, ani na podstawie roku obrotowego poprzedzającego decyzję o nałożeniu grzywny.</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29</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16 – ustęp 2 – akapit 2 – litera a</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a)</w:t>
            </w:r>
            <w:r w:rsidRPr="005D44FE">
              <w:tab/>
              <w:t xml:space="preserve">co najmniej </w:t>
            </w:r>
            <w:r w:rsidRPr="005D44FE">
              <w:rPr>
                <w:b/>
                <w:i/>
              </w:rPr>
              <w:t>20</w:t>
            </w:r>
            <w:r w:rsidRPr="005D44FE">
              <w:t xml:space="preserve"> lat od dnia, w którym ofiara osiągnęła pełnoletniość, w przypadku przestępstw podlegających na mocy niniejszej dyrektywy sankcji karnej w maksymalnym wymiarze co najmniej trzech lat pozbawienia wolności;</w:t>
            </w:r>
          </w:p>
        </w:tc>
        <w:tc>
          <w:tcPr>
            <w:tcW w:w="4876" w:type="dxa"/>
            <w:hideMark/>
          </w:tcPr>
          <w:p w:rsidR="001A5111" w:rsidRPr="005D44FE" w:rsidRDefault="00075CAE">
            <w:pPr>
              <w:pStyle w:val="Normal6"/>
              <w:rPr>
                <w:szCs w:val="24"/>
              </w:rPr>
            </w:pPr>
            <w:r w:rsidRPr="005D44FE">
              <w:t>a)</w:t>
            </w:r>
            <w:r w:rsidRPr="005D44FE">
              <w:tab/>
              <w:t xml:space="preserve">co najmniej </w:t>
            </w:r>
            <w:r w:rsidRPr="005D44FE">
              <w:rPr>
                <w:b/>
                <w:i/>
              </w:rPr>
              <w:t>30</w:t>
            </w:r>
            <w:r w:rsidRPr="005D44FE">
              <w:t xml:space="preserve"> lat od dnia, w którym ofiara osiągnęła pełnoletniość, w przypadku przestępstw podlegających na mocy niniejszej dyrektywy sankcji karnej w maksymalnym wymiarze co najmniej trzech lat pozbawienia wolności;</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w:t>
      </w:r>
      <w:r w:rsidRPr="005D44FE">
        <w:t>prawka</w:t>
      </w:r>
      <w:r w:rsidRPr="005D44FE">
        <w:tab/>
      </w:r>
      <w:r w:rsidRPr="005D44FE">
        <w:tab/>
      </w:r>
      <w:r w:rsidRPr="005D44FE">
        <w:rPr>
          <w:rStyle w:val="HideTWBExt"/>
        </w:rPr>
        <w:t>&lt;NumAm&gt;</w:t>
      </w:r>
      <w:r w:rsidRPr="005D44FE">
        <w:t>30</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16 – ustęp 2 – akapit 2 – litera b</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b)</w:t>
            </w:r>
            <w:r w:rsidRPr="005D44FE">
              <w:tab/>
              <w:t xml:space="preserve">co najmniej </w:t>
            </w:r>
            <w:r w:rsidRPr="005D44FE">
              <w:rPr>
                <w:b/>
                <w:i/>
              </w:rPr>
              <w:t>25</w:t>
            </w:r>
            <w:r w:rsidRPr="005D44FE">
              <w:t xml:space="preserve"> lat od dnia, w którym ofiara osiągnęła pełnoletniość, w przypadku przestępstw podlegających na </w:t>
            </w:r>
            <w:r w:rsidRPr="005D44FE">
              <w:lastRenderedPageBreak/>
              <w:t>mocy niniejszej dyrektywy sankcji karnej w maksymalnym wymiarze co najmniej pięciu lat pozbawienia wolności;</w:t>
            </w:r>
          </w:p>
        </w:tc>
        <w:tc>
          <w:tcPr>
            <w:tcW w:w="4876" w:type="dxa"/>
            <w:hideMark/>
          </w:tcPr>
          <w:p w:rsidR="001A5111" w:rsidRPr="005D44FE" w:rsidRDefault="00075CAE">
            <w:pPr>
              <w:pStyle w:val="Normal6"/>
              <w:rPr>
                <w:szCs w:val="24"/>
              </w:rPr>
            </w:pPr>
            <w:r w:rsidRPr="005D44FE">
              <w:lastRenderedPageBreak/>
              <w:t>b)</w:t>
            </w:r>
            <w:r w:rsidRPr="005D44FE">
              <w:tab/>
              <w:t xml:space="preserve">co najmniej </w:t>
            </w:r>
            <w:r w:rsidRPr="005D44FE">
              <w:rPr>
                <w:b/>
                <w:i/>
              </w:rPr>
              <w:t>35</w:t>
            </w:r>
            <w:r w:rsidRPr="005D44FE">
              <w:t xml:space="preserve"> lat od dnia, w którym ofiara osią</w:t>
            </w:r>
            <w:r w:rsidRPr="005D44FE">
              <w:t xml:space="preserve">gnęła pełnoletniość, w przypadku przestępstw podlegających na </w:t>
            </w:r>
            <w:r w:rsidRPr="005D44FE">
              <w:lastRenderedPageBreak/>
              <w:t>mocy niniejszej dyrektywy sankcji karnej w maksymalnym wymiarze co najmniej pięciu lat pozbawienia wolności;</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31</w:t>
      </w:r>
      <w:r w:rsidRPr="005D44FE">
        <w:rPr>
          <w:rStyle w:val="HideTWBExt"/>
        </w:rPr>
        <w:t>&lt;/NumAm&gt;</w:t>
      </w:r>
    </w:p>
    <w:p w:rsidR="001A5111" w:rsidRPr="005D44FE" w:rsidRDefault="00075CAE" w:rsidP="001A5111">
      <w:pPr>
        <w:pStyle w:val="NormalBold12b"/>
        <w:keepNext/>
      </w:pPr>
      <w:r w:rsidRPr="005D44FE">
        <w:rPr>
          <w:rStyle w:val="HideTWBExt"/>
        </w:rPr>
        <w:t>&lt;DocAmen</w:t>
      </w:r>
      <w:r w:rsidRPr="005D44FE">
        <w:rPr>
          <w:rStyle w:val="HideTWBExt"/>
        </w:rPr>
        <w:t>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16 – ustęp 2 – akapit 2 – litera c</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c)</w:t>
            </w:r>
            <w:r w:rsidRPr="005D44FE">
              <w:tab/>
              <w:t xml:space="preserve">co najmniej </w:t>
            </w:r>
            <w:r w:rsidRPr="005D44FE">
              <w:rPr>
                <w:b/>
                <w:i/>
              </w:rPr>
              <w:t>30</w:t>
            </w:r>
            <w:r w:rsidRPr="005D44FE">
              <w:t xml:space="preserve"> lat od dnia, w którym ofiara osiągnęła pełnoletniość, w przypadku przestępstw podlegających na mocy niniejszej dyrektywy sankcji karnej w maksymalnym wymiarze co najmniej ośmiu lat pozbawienia wolności.</w:t>
            </w:r>
          </w:p>
        </w:tc>
        <w:tc>
          <w:tcPr>
            <w:tcW w:w="4876" w:type="dxa"/>
            <w:hideMark/>
          </w:tcPr>
          <w:p w:rsidR="001A5111" w:rsidRPr="005D44FE" w:rsidRDefault="00075CAE">
            <w:pPr>
              <w:pStyle w:val="Normal6"/>
              <w:rPr>
                <w:szCs w:val="24"/>
              </w:rPr>
            </w:pPr>
            <w:r w:rsidRPr="005D44FE">
              <w:t>c)</w:t>
            </w:r>
            <w:r w:rsidRPr="005D44FE">
              <w:tab/>
              <w:t xml:space="preserve">co najmniej </w:t>
            </w:r>
            <w:r w:rsidRPr="005D44FE">
              <w:rPr>
                <w:b/>
                <w:i/>
              </w:rPr>
              <w:t>40</w:t>
            </w:r>
            <w:r w:rsidRPr="005D44FE">
              <w:t xml:space="preserve"> lat od dnia, w którym ofiara osiąg</w:t>
            </w:r>
            <w:r w:rsidRPr="005D44FE">
              <w:t>nęła pełnoletniość, w przypadku przestępstw podlegających na mocy niniejszej dyrektywy sankcji karnej w maksymalnym wymiarze co najmniej ośmiu lat pozbawienia wolności.</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32</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16 – ustęp 4</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4.</w:t>
            </w:r>
            <w:r w:rsidRPr="005D44FE">
              <w:tab/>
            </w:r>
            <w:r w:rsidRPr="005D44FE">
              <w:t xml:space="preserve">Państwa członkowskie zapewniają, aby osoby, jednostki lub służby odpowiedzialne za prowadzenie postępowań przygotowawczych lub ściganie przestępstw, o których mowa w art. 3–9, dysponowały wystarczającym personelem, wiedzą fachową i </w:t>
            </w:r>
            <w:r w:rsidRPr="005D44FE">
              <w:rPr>
                <w:b/>
                <w:i/>
              </w:rPr>
              <w:t>skutecznymi</w:t>
            </w:r>
            <w:r w:rsidRPr="005D44FE">
              <w:t xml:space="preserve"> narzędziami </w:t>
            </w:r>
            <w:r w:rsidRPr="005D44FE">
              <w:rPr>
                <w:b/>
                <w:i/>
              </w:rPr>
              <w:t>dochodzeniowo-śledczymi</w:t>
            </w:r>
            <w:r w:rsidRPr="005D44FE">
              <w:t xml:space="preserve"> umożliwiającymi skuteczne prowadzenie postępowań przygotowawczych w sprawie takich przestępstw lub ściganie ich, w tym przestępstw popełnionych z wykorzystaniem technologii informacyjno-komunikacyjnych, zgodnie z mającymi zastosowan</w:t>
            </w:r>
            <w:r w:rsidRPr="005D44FE">
              <w:t xml:space="preserve">ie przepisami prawa Unii i prawa krajowego. W stosownych przypadkach narzędzia te obejmują </w:t>
            </w:r>
            <w:r w:rsidRPr="005D44FE">
              <w:lastRenderedPageBreak/>
              <w:t>specjalne narzędzia dochodzeniowo-śledcze, takie jak te wykorzystywane przy przeciwdziałaniu przestępczości zorganizowanej lub w sprawach związanych z innymi poważny</w:t>
            </w:r>
            <w:r w:rsidRPr="005D44FE">
              <w:t>mi przestępstwami, takie jak możliwość prowadzenia operacji pod przykryciem.</w:t>
            </w:r>
          </w:p>
        </w:tc>
        <w:tc>
          <w:tcPr>
            <w:tcW w:w="4876" w:type="dxa"/>
            <w:hideMark/>
          </w:tcPr>
          <w:p w:rsidR="001A5111" w:rsidRPr="005D44FE" w:rsidRDefault="00075CAE" w:rsidP="00FC3744">
            <w:pPr>
              <w:pStyle w:val="Normal6"/>
              <w:rPr>
                <w:szCs w:val="24"/>
              </w:rPr>
            </w:pPr>
            <w:r w:rsidRPr="005D44FE">
              <w:lastRenderedPageBreak/>
              <w:t>4.</w:t>
            </w:r>
            <w:r w:rsidRPr="005D44FE">
              <w:tab/>
              <w:t xml:space="preserve">Państwa członkowskie zapewniają, aby osoby, jednostki lub służby odpowiedzialne za prowadzenie postępowań przygotowawczych lub ściganie przestępstw, o których mowa w art. 3–9, </w:t>
            </w:r>
            <w:r w:rsidRPr="005D44FE">
              <w:t>dysponowały wystarczającym personelem, wiedzą fachową i narzędziami umożliwiającymi skuteczne prowadzenie postępowań przygotowawczych w sprawie takich przestępstw lub ściganie ich, w tym przestępstw popełnionych z wykorzystaniem technologii informacyjno-ko</w:t>
            </w:r>
            <w:r w:rsidRPr="005D44FE">
              <w:t>munikacyjnych, zgodnie z mającymi zastosowanie przepisami prawa Unii i prawa krajowego. W stosownych przypadkach narzędzia te obejmują specjalne narzędzia dochodzeniowo-</w:t>
            </w:r>
            <w:r w:rsidRPr="005D44FE">
              <w:lastRenderedPageBreak/>
              <w:t>śledcze, takie jak te wykorzystywane przy przeciwdziałaniu przestępczości zorganizowane</w:t>
            </w:r>
            <w:r w:rsidRPr="005D44FE">
              <w:t>j lub w sprawach związanych z innymi poważnymi przestępstwami, takie jak możliwość prowadzenia operacji pod przykryciem</w:t>
            </w:r>
            <w:r w:rsidRPr="005D44FE">
              <w:rPr>
                <w:b/>
                <w:i/>
              </w:rPr>
              <w:t>, wykorzystanie tzw. „honeypotów”, przechwytywanie komunikacji, niejawny nadzór, w tym nadzór elektroniczny i monitorowanie rachunków ban</w:t>
            </w:r>
            <w:r w:rsidRPr="005D44FE">
              <w:rPr>
                <w:b/>
                <w:i/>
              </w:rPr>
              <w:t>kowych lub inne dochodzenia finansowe</w:t>
            </w:r>
            <w:r w:rsidRPr="005D44FE">
              <w:t>.</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33</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17 – ustęp 3</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3.</w:t>
            </w:r>
            <w:r w:rsidRPr="005D44FE">
              <w:tab/>
            </w:r>
            <w:r w:rsidRPr="005D44FE">
              <w:t xml:space="preserve">Państwa członkowskie zapewniają, aby co najmniej osoby wykonujące pracę zawodową, </w:t>
            </w:r>
            <w:r w:rsidRPr="005D44FE">
              <w:rPr>
                <w:b/>
                <w:i/>
              </w:rPr>
              <w:t>które</w:t>
            </w:r>
            <w:r w:rsidRPr="005D44FE">
              <w:t xml:space="preserve"> pracują w ścisłym kontakcie z dziećmi w sektorach ochrony dzieci, edukacji, opieki nad dziećmi i opieki zdrowotnej były zobowiązane do zgłaszania właściwym organom, jeż</w:t>
            </w:r>
            <w:r w:rsidRPr="005D44FE">
              <w:t>eli mają uzasadnione podstawy, by sądzić, że popełniono lub istnieje prawdopodobieństwo popełnienia przestępstwa podlegającego sankcji karnej na mocy niniejszej dyrektywy.</w:t>
            </w:r>
          </w:p>
        </w:tc>
        <w:tc>
          <w:tcPr>
            <w:tcW w:w="4876" w:type="dxa"/>
            <w:hideMark/>
          </w:tcPr>
          <w:p w:rsidR="001A5111" w:rsidRPr="005D44FE" w:rsidRDefault="00075CAE">
            <w:pPr>
              <w:pStyle w:val="Normal6"/>
              <w:rPr>
                <w:szCs w:val="24"/>
              </w:rPr>
            </w:pPr>
            <w:r w:rsidRPr="005D44FE">
              <w:t>3.</w:t>
            </w:r>
            <w:r w:rsidRPr="005D44FE">
              <w:tab/>
              <w:t xml:space="preserve">Państwa członkowskie zapewniają, aby co najmniej osoby wykonujące pracę zawodową </w:t>
            </w:r>
            <w:r w:rsidRPr="005D44FE">
              <w:rPr>
                <w:b/>
                <w:i/>
              </w:rPr>
              <w:t>i wolontariusze</w:t>
            </w:r>
            <w:r w:rsidRPr="005D44FE">
              <w:t xml:space="preserve">, </w:t>
            </w:r>
            <w:r w:rsidRPr="005D44FE">
              <w:rPr>
                <w:b/>
                <w:i/>
              </w:rPr>
              <w:t>którzy</w:t>
            </w:r>
            <w:r w:rsidRPr="005D44FE">
              <w:t xml:space="preserve"> pracują w ścisłym kontakcie z dziećmi w sektorach ochrony dzieci, edukacji, opieki nad dziećmi i opieki zdrowotnej były zobowiązane do zgłaszania właściwym organom, jeżeli mają uzasadnione podstawy, by sądzić, że popełniono lub istn</w:t>
            </w:r>
            <w:r w:rsidRPr="005D44FE">
              <w:t>ieje prawdopodobieństwo popełnienia przestępstwa podlegającego sankcji karnej na mocy niniejszej dyrektywy.</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34</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 xml:space="preserve">Artykuł 17 – </w:t>
      </w:r>
      <w:r w:rsidRPr="005D44FE">
        <w:t>ustęp 4 a (nowy)</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tcPr>
          <w:p w:rsidR="001A5111" w:rsidRPr="005D44FE" w:rsidRDefault="001A5111">
            <w:pPr>
              <w:pStyle w:val="Normal6"/>
            </w:pPr>
          </w:p>
        </w:tc>
        <w:tc>
          <w:tcPr>
            <w:tcW w:w="4876" w:type="dxa"/>
            <w:hideMark/>
          </w:tcPr>
          <w:p w:rsidR="001A5111" w:rsidRPr="005D44FE" w:rsidRDefault="00075CAE">
            <w:pPr>
              <w:pStyle w:val="Normal6"/>
              <w:rPr>
                <w:szCs w:val="24"/>
              </w:rPr>
            </w:pPr>
            <w:r w:rsidRPr="005D44FE">
              <w:rPr>
                <w:b/>
                <w:i/>
              </w:rPr>
              <w:t>4a.</w:t>
            </w:r>
            <w:r w:rsidRPr="005D44FE">
              <w:rPr>
                <w:b/>
                <w:i/>
              </w:rPr>
              <w:tab/>
              <w:t xml:space="preserve">Państwa członkowskie zapewniają istnienie dostępnych, widocznych, jasnych, przyjaznych dla użytkownika i </w:t>
            </w:r>
            <w:r w:rsidRPr="005D44FE">
              <w:rPr>
                <w:b/>
                <w:i/>
              </w:rPr>
              <w:lastRenderedPageBreak/>
              <w:t xml:space="preserve">uwzględniających aspekt płci mechanizmów zgłaszania zgodnie ze standardami </w:t>
            </w:r>
            <w:r w:rsidRPr="005D44FE">
              <w:rPr>
                <w:b/>
                <w:i/>
              </w:rPr>
              <w:t>jakości Barnahus. Państwa członkowskie zapewniają, aby na te mechanizmy zgłaszania zapewniano odpowiednie zasoby, w tym pod względem finansowania i personelu.</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35</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 xml:space="preserve">Wniosek </w:t>
      </w:r>
      <w:r w:rsidRPr="005D44FE">
        <w:t>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18 – ustęp 2</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2.</w:t>
            </w:r>
            <w:r w:rsidRPr="005D44FE">
              <w:tab/>
              <w:t>Państwa członkowskie zapewniają, aby procedury zgłaszania, o których mowa w ust. 1, były bezpieczne i poufne oraz aby były opracowane w sp</w:t>
            </w:r>
            <w:r w:rsidRPr="005D44FE">
              <w:t>osób i w języku, które są przyjazne dziecku, stosownie do jego wieku i stopnia dojrzałości. Państwa członkowskie zapewniają, aby zgłaszanie przestępstw nie było zależne od zgody rodziców.</w:t>
            </w:r>
          </w:p>
        </w:tc>
        <w:tc>
          <w:tcPr>
            <w:tcW w:w="4876" w:type="dxa"/>
            <w:hideMark/>
          </w:tcPr>
          <w:p w:rsidR="001A5111" w:rsidRPr="005D44FE" w:rsidRDefault="00075CAE" w:rsidP="00FC3744">
            <w:pPr>
              <w:pStyle w:val="Normal6"/>
              <w:rPr>
                <w:szCs w:val="24"/>
              </w:rPr>
            </w:pPr>
            <w:r w:rsidRPr="005D44FE">
              <w:t>2.</w:t>
            </w:r>
            <w:r w:rsidRPr="005D44FE">
              <w:tab/>
              <w:t xml:space="preserve">Państwa członkowskie zapewniają, aby procedury zgłaszania, o </w:t>
            </w:r>
            <w:r w:rsidRPr="005D44FE">
              <w:t>których mowa w ust. 1, były bezpieczne i poufne oraz aby były opracowane w sposób i w języku, które są przyjazne dziecku, stosownie do jego wieku i stopnia dojrzałości. Państwa członkowskie zapewniają, aby zgłaszanie przestępstw nie było zależne od zgody r</w:t>
            </w:r>
            <w:r w:rsidRPr="005D44FE">
              <w:t xml:space="preserve">odziców </w:t>
            </w:r>
            <w:r w:rsidRPr="005D44FE">
              <w:rPr>
                <w:b/>
                <w:i/>
              </w:rPr>
              <w:t>i aby dostarczano odpowiednie informacje na temat procedur zgłaszania i usług wsparcia</w:t>
            </w:r>
            <w:r w:rsidRPr="005D44FE">
              <w:t>.</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36</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18 – ustęp 2 a (n</w:t>
      </w:r>
      <w:r w:rsidRPr="005D44FE">
        <w:t>owy)</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tcPr>
          <w:p w:rsidR="001A5111" w:rsidRPr="005D44FE" w:rsidRDefault="001A5111">
            <w:pPr>
              <w:pStyle w:val="Normal6"/>
            </w:pPr>
          </w:p>
        </w:tc>
        <w:tc>
          <w:tcPr>
            <w:tcW w:w="4876" w:type="dxa"/>
            <w:hideMark/>
          </w:tcPr>
          <w:p w:rsidR="001A5111" w:rsidRPr="005D44FE" w:rsidRDefault="00075CAE" w:rsidP="00FC3744">
            <w:pPr>
              <w:pStyle w:val="Normal6"/>
              <w:rPr>
                <w:szCs w:val="24"/>
              </w:rPr>
            </w:pPr>
            <w:r w:rsidRPr="005D44FE">
              <w:rPr>
                <w:b/>
                <w:i/>
              </w:rPr>
              <w:t>2a.</w:t>
            </w:r>
            <w:r w:rsidRPr="005D44FE">
              <w:rPr>
                <w:b/>
                <w:i/>
              </w:rPr>
              <w:tab/>
              <w:t xml:space="preserve">Państwa członkowskie ustanawiają dostosowane do wieku multidyscyplinarne struktury międzyagencyjne, aby przeciwdziałać niegodziwemu traktowaniu dzieci w celach seksualnych, w tym w </w:t>
            </w:r>
            <w:r w:rsidRPr="005D44FE">
              <w:rPr>
                <w:b/>
                <w:i/>
              </w:rPr>
              <w:t>przypadkach, gdy takie niegodziwe traktowanie jest ułatwiane za pomocą technologii informacyjno-</w:t>
            </w:r>
            <w:r w:rsidRPr="005D44FE">
              <w:rPr>
                <w:b/>
                <w:i/>
              </w:rPr>
              <w:lastRenderedPageBreak/>
              <w:t>komunikacyjnych.</w:t>
            </w:r>
          </w:p>
        </w:tc>
      </w:tr>
      <w:tr w:rsidR="00E6526B" w:rsidRPr="005D44FE" w:rsidTr="001A5111">
        <w:trPr>
          <w:jc w:val="center"/>
        </w:trPr>
        <w:tc>
          <w:tcPr>
            <w:tcW w:w="4876" w:type="dxa"/>
          </w:tcPr>
          <w:p w:rsidR="001A5111" w:rsidRPr="005D44FE" w:rsidRDefault="001A5111">
            <w:pPr>
              <w:pStyle w:val="Normal6"/>
            </w:pPr>
          </w:p>
        </w:tc>
        <w:tc>
          <w:tcPr>
            <w:tcW w:w="4876" w:type="dxa"/>
            <w:hideMark/>
          </w:tcPr>
          <w:p w:rsidR="001A5111" w:rsidRPr="005D44FE" w:rsidRDefault="00075CAE" w:rsidP="00FC3744">
            <w:pPr>
              <w:pStyle w:val="Normal6"/>
              <w:rPr>
                <w:szCs w:val="24"/>
              </w:rPr>
            </w:pPr>
            <w:r w:rsidRPr="005D44FE">
              <w:rPr>
                <w:b/>
                <w:i/>
              </w:rPr>
              <w:t>Państwa członkowskie promują i wspierają, w tym finansowo, inne mechanizmy zgłaszania, w szczególności:</w:t>
            </w:r>
          </w:p>
        </w:tc>
      </w:tr>
      <w:tr w:rsidR="00E6526B" w:rsidRPr="005D44FE" w:rsidTr="001A5111">
        <w:trPr>
          <w:jc w:val="center"/>
        </w:trPr>
        <w:tc>
          <w:tcPr>
            <w:tcW w:w="4876" w:type="dxa"/>
          </w:tcPr>
          <w:p w:rsidR="001A5111" w:rsidRPr="005D44FE" w:rsidRDefault="001A5111">
            <w:pPr>
              <w:pStyle w:val="Normal6"/>
            </w:pPr>
          </w:p>
        </w:tc>
        <w:tc>
          <w:tcPr>
            <w:tcW w:w="4876" w:type="dxa"/>
            <w:hideMark/>
          </w:tcPr>
          <w:p w:rsidR="001A5111" w:rsidRPr="005D44FE" w:rsidRDefault="00075CAE" w:rsidP="00FC3744">
            <w:pPr>
              <w:pStyle w:val="Normal6"/>
              <w:rPr>
                <w:szCs w:val="24"/>
              </w:rPr>
            </w:pPr>
            <w:r w:rsidRPr="005D44FE">
              <w:rPr>
                <w:b/>
                <w:i/>
              </w:rPr>
              <w:t xml:space="preserve">a) tworzenie specjalnych telefonów </w:t>
            </w:r>
            <w:r w:rsidRPr="005D44FE">
              <w:rPr>
                <w:b/>
                <w:i/>
              </w:rPr>
              <w:t>zaufania i infolinii, w tym między innymi numeru „116 000” w sprawie zaginionych dzieci;</w:t>
            </w:r>
          </w:p>
        </w:tc>
      </w:tr>
      <w:tr w:rsidR="00E6526B" w:rsidRPr="005D44FE" w:rsidTr="001A5111">
        <w:trPr>
          <w:jc w:val="center"/>
        </w:trPr>
        <w:tc>
          <w:tcPr>
            <w:tcW w:w="4876" w:type="dxa"/>
          </w:tcPr>
          <w:p w:rsidR="001A5111" w:rsidRPr="005D44FE" w:rsidRDefault="001A5111">
            <w:pPr>
              <w:pStyle w:val="Normal6"/>
            </w:pPr>
          </w:p>
        </w:tc>
        <w:tc>
          <w:tcPr>
            <w:tcW w:w="4876" w:type="dxa"/>
            <w:hideMark/>
          </w:tcPr>
          <w:p w:rsidR="001A5111" w:rsidRPr="005D44FE" w:rsidRDefault="00075CAE">
            <w:pPr>
              <w:pStyle w:val="Normal6"/>
              <w:rPr>
                <w:szCs w:val="24"/>
              </w:rPr>
            </w:pPr>
            <w:r w:rsidRPr="005D44FE">
              <w:rPr>
                <w:b/>
                <w:i/>
              </w:rPr>
              <w:t>b) wyznaczanie przez platformy internetowe pracowników ds. dobrostanu specjalnie przeszkolonych w zakresie przyjmowania, oceny i zgłaszania podejrzeń niegodziwego tr</w:t>
            </w:r>
            <w:r w:rsidRPr="005D44FE">
              <w:rPr>
                <w:b/>
                <w:i/>
              </w:rPr>
              <w:t>aktowania dzieci w celach seksualnych i wykorzystywania seksualnego dzieci.</w:t>
            </w:r>
          </w:p>
        </w:tc>
      </w:tr>
      <w:tr w:rsidR="00E6526B" w:rsidRPr="005D44FE" w:rsidTr="001A5111">
        <w:trPr>
          <w:jc w:val="center"/>
        </w:trPr>
        <w:tc>
          <w:tcPr>
            <w:tcW w:w="4876" w:type="dxa"/>
          </w:tcPr>
          <w:p w:rsidR="001A5111" w:rsidRPr="005D44FE" w:rsidRDefault="001A5111">
            <w:pPr>
              <w:pStyle w:val="Normal6"/>
            </w:pPr>
          </w:p>
        </w:tc>
        <w:tc>
          <w:tcPr>
            <w:tcW w:w="4876" w:type="dxa"/>
            <w:hideMark/>
          </w:tcPr>
          <w:p w:rsidR="001A5111" w:rsidRPr="005D44FE" w:rsidRDefault="00075CAE" w:rsidP="00FC3744">
            <w:pPr>
              <w:pStyle w:val="Normal6"/>
              <w:rPr>
                <w:szCs w:val="24"/>
              </w:rPr>
            </w:pPr>
            <w:r w:rsidRPr="005D44FE">
              <w:rPr>
                <w:b/>
                <w:i/>
              </w:rPr>
              <w:t>Państwa członkowskie zapewniają, aby systemy zgłaszania, o których mowa w akapicie drugim, były w pełni zintegrowane z krajowymi systemami ochrony dzieci oraz aby dysponowały odp</w:t>
            </w:r>
            <w:r w:rsidRPr="005D44FE">
              <w:rPr>
                <w:b/>
                <w:i/>
              </w:rPr>
              <w:t>owiednimi zasobami, w tym pod względem finansowania i personelu.</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37</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19 – ustęp 6</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w:t>
            </w:r>
            <w:r w:rsidRPr="005D44FE">
              <w:t xml:space="preserve">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6.</w:t>
            </w:r>
            <w:r w:rsidRPr="005D44FE">
              <w:tab/>
              <w:t xml:space="preserve">W przypadku gdy przestępstwo, o którym mowa w art. 3–9, podlega jurysdykcji więcej niż jednego państwa członkowskiego, państwa te współpracują w celu ustalenia, które państwo członkowskie ma prowadzić postępowanie karne. W stosownych </w:t>
            </w:r>
            <w:r w:rsidRPr="005D44FE">
              <w:t>przypadkach oraz zgodnie z art. 12 decyzji ramowej 2009/948/WSiSW sprawę kieruje się do Eurojustu.</w:t>
            </w:r>
          </w:p>
        </w:tc>
        <w:tc>
          <w:tcPr>
            <w:tcW w:w="4876" w:type="dxa"/>
            <w:hideMark/>
          </w:tcPr>
          <w:p w:rsidR="001A5111" w:rsidRPr="005D44FE" w:rsidRDefault="00075CAE">
            <w:pPr>
              <w:pStyle w:val="Normal6"/>
              <w:rPr>
                <w:szCs w:val="24"/>
              </w:rPr>
            </w:pPr>
            <w:r w:rsidRPr="005D44FE">
              <w:t>6.</w:t>
            </w:r>
            <w:r w:rsidRPr="005D44FE">
              <w:tab/>
              <w:t>W przypadku gdy przestępstwo, o którym mowa w art. 3–9, podlega jurysdykcji więcej niż jednego państwa członkowskiego, państwa te współpracują w celu usta</w:t>
            </w:r>
            <w:r w:rsidRPr="005D44FE">
              <w:t xml:space="preserve">lenia, które państwo członkowskie ma prowadzić postępowanie karne. W stosownych przypadkach oraz zgodnie z art. 12 decyzji ramowej 2009/948/WSiSW sprawę kieruje się do Eurojustu </w:t>
            </w:r>
            <w:r w:rsidRPr="005D44FE">
              <w:rPr>
                <w:b/>
                <w:i/>
              </w:rPr>
              <w:t>i odpowiednio informuje się wszystkie właściwe organy krajowe w celu ułatwieni</w:t>
            </w:r>
            <w:r w:rsidRPr="005D44FE">
              <w:rPr>
                <w:b/>
                <w:i/>
              </w:rPr>
              <w:t>a współpracy transgranicznej</w:t>
            </w:r>
            <w:r w:rsidRPr="005D44FE">
              <w:t>.</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lastRenderedPageBreak/>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38</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19 – ustęp 6 a (nowy)</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tcPr>
          <w:p w:rsidR="001A5111" w:rsidRPr="005D44FE" w:rsidRDefault="001A5111">
            <w:pPr>
              <w:pStyle w:val="Normal6"/>
            </w:pPr>
          </w:p>
        </w:tc>
        <w:tc>
          <w:tcPr>
            <w:tcW w:w="4876" w:type="dxa"/>
            <w:hideMark/>
          </w:tcPr>
          <w:p w:rsidR="001A5111" w:rsidRPr="005D44FE" w:rsidRDefault="00075CAE" w:rsidP="00FC3744">
            <w:pPr>
              <w:pStyle w:val="Normal6"/>
              <w:rPr>
                <w:szCs w:val="24"/>
              </w:rPr>
            </w:pPr>
            <w:r w:rsidRPr="005D44FE">
              <w:rPr>
                <w:b/>
                <w:i/>
              </w:rPr>
              <w:t>6a.</w:t>
            </w:r>
            <w:r w:rsidRPr="005D44FE">
              <w:rPr>
                <w:b/>
                <w:i/>
              </w:rPr>
              <w:tab/>
            </w:r>
            <w:r w:rsidRPr="005D44FE">
              <w:rPr>
                <w:b/>
                <w:i/>
              </w:rPr>
              <w:t>Państwa członkowskie zapewniają, w stosownych przypadkach, efektywną współpracę z Eurojustem i Europolem w zakresie postępowań karnych związanych z przestępstwami niegodziwego traktowania dzieci w celach seksualnych oraz w zakresie przekazywania takich pos</w:t>
            </w:r>
            <w:r w:rsidRPr="005D44FE">
              <w:rPr>
                <w:b/>
                <w:i/>
              </w:rPr>
              <w:t>tępowań, w szczególności w sprawach dotyczących wielu państw członkowskich. Współpraca taka ułatwia transgraniczną wymianę informacji, wspólne dochodzenia i pomoc w ściganiu przestępstw.</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39</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21 – ustęp 2</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2.</w:t>
            </w:r>
            <w:r w:rsidRPr="005D44FE">
              <w:tab/>
              <w:t xml:space="preserve">Ofiarom zapewnia się skoordynowaną, odpowiednią do wieku opiekę medyczną oraz wsparcie emocjonalne, </w:t>
            </w:r>
            <w:r w:rsidRPr="005D44FE">
              <w:t>psychospołeczne, psychologiczne i edukacyjne, a także wszelkie inne odpowiednie wsparcie dostosowane w szczególności do sytuacji niegodziwego traktowania w celach seksualnych.</w:t>
            </w:r>
          </w:p>
        </w:tc>
        <w:tc>
          <w:tcPr>
            <w:tcW w:w="4876" w:type="dxa"/>
            <w:hideMark/>
          </w:tcPr>
          <w:p w:rsidR="001A5111" w:rsidRPr="005D44FE" w:rsidRDefault="00075CAE">
            <w:pPr>
              <w:pStyle w:val="Normal6"/>
              <w:rPr>
                <w:szCs w:val="24"/>
              </w:rPr>
            </w:pPr>
            <w:r w:rsidRPr="005D44FE">
              <w:t>2.</w:t>
            </w:r>
            <w:r w:rsidRPr="005D44FE">
              <w:tab/>
              <w:t xml:space="preserve">Ofiarom zapewnia się </w:t>
            </w:r>
            <w:r w:rsidRPr="005D44FE">
              <w:rPr>
                <w:b/>
                <w:i/>
              </w:rPr>
              <w:t>kompleksową, specjalistyczną,</w:t>
            </w:r>
            <w:r w:rsidRPr="005D44FE">
              <w:t xml:space="preserve"> skoordynowaną, odpowiednią do wieku opiekę medyczną oraz wsparcie emocjonalne, psychospołeczne, psychologiczne i edukacyjne </w:t>
            </w:r>
            <w:r w:rsidRPr="005D44FE">
              <w:rPr>
                <w:b/>
                <w:i/>
              </w:rPr>
              <w:t>uwzględniające aspekt płci</w:t>
            </w:r>
            <w:r w:rsidRPr="005D44FE">
              <w:t>, a także wszelkie inne odpowiednie wsparcie dostosowane w szczególności do sytuacji niegodziwego traktow</w:t>
            </w:r>
            <w:r w:rsidRPr="005D44FE">
              <w:t>ania w celach seksualnych.</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lastRenderedPageBreak/>
        <w:t>&lt;Amend&gt;</w:t>
      </w:r>
      <w:r w:rsidRPr="005D44FE">
        <w:t>Poprawka</w:t>
      </w:r>
      <w:r w:rsidRPr="005D44FE">
        <w:tab/>
      </w:r>
      <w:r w:rsidRPr="005D44FE">
        <w:tab/>
      </w:r>
      <w:r w:rsidRPr="005D44FE">
        <w:rPr>
          <w:rStyle w:val="HideTWBExt"/>
        </w:rPr>
        <w:t>&lt;NumAm&gt;</w:t>
      </w:r>
      <w:r w:rsidRPr="005D44FE">
        <w:t>40</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23 – ustęp 3 – litera a</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a)</w:t>
            </w:r>
            <w:r w:rsidRPr="005D44FE">
              <w:tab/>
            </w:r>
            <w:r w:rsidRPr="005D44FE">
              <w:t xml:space="preserve">co najmniej </w:t>
            </w:r>
            <w:r w:rsidRPr="005D44FE">
              <w:rPr>
                <w:b/>
                <w:i/>
              </w:rPr>
              <w:t>20</w:t>
            </w:r>
            <w:r w:rsidRPr="005D44FE">
              <w:t xml:space="preserve"> lat od dnia, w którym ofiara osiągnęła pełnoletność, w przypadku przestępstw podlegających na mocy niniejszej dyrektywy sankcji karnej w maksymalnym wymiarze co najmniej trzech lat;</w:t>
            </w:r>
          </w:p>
        </w:tc>
        <w:tc>
          <w:tcPr>
            <w:tcW w:w="4876" w:type="dxa"/>
            <w:hideMark/>
          </w:tcPr>
          <w:p w:rsidR="001A5111" w:rsidRPr="005D44FE" w:rsidRDefault="00075CAE">
            <w:pPr>
              <w:pStyle w:val="Normal6"/>
              <w:rPr>
                <w:szCs w:val="24"/>
              </w:rPr>
            </w:pPr>
            <w:r w:rsidRPr="005D44FE">
              <w:t>a)</w:t>
            </w:r>
            <w:r w:rsidRPr="005D44FE">
              <w:tab/>
              <w:t xml:space="preserve">co najmniej </w:t>
            </w:r>
            <w:r w:rsidRPr="005D44FE">
              <w:rPr>
                <w:b/>
                <w:i/>
              </w:rPr>
              <w:t>30</w:t>
            </w:r>
            <w:r w:rsidRPr="005D44FE">
              <w:t xml:space="preserve"> lat od dnia, w którym ofiara osiągnęła pe</w:t>
            </w:r>
            <w:r w:rsidRPr="005D44FE">
              <w:t>łnoletność, w przypadku przestępstw podlegających na mocy niniejszej dyrektywy sankcji karnej w maksymalnym wymiarze co najmniej trzech lat;</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41</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w:t>
      </w:r>
      <w:r w:rsidRPr="005D44FE">
        <w:rPr>
          <w:rStyle w:val="HideTWBExt"/>
        </w:rPr>
        <w:t>/DocAmend&gt;</w:t>
      </w:r>
    </w:p>
    <w:p w:rsidR="001A5111" w:rsidRPr="005D44FE" w:rsidRDefault="00075CAE" w:rsidP="001A5111">
      <w:pPr>
        <w:pStyle w:val="NormalBold"/>
      </w:pPr>
      <w:r w:rsidRPr="005D44FE">
        <w:rPr>
          <w:rStyle w:val="HideTWBExt"/>
        </w:rPr>
        <w:t>&lt;Article&gt;</w:t>
      </w:r>
      <w:r w:rsidRPr="005D44FE">
        <w:t>Artykuł 23 – ustęp 3 – litera b</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b)</w:t>
            </w:r>
            <w:r w:rsidRPr="005D44FE">
              <w:tab/>
              <w:t xml:space="preserve">co najmniej </w:t>
            </w:r>
            <w:r w:rsidRPr="005D44FE">
              <w:rPr>
                <w:b/>
                <w:i/>
              </w:rPr>
              <w:t>25</w:t>
            </w:r>
            <w:r w:rsidRPr="005D44FE">
              <w:t xml:space="preserve"> lat od dnia, w którym ofiara osiągnęła pełnoletność, w przypadku przestępstw podlegających na mocy niniejszej dyrektywy sankcji karnej w maksymalnym wymiarze co najmniej pięciu lat;</w:t>
            </w:r>
          </w:p>
        </w:tc>
        <w:tc>
          <w:tcPr>
            <w:tcW w:w="4876" w:type="dxa"/>
            <w:hideMark/>
          </w:tcPr>
          <w:p w:rsidR="001A5111" w:rsidRPr="005D44FE" w:rsidRDefault="00075CAE">
            <w:pPr>
              <w:pStyle w:val="Normal6"/>
              <w:rPr>
                <w:szCs w:val="24"/>
              </w:rPr>
            </w:pPr>
            <w:r w:rsidRPr="005D44FE">
              <w:t>b)</w:t>
            </w:r>
            <w:r w:rsidRPr="005D44FE">
              <w:tab/>
              <w:t xml:space="preserve">co najmniej </w:t>
            </w:r>
            <w:r w:rsidRPr="005D44FE">
              <w:rPr>
                <w:b/>
                <w:i/>
              </w:rPr>
              <w:t>35</w:t>
            </w:r>
            <w:r w:rsidRPr="005D44FE">
              <w:t xml:space="preserve"> lat od dnia, w którym ofiara osiągnęła pełnoletność, w </w:t>
            </w:r>
            <w:r w:rsidRPr="005D44FE">
              <w:t>przypadku przestępstw podlegających na mocy niniejszej dyrektywy sankcji karnej w maksymalnym wymiarze co najmniej pięciu lat;</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42</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w:t>
      </w:r>
      <w:r w:rsidRPr="005D44FE">
        <w:rPr>
          <w:rStyle w:val="HideTWBExt"/>
        </w:rPr>
        <w:t>ticle&gt;</w:t>
      </w:r>
      <w:r w:rsidRPr="005D44FE">
        <w:t>Artykuł 23 – ustęp 3 – litera c</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c)</w:t>
            </w:r>
            <w:r w:rsidRPr="005D44FE">
              <w:tab/>
              <w:t xml:space="preserve">co najmniej </w:t>
            </w:r>
            <w:r w:rsidRPr="005D44FE">
              <w:rPr>
                <w:b/>
                <w:i/>
              </w:rPr>
              <w:t>30</w:t>
            </w:r>
            <w:r w:rsidRPr="005D44FE">
              <w:t xml:space="preserve"> lat od dnia, w którym ofiara osiągnęła pełnoletność, w przypadku przestępstw podlegających na mocy niniejszej dyrektywy sankcji karnej w maksymalnym wymiarze co najmniej ośmiu lat.</w:t>
            </w:r>
          </w:p>
        </w:tc>
        <w:tc>
          <w:tcPr>
            <w:tcW w:w="4876" w:type="dxa"/>
            <w:hideMark/>
          </w:tcPr>
          <w:p w:rsidR="001A5111" w:rsidRPr="005D44FE" w:rsidRDefault="00075CAE">
            <w:pPr>
              <w:pStyle w:val="Normal6"/>
              <w:rPr>
                <w:szCs w:val="24"/>
              </w:rPr>
            </w:pPr>
            <w:r w:rsidRPr="005D44FE">
              <w:t>c)</w:t>
            </w:r>
            <w:r w:rsidRPr="005D44FE">
              <w:tab/>
              <w:t xml:space="preserve">co najmniej </w:t>
            </w:r>
            <w:r w:rsidRPr="005D44FE">
              <w:rPr>
                <w:b/>
                <w:i/>
              </w:rPr>
              <w:t>40</w:t>
            </w:r>
            <w:r w:rsidRPr="005D44FE">
              <w:t xml:space="preserve"> lat od dnia, w którym ofiara osiągnęła pełnoletność, w p</w:t>
            </w:r>
            <w:r w:rsidRPr="005D44FE">
              <w:t>rzypadku przestępstw podlegających na mocy niniejszej dyrektywy sankcji karnej w maksymalnym wymiarze co najmniej ośmiu lat.</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43</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28 – ustęp 1</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1.</w:t>
            </w:r>
            <w:r w:rsidRPr="005D44FE">
              <w:tab/>
              <w:t>Aby osłabić i ograniczyć popyt sprzyjający wszelkim formom wykorzystywania seksualnego dzieci, państwa członkowskie wprowadzają odpowiednie środki, takie jak działania w</w:t>
            </w:r>
            <w:r w:rsidRPr="005D44FE">
              <w:t xml:space="preserve"> dziedzinie kształcenia i szkoleń, kampanie informacyjne i uświadamiające na temat odczuwalnych przez całe życie konsekwencji niegodziwego traktowania dzieci w celach seksualnych, jego nielegalnego charakteru oraz możliwości dostępu do specjalnie dostosowa</w:t>
            </w:r>
            <w:r w:rsidRPr="005D44FE">
              <w:t>nych i skutecznych programów lub środków interwencyjnych dla osób, które obawiają się, że mogą popełnić przestępstwa powiązane .</w:t>
            </w:r>
          </w:p>
        </w:tc>
        <w:tc>
          <w:tcPr>
            <w:tcW w:w="4876" w:type="dxa"/>
            <w:hideMark/>
          </w:tcPr>
          <w:p w:rsidR="001A5111" w:rsidRPr="005D44FE" w:rsidRDefault="00075CAE">
            <w:pPr>
              <w:pStyle w:val="Normal6"/>
              <w:rPr>
                <w:szCs w:val="24"/>
              </w:rPr>
            </w:pPr>
            <w:r w:rsidRPr="005D44FE">
              <w:t>1.</w:t>
            </w:r>
            <w:r w:rsidRPr="005D44FE">
              <w:tab/>
              <w:t>Aby osłabić i ograniczyć popyt sprzyjający wszelkim formom wykorzystywania seksualnego dzieci, państwa członkowskie wprowadz</w:t>
            </w:r>
            <w:r w:rsidRPr="005D44FE">
              <w:t>ają odpowiednie środki, takie jak działania w dziedzinie kształcenia i szkoleń, kampanie informacyjne i uświadamiające na temat odczuwalnych przez całe życie konsekwencji niegodziwego traktowania dzieci w celach seksualnych, jego nielegalnego charakteru or</w:t>
            </w:r>
            <w:r w:rsidRPr="005D44FE">
              <w:t>az możliwości dostępu do specjalnie dostosowanych i skutecznych programów lub środków interwencyjnych dla osób, które obawiają się, że mogą popełnić przestępstwa powiązane.</w:t>
            </w:r>
            <w:r w:rsidRPr="005D44FE">
              <w:rPr>
                <w:b/>
                <w:i/>
              </w:rPr>
              <w:t xml:space="preserve"> Państwa członkowskie opracowują strategię komunikacji oraz wspierają dialog i współ</w:t>
            </w:r>
            <w:r w:rsidRPr="005D44FE">
              <w:rPr>
                <w:b/>
                <w:i/>
              </w:rPr>
              <w:t>pracę z organizacjami społeczeństwa obywatelskiego, infoliniami, telefonami zaufania, organami publicznymi i odpowiednimi usługami społeczeństwa informacyjnego.</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44</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 xml:space="preserve">Wniosek </w:t>
      </w:r>
      <w:r w:rsidRPr="005D44FE">
        <w:t>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28 – ustęp 2</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2.</w:t>
            </w:r>
            <w:r w:rsidRPr="005D44FE">
              <w:tab/>
              <w:t xml:space="preserve">Państwa członkowskie podejmują, w odpowiednich przypadkach we współpracy z właściwymi organizacjami społeczeństwa obywatelskiego i innymi </w:t>
            </w:r>
            <w:r w:rsidRPr="005D44FE">
              <w:lastRenderedPageBreak/>
              <w:t xml:space="preserve">zainteresowanymi stronami – również za pośrednictwem internetu – odpowiednie działania, takie jak kampanie informacyjne i uświadamiające oraz programy lub materiały badawcze, edukacyjne i szkoleniowe służące podniesieniu świadomości i ograniczeniu ryzyka, </w:t>
            </w:r>
            <w:r w:rsidRPr="005D44FE">
              <w:t>że dzieci staną się ofiarami niegodziwego traktowania w celach seksualnych lub wykorzystywania seksualnego.</w:t>
            </w:r>
          </w:p>
        </w:tc>
        <w:tc>
          <w:tcPr>
            <w:tcW w:w="4876" w:type="dxa"/>
            <w:hideMark/>
          </w:tcPr>
          <w:p w:rsidR="001A5111" w:rsidRPr="005D44FE" w:rsidRDefault="00075CAE">
            <w:pPr>
              <w:pStyle w:val="Normal6"/>
              <w:rPr>
                <w:szCs w:val="24"/>
              </w:rPr>
            </w:pPr>
            <w:r w:rsidRPr="005D44FE">
              <w:lastRenderedPageBreak/>
              <w:t>2.</w:t>
            </w:r>
            <w:r w:rsidRPr="005D44FE">
              <w:tab/>
              <w:t xml:space="preserve">Państwa członkowskie podejmują, w odpowiednich przypadkach we współpracy z właściwymi organizacjami społeczeństwa obywatelskiego i innymi </w:t>
            </w:r>
            <w:r w:rsidRPr="005D44FE">
              <w:lastRenderedPageBreak/>
              <w:t>zainter</w:t>
            </w:r>
            <w:r w:rsidRPr="005D44FE">
              <w:t xml:space="preserve">esowanymi stronami – również za pośrednictwem internetu – odpowiednie działania, takie jak kampanie informacyjne i uświadamiające oraz programy lub materiały badawcze, edukacyjne i szkoleniowe, </w:t>
            </w:r>
            <w:r w:rsidRPr="005D44FE">
              <w:rPr>
                <w:b/>
                <w:i/>
              </w:rPr>
              <w:t>w tym dotyczące edukacji seksualnej lub zasad bezpiecznego kor</w:t>
            </w:r>
            <w:r w:rsidRPr="005D44FE">
              <w:rPr>
                <w:b/>
                <w:i/>
              </w:rPr>
              <w:t>zystania z internetu,</w:t>
            </w:r>
            <w:r w:rsidRPr="005D44FE">
              <w:t xml:space="preserve"> służące podniesieniu świadomości i ograniczeniu ryzyka, że dzieci staną się ofiarami niegodziwego traktowania w celach seksualnych lub wykorzystywania seksualnego.</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45</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28 – ustęp 3</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3.</w:t>
            </w:r>
            <w:r w:rsidRPr="005D44FE">
              <w:tab/>
            </w:r>
            <w:r w:rsidRPr="005D44FE">
              <w:t>Każde państwo członkowskie propaguje regularne szkolenie, w tym w zakresie wymiaru sprawiedliwości przyjaznego dziecku, skierowane do specjalistów, sędziów i urzędników, którzy mogą mieć kontakt z dziećmi będącymi ofiarami niegodziwego traktowania w celach</w:t>
            </w:r>
            <w:r w:rsidRPr="005D44FE">
              <w:t xml:space="preserve"> seksualnych lub wykorzystywania seksualnego, m.in. specjalistów w dziedzinie ochrony dzieci, przedstawicieli zawodów prawniczych, nauczycieli </w:t>
            </w:r>
            <w:r w:rsidRPr="005D44FE">
              <w:rPr>
                <w:b/>
                <w:i/>
              </w:rPr>
              <w:t>i</w:t>
            </w:r>
            <w:r w:rsidRPr="005D44FE">
              <w:t xml:space="preserve"> pedagogów, sędziów sądów rodzinnych i policjantów, mające na celu umożliwienie im identyfikacji dzieci będących</w:t>
            </w:r>
            <w:r w:rsidRPr="005D44FE">
              <w:t xml:space="preserve"> ofiarami i potencjalnymi ofiarami niegodziwego traktowania w celach seksualnych lub wykorzystywania seksualnego.</w:t>
            </w:r>
          </w:p>
        </w:tc>
        <w:tc>
          <w:tcPr>
            <w:tcW w:w="4876" w:type="dxa"/>
            <w:hideMark/>
          </w:tcPr>
          <w:p w:rsidR="001A5111" w:rsidRPr="005D44FE" w:rsidRDefault="00075CAE">
            <w:pPr>
              <w:pStyle w:val="Normal6"/>
              <w:rPr>
                <w:szCs w:val="24"/>
              </w:rPr>
            </w:pPr>
            <w:r w:rsidRPr="005D44FE">
              <w:t>3.</w:t>
            </w:r>
            <w:r w:rsidRPr="005D44FE">
              <w:tab/>
              <w:t>Każde państwo członkowskie propaguje regularne szkolenie, w tym w zakresie wymiaru sprawiedliwości przyjaznego dziecku, skierowane do specj</w:t>
            </w:r>
            <w:r w:rsidRPr="005D44FE">
              <w:t>alistów, sędziów i urzędników, którzy mogą mieć kontakt z dziećmi będącymi ofiarami niegodziwego traktowania w celach seksualnych lub wykorzystywania seksualnego, m.in. specjalistów w dziedzinie ochrony dzieci, przedstawicieli zawodów prawniczych, nauczyci</w:t>
            </w:r>
            <w:r w:rsidRPr="005D44FE">
              <w:t xml:space="preserve">eli, </w:t>
            </w:r>
            <w:r w:rsidRPr="005D44FE">
              <w:rPr>
                <w:b/>
                <w:i/>
              </w:rPr>
              <w:t>pracowników placówek opieki nad dziećmi, pracowników służby zdrowia,</w:t>
            </w:r>
            <w:r w:rsidRPr="005D44FE">
              <w:t xml:space="preserve"> pedagogów, sędziów sądów rodzinnych i policjantów, mające na celu umożliwienie im identyfikacji dzieci będących ofiarami i potencjalnymi ofiarami niegodziwego traktowania w celach se</w:t>
            </w:r>
            <w:r w:rsidRPr="005D44FE">
              <w:t>ksualnych lub wykorzystywania seksualnego.</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lastRenderedPageBreak/>
        <w:t>&lt;Amend&gt;</w:t>
      </w:r>
      <w:r w:rsidRPr="005D44FE">
        <w:t>Poprawka</w:t>
      </w:r>
      <w:r w:rsidRPr="005D44FE">
        <w:tab/>
      </w:r>
      <w:r w:rsidRPr="005D44FE">
        <w:tab/>
      </w:r>
      <w:r w:rsidRPr="005D44FE">
        <w:rPr>
          <w:rStyle w:val="HideTWBExt"/>
        </w:rPr>
        <w:t>&lt;NumAm&gt;</w:t>
      </w:r>
      <w:r w:rsidRPr="005D44FE">
        <w:t>46</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28 – ustęp 4 – akapit 1</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 xml:space="preserve">Państwa członkowskie wprowadzają odpowiednie środki służące </w:t>
            </w:r>
            <w:r w:rsidRPr="005D44FE">
              <w:rPr>
                <w:b/>
                <w:i/>
              </w:rPr>
              <w:t>poprawie skuteczności</w:t>
            </w:r>
            <w:r w:rsidRPr="005D44FE">
              <w:t xml:space="preserve"> zapobiegania niegodziwemu traktowaniu dzieci w celach seksualnych w środowisku społeczności lokalnych, w tym w szkołach, szpitalach, ośrodkach opieki społecznej, kl</w:t>
            </w:r>
            <w:r w:rsidRPr="005D44FE">
              <w:t>ubach sportowych lub wspólnotach religijnych.</w:t>
            </w:r>
          </w:p>
        </w:tc>
        <w:tc>
          <w:tcPr>
            <w:tcW w:w="4876" w:type="dxa"/>
            <w:hideMark/>
          </w:tcPr>
          <w:p w:rsidR="001A5111" w:rsidRPr="005D44FE" w:rsidRDefault="00075CAE">
            <w:pPr>
              <w:pStyle w:val="Normal6"/>
              <w:rPr>
                <w:szCs w:val="24"/>
              </w:rPr>
            </w:pPr>
            <w:r w:rsidRPr="005D44FE">
              <w:rPr>
                <w:b/>
                <w:i/>
              </w:rPr>
              <w:t>Aby wyposażyć dzieci i dorosłych, w tym rodziców i pedagogów, w odpowiednie umiejętności wykrywania potencjalnych zachowań w internecie wskazujących na złe intencje,</w:t>
            </w:r>
            <w:r w:rsidRPr="005D44FE">
              <w:t xml:space="preserve"> państwa członkowskie wprowadzają odpowiednie</w:t>
            </w:r>
            <w:r w:rsidRPr="005D44FE">
              <w:t xml:space="preserve"> środki służące </w:t>
            </w:r>
            <w:r w:rsidRPr="005D44FE">
              <w:rPr>
                <w:b/>
                <w:i/>
              </w:rPr>
              <w:t>zapewnieniu</w:t>
            </w:r>
            <w:r w:rsidRPr="005D44FE">
              <w:t xml:space="preserve"> zapobiegania niegodziwemu traktowaniu dzieci w celach seksualnych w środowisku społeczności lokalnych, w tym w szkołach, szpitalach, ośrodkach opieki społecznej, </w:t>
            </w:r>
            <w:r w:rsidRPr="005D44FE">
              <w:rPr>
                <w:b/>
                <w:i/>
              </w:rPr>
              <w:t>żłobkach,</w:t>
            </w:r>
            <w:r w:rsidRPr="005D44FE">
              <w:t xml:space="preserve"> klubach sportowych lub wspólnotach religijnych.</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47</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28 – ustęp 4 – akapit 2 – litera a</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a)</w:t>
            </w:r>
            <w:r w:rsidRPr="005D44FE">
              <w:tab/>
            </w:r>
            <w:r w:rsidRPr="005D44FE">
              <w:t xml:space="preserve">specjalne szkolenia i działania zwiększające świadomość skierowane do personelu </w:t>
            </w:r>
            <w:r w:rsidRPr="005D44FE">
              <w:rPr>
                <w:b/>
                <w:i/>
              </w:rPr>
              <w:t>pracującego w takich miejscach</w:t>
            </w:r>
            <w:r w:rsidRPr="005D44FE">
              <w:t>;</w:t>
            </w:r>
          </w:p>
        </w:tc>
        <w:tc>
          <w:tcPr>
            <w:tcW w:w="4876" w:type="dxa"/>
            <w:hideMark/>
          </w:tcPr>
          <w:p w:rsidR="001A5111" w:rsidRPr="005D44FE" w:rsidRDefault="00075CAE">
            <w:pPr>
              <w:pStyle w:val="Normal6"/>
              <w:rPr>
                <w:szCs w:val="24"/>
              </w:rPr>
            </w:pPr>
            <w:r w:rsidRPr="005D44FE">
              <w:t>a)</w:t>
            </w:r>
            <w:r w:rsidRPr="005D44FE">
              <w:tab/>
              <w:t>specjalne szkolenia i działania zwiększające świadomość skierowane do personelu</w:t>
            </w:r>
            <w:r w:rsidRPr="005D44FE">
              <w:rPr>
                <w:b/>
                <w:i/>
              </w:rPr>
              <w:t>, konsultantów i wolontariuszy pracujących w bliskim kontakcie</w:t>
            </w:r>
            <w:r w:rsidRPr="005D44FE">
              <w:rPr>
                <w:b/>
                <w:i/>
              </w:rPr>
              <w:t xml:space="preserve"> z dziećmi, w tym dotyczące sposobu zapobiegania niegodziwemu traktowaniu w celach seksualnych i seksualnego wykorzystywania dzieci, jego identyfikacji oraz zapewnienia reakcji odpowiedniej do wieku, wrażliwej na płeć i świadomej przeżywanej traumy</w:t>
            </w:r>
            <w:r w:rsidRPr="005D44FE">
              <w:t>;</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lastRenderedPageBreak/>
        <w:t>&lt;Amend&gt;</w:t>
      </w:r>
      <w:r w:rsidRPr="005D44FE">
        <w:t>Poprawka</w:t>
      </w:r>
      <w:r w:rsidRPr="005D44FE">
        <w:tab/>
      </w:r>
      <w:r w:rsidRPr="005D44FE">
        <w:tab/>
      </w:r>
      <w:r w:rsidRPr="005D44FE">
        <w:rPr>
          <w:rStyle w:val="HideTWBExt"/>
        </w:rPr>
        <w:t>&lt;NumAm&gt;</w:t>
      </w:r>
      <w:r w:rsidRPr="005D44FE">
        <w:t>48</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28 – ustęp 4 – akapit 2 – litera b</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b)</w:t>
            </w:r>
            <w:r w:rsidRPr="005D44FE">
              <w:tab/>
              <w:t xml:space="preserve">specjalne wytyczne, </w:t>
            </w:r>
            <w:r w:rsidRPr="005D44FE">
              <w:t>protokoły wewnętrzne i normy określające dobre praktyki, takie jak ustanowienie mechanizmów nadzoru i rozliczalności personelu pracującego w bliskim kontakcie z dziećmi w takich miejscach;</w:t>
            </w:r>
          </w:p>
        </w:tc>
        <w:tc>
          <w:tcPr>
            <w:tcW w:w="4876" w:type="dxa"/>
            <w:hideMark/>
          </w:tcPr>
          <w:p w:rsidR="001A5111" w:rsidRPr="005D44FE" w:rsidRDefault="00075CAE">
            <w:pPr>
              <w:pStyle w:val="Normal6"/>
              <w:rPr>
                <w:szCs w:val="24"/>
              </w:rPr>
            </w:pPr>
            <w:r w:rsidRPr="005D44FE">
              <w:t>b)</w:t>
            </w:r>
            <w:r w:rsidRPr="005D44FE">
              <w:tab/>
            </w:r>
            <w:r w:rsidRPr="005D44FE">
              <w:rPr>
                <w:b/>
                <w:i/>
              </w:rPr>
              <w:t>obowiązkowe strategie ochrony dzieci,</w:t>
            </w:r>
            <w:r w:rsidRPr="005D44FE">
              <w:t xml:space="preserve"> specjalne wytyczne, protok</w:t>
            </w:r>
            <w:r w:rsidRPr="005D44FE">
              <w:t>oły wewnętrzne i normy określające dobre praktyki, takie jak ustanowienie mechanizmów nadzoru i rozliczalności personelu pracującego w bliskim kontakcie z dziećmi w takich miejscach;</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49</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28 – ustęp 5 – litera c</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c)</w:t>
            </w:r>
            <w:r w:rsidRPr="005D44FE">
              <w:tab/>
              <w:t>ułatwia wymianę najlepszych praktyk między państwami członkowskimi i państwami trzecimi przez prowad</w:t>
            </w:r>
            <w:r w:rsidRPr="005D44FE">
              <w:t>zenie publicznej bazy danych o środkach i programach zapobiegawczych realizowanych w poszczególnych państwach członkowskich oraz w państwach trzecich</w:t>
            </w:r>
            <w:r w:rsidRPr="005D44FE">
              <w:rPr>
                <w:b/>
                <w:i/>
              </w:rPr>
              <w:t>.</w:t>
            </w:r>
          </w:p>
        </w:tc>
        <w:tc>
          <w:tcPr>
            <w:tcW w:w="4876" w:type="dxa"/>
            <w:hideMark/>
          </w:tcPr>
          <w:p w:rsidR="001A5111" w:rsidRPr="005D44FE" w:rsidRDefault="00075CAE">
            <w:pPr>
              <w:pStyle w:val="Normal6"/>
              <w:rPr>
                <w:szCs w:val="24"/>
              </w:rPr>
            </w:pPr>
            <w:r w:rsidRPr="005D44FE">
              <w:t>c)</w:t>
            </w:r>
            <w:r w:rsidRPr="005D44FE">
              <w:tab/>
              <w:t xml:space="preserve">ułatwia </w:t>
            </w:r>
            <w:r w:rsidRPr="005D44FE">
              <w:rPr>
                <w:b/>
                <w:i/>
              </w:rPr>
              <w:t>tworzenie i</w:t>
            </w:r>
            <w:r w:rsidRPr="005D44FE">
              <w:t xml:space="preserve"> wymianę </w:t>
            </w:r>
            <w:r w:rsidRPr="005D44FE">
              <w:rPr>
                <w:b/>
                <w:i/>
              </w:rPr>
              <w:t>wiedzy,</w:t>
            </w:r>
            <w:r w:rsidRPr="005D44FE">
              <w:t xml:space="preserve"> najlepszych praktyk </w:t>
            </w:r>
            <w:r w:rsidRPr="005D44FE">
              <w:rPr>
                <w:b/>
                <w:i/>
              </w:rPr>
              <w:t>i wiedzy fachowej</w:t>
            </w:r>
            <w:r w:rsidRPr="005D44FE">
              <w:t xml:space="preserve"> między państwami członkowskimi</w:t>
            </w:r>
            <w:r w:rsidRPr="005D44FE">
              <w:rPr>
                <w:b/>
                <w:i/>
              </w:rPr>
              <w:t>, instytucjami, organami, urzędami i agencjami Unii</w:t>
            </w:r>
            <w:r w:rsidRPr="005D44FE">
              <w:t xml:space="preserve"> i państwami trzecimi przez prowadzenie publicznej bazy danych o środkach i programach zapobiegawczych realizowanych w poszczególnych państwach członkowskich oraz w państwach</w:t>
            </w:r>
            <w:r w:rsidRPr="005D44FE">
              <w:t xml:space="preserve"> trzecich</w:t>
            </w:r>
            <w:r w:rsidRPr="005D44FE">
              <w:rPr>
                <w:b/>
                <w:i/>
              </w:rPr>
              <w:t>;</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50</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28 – ustęp 5 – litera c a (nowa)</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tcPr>
          <w:p w:rsidR="001A5111" w:rsidRPr="005D44FE" w:rsidRDefault="001A5111">
            <w:pPr>
              <w:pStyle w:val="Normal6"/>
            </w:pPr>
          </w:p>
        </w:tc>
        <w:tc>
          <w:tcPr>
            <w:tcW w:w="4876" w:type="dxa"/>
            <w:hideMark/>
          </w:tcPr>
          <w:p w:rsidR="001A5111" w:rsidRPr="005D44FE" w:rsidRDefault="00075CAE">
            <w:pPr>
              <w:pStyle w:val="Normal6"/>
              <w:rPr>
                <w:szCs w:val="24"/>
              </w:rPr>
            </w:pPr>
            <w:r w:rsidRPr="005D44FE">
              <w:rPr>
                <w:b/>
                <w:i/>
              </w:rPr>
              <w:t>ca)</w:t>
            </w:r>
            <w:r w:rsidRPr="005D44FE">
              <w:rPr>
                <w:b/>
                <w:i/>
              </w:rPr>
              <w:tab/>
              <w:t xml:space="preserve">wspiera </w:t>
            </w:r>
            <w:r w:rsidRPr="005D44FE">
              <w:rPr>
                <w:b/>
                <w:i/>
              </w:rPr>
              <w:t xml:space="preserve">opracowywanie krajowych kampanii mających na celu podnoszenie </w:t>
            </w:r>
            <w:r w:rsidRPr="005D44FE">
              <w:rPr>
                <w:b/>
                <w:i/>
              </w:rPr>
              <w:lastRenderedPageBreak/>
              <w:t>świadomości i zapobieganie oraz programów, narzędzi i materiałów edukacyjnych i interwencyjnych.</w:t>
            </w:r>
          </w:p>
        </w:tc>
      </w:tr>
    </w:tbl>
    <w:p w:rsidR="001A5111" w:rsidRPr="005D44FE" w:rsidRDefault="00075CAE" w:rsidP="001A5111">
      <w:pPr>
        <w:pStyle w:val="Olang"/>
      </w:pPr>
      <w:r w:rsidRPr="005D44FE">
        <w:rPr>
          <w:noProof w:val="0"/>
        </w:rPr>
        <w:lastRenderedPageBreak/>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w:t>
      </w:r>
    </w:p>
    <w:p w:rsidR="001A5111" w:rsidRPr="005D44FE" w:rsidRDefault="00075CAE" w:rsidP="001A5111">
      <w:pPr>
        <w:pStyle w:val="AMNumberTabs0"/>
        <w:keepNext/>
      </w:pPr>
      <w:r w:rsidRPr="005D44FE">
        <w:rPr>
          <w:rStyle w:val="HideTWBExt"/>
        </w:rPr>
        <w:t>&lt;Amend&gt;</w:t>
      </w:r>
      <w:r w:rsidRPr="005D44FE">
        <w:t>Poprawka</w:t>
      </w:r>
      <w:r w:rsidRPr="005D44FE">
        <w:tab/>
      </w:r>
      <w:r w:rsidRPr="005D44FE">
        <w:tab/>
      </w:r>
      <w:r w:rsidRPr="005D44FE">
        <w:rPr>
          <w:rStyle w:val="HideTWBExt"/>
        </w:rPr>
        <w:t>&lt;NumAm&gt;</w:t>
      </w:r>
      <w:r w:rsidRPr="005D44FE">
        <w:t>51</w:t>
      </w:r>
      <w:r w:rsidRPr="005D44FE">
        <w:rPr>
          <w:rStyle w:val="HideTWBExt"/>
        </w:rPr>
        <w:t>&lt;/NumAm&gt;</w:t>
      </w:r>
    </w:p>
    <w:p w:rsidR="001A5111" w:rsidRPr="005D44FE" w:rsidRDefault="00075CAE" w:rsidP="001A5111">
      <w:pPr>
        <w:pStyle w:val="NormalBold12b"/>
        <w:keepNext/>
      </w:pPr>
      <w:r w:rsidRPr="005D44FE">
        <w:rPr>
          <w:rStyle w:val="HideTWBExt"/>
        </w:rPr>
        <w:t>&lt;DocAmend&gt;</w:t>
      </w:r>
      <w:r w:rsidRPr="005D44FE">
        <w:t>Wniosek do</w:t>
      </w:r>
      <w:r w:rsidRPr="005D44FE">
        <w:t>tyczący dyrektywy</w:t>
      </w:r>
      <w:r w:rsidRPr="005D44FE">
        <w:rPr>
          <w:rStyle w:val="HideTWBExt"/>
        </w:rPr>
        <w:t>&lt;/DocAmend&gt;</w:t>
      </w:r>
    </w:p>
    <w:p w:rsidR="001A5111" w:rsidRPr="005D44FE" w:rsidRDefault="00075CAE" w:rsidP="001A5111">
      <w:pPr>
        <w:pStyle w:val="NormalBold"/>
      </w:pPr>
      <w:r w:rsidRPr="005D44FE">
        <w:rPr>
          <w:rStyle w:val="HideTWBExt"/>
        </w:rPr>
        <w:t>&lt;Article&gt;</w:t>
      </w:r>
      <w:r w:rsidRPr="005D44FE">
        <w:t>Artykuł 31 – ustęp 1</w:t>
      </w:r>
      <w:r w:rsidRPr="005D44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26B" w:rsidRPr="005D44FE" w:rsidTr="001A5111">
        <w:trPr>
          <w:jc w:val="center"/>
        </w:trPr>
        <w:tc>
          <w:tcPr>
            <w:tcW w:w="9752" w:type="dxa"/>
            <w:gridSpan w:val="2"/>
          </w:tcPr>
          <w:p w:rsidR="001A5111" w:rsidRPr="005D44FE" w:rsidRDefault="001A5111">
            <w:pPr>
              <w:keepNext/>
            </w:pPr>
          </w:p>
        </w:tc>
      </w:tr>
      <w:tr w:rsidR="00E6526B" w:rsidRPr="005D44FE" w:rsidTr="001A5111">
        <w:trPr>
          <w:jc w:val="center"/>
        </w:trPr>
        <w:tc>
          <w:tcPr>
            <w:tcW w:w="4876" w:type="dxa"/>
            <w:hideMark/>
          </w:tcPr>
          <w:p w:rsidR="001A5111" w:rsidRPr="005D44FE" w:rsidRDefault="00075CAE">
            <w:pPr>
              <w:pStyle w:val="ColumnHeading"/>
              <w:keepNext/>
            </w:pPr>
            <w:r w:rsidRPr="005D44FE">
              <w:t>Tekst proponowany przez Komisję</w:t>
            </w:r>
          </w:p>
        </w:tc>
        <w:tc>
          <w:tcPr>
            <w:tcW w:w="4876" w:type="dxa"/>
            <w:hideMark/>
          </w:tcPr>
          <w:p w:rsidR="001A5111" w:rsidRPr="005D44FE" w:rsidRDefault="00075CAE">
            <w:pPr>
              <w:pStyle w:val="ColumnHeading"/>
              <w:keepNext/>
            </w:pPr>
            <w:r w:rsidRPr="005D44FE">
              <w:t>Poprawka</w:t>
            </w:r>
          </w:p>
        </w:tc>
      </w:tr>
      <w:tr w:rsidR="00E6526B" w:rsidRPr="005D44FE" w:rsidTr="001A5111">
        <w:trPr>
          <w:jc w:val="center"/>
        </w:trPr>
        <w:tc>
          <w:tcPr>
            <w:tcW w:w="4876" w:type="dxa"/>
            <w:hideMark/>
          </w:tcPr>
          <w:p w:rsidR="001A5111" w:rsidRPr="005D44FE" w:rsidRDefault="00075CAE">
            <w:pPr>
              <w:pStyle w:val="Normal6"/>
            </w:pPr>
            <w:r w:rsidRPr="005D44FE">
              <w:t>1.</w:t>
            </w:r>
            <w:r w:rsidRPr="005D44FE">
              <w:tab/>
              <w:t xml:space="preserve">Państwa członkowskie dysponują systemem </w:t>
            </w:r>
            <w:r w:rsidRPr="005D44FE">
              <w:rPr>
                <w:b/>
                <w:i/>
              </w:rPr>
              <w:t>gromadzenia, opracowywania,</w:t>
            </w:r>
            <w:r w:rsidRPr="005D44FE">
              <w:t xml:space="preserve"> tworzenia i </w:t>
            </w:r>
            <w:r w:rsidRPr="005D44FE">
              <w:rPr>
                <w:b/>
                <w:i/>
              </w:rPr>
              <w:t>rozpowszechniania statystyk publicznych</w:t>
            </w:r>
            <w:r w:rsidRPr="005D44FE">
              <w:t xml:space="preserve"> dotyczących przestępstw, o których mowa w art. 3–9.</w:t>
            </w:r>
          </w:p>
        </w:tc>
        <w:tc>
          <w:tcPr>
            <w:tcW w:w="4876" w:type="dxa"/>
            <w:hideMark/>
          </w:tcPr>
          <w:p w:rsidR="001A5111" w:rsidRPr="005D44FE" w:rsidRDefault="00075CAE">
            <w:pPr>
              <w:pStyle w:val="Normal6"/>
              <w:rPr>
                <w:szCs w:val="24"/>
              </w:rPr>
            </w:pPr>
            <w:r w:rsidRPr="005D44FE">
              <w:t>1.</w:t>
            </w:r>
            <w:r w:rsidRPr="005D44FE">
              <w:tab/>
              <w:t xml:space="preserve">Państwa członkowskie dysponują systemem </w:t>
            </w:r>
            <w:r w:rsidRPr="005D44FE">
              <w:rPr>
                <w:b/>
                <w:i/>
              </w:rPr>
              <w:t>rejestrowania,</w:t>
            </w:r>
            <w:r w:rsidRPr="005D44FE">
              <w:t xml:space="preserve"> tworzenia i </w:t>
            </w:r>
            <w:r w:rsidRPr="005D44FE">
              <w:rPr>
                <w:b/>
                <w:i/>
              </w:rPr>
              <w:t>dostarczania zanonimizowanych danych statystycznych</w:t>
            </w:r>
            <w:r w:rsidRPr="005D44FE">
              <w:t xml:space="preserve"> dotyczących </w:t>
            </w:r>
            <w:r w:rsidRPr="005D44FE">
              <w:rPr>
                <w:b/>
                <w:i/>
              </w:rPr>
              <w:t>etapów sprawozdawczych, dochodzeniowych i sądowych w odniesieniu do</w:t>
            </w:r>
            <w:r w:rsidRPr="005D44FE">
              <w:t xml:space="preserve"> przestępstw, o których mowa w art. 3–9</w:t>
            </w:r>
            <w:r w:rsidRPr="005D44FE">
              <w:rPr>
                <w:b/>
                <w:i/>
              </w:rPr>
              <w:t>, w celu monitorowania skuteczności swoich środków zwalczania niegodziwego traktowania w celach seksualnych i wykorzystywania seksualnego dzieci</w:t>
            </w:r>
            <w:r w:rsidRPr="005D44FE">
              <w:t>.</w:t>
            </w:r>
          </w:p>
        </w:tc>
      </w:tr>
    </w:tbl>
    <w:p w:rsidR="001A5111" w:rsidRPr="005D44FE" w:rsidRDefault="00075CAE" w:rsidP="001A5111">
      <w:pPr>
        <w:pStyle w:val="Olang"/>
      </w:pPr>
      <w:r w:rsidRPr="005D44FE">
        <w:rPr>
          <w:noProof w:val="0"/>
        </w:rPr>
        <w:t xml:space="preserve">Or. </w:t>
      </w:r>
      <w:r w:rsidRPr="005D44FE">
        <w:rPr>
          <w:rStyle w:val="HideTWBExt"/>
          <w:noProof w:val="0"/>
        </w:rPr>
        <w:t>&lt;Original&gt;</w:t>
      </w:r>
      <w:r w:rsidRPr="005D44FE">
        <w:rPr>
          <w:rStyle w:val="HideTWBInt"/>
          <w:noProof w:val="0"/>
        </w:rPr>
        <w:t>{EN}</w:t>
      </w:r>
      <w:r w:rsidRPr="005D44FE">
        <w:rPr>
          <w:noProof w:val="0"/>
        </w:rPr>
        <w:t>en</w:t>
      </w:r>
      <w:r w:rsidRPr="005D44FE">
        <w:rPr>
          <w:rStyle w:val="HideTWBExt"/>
          <w:noProof w:val="0"/>
        </w:rPr>
        <w:t>&lt;/Original&gt;</w:t>
      </w:r>
    </w:p>
    <w:p w:rsidR="001A5111" w:rsidRPr="005D44FE" w:rsidRDefault="00075CAE" w:rsidP="001A5111">
      <w:r w:rsidRPr="005D44FE">
        <w:rPr>
          <w:rStyle w:val="HideTWBExt"/>
        </w:rPr>
        <w:t>&lt;/Amend&gt;&lt;/RepeatBlock-Amend&gt;</w:t>
      </w:r>
    </w:p>
    <w:p w:rsidR="001A5111" w:rsidRPr="005D44FE" w:rsidRDefault="001A5111" w:rsidP="001A5111">
      <w:bookmarkStart w:id="1" w:name="_GoBack"/>
      <w:bookmarkEnd w:id="1"/>
    </w:p>
    <w:p w:rsidR="001A5111" w:rsidRPr="005D44FE" w:rsidRDefault="001A5111" w:rsidP="001A5111">
      <w:pPr>
        <w:widowControl/>
        <w:sectPr w:rsidR="001A5111" w:rsidRPr="005D44FE" w:rsidSect="005D44F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rsidR="001A5111" w:rsidRPr="005D44FE" w:rsidRDefault="00075CAE" w:rsidP="001A5111">
      <w:pPr>
        <w:pStyle w:val="PageHeading"/>
      </w:pPr>
      <w:bookmarkStart w:id="2" w:name="_Toc164175737"/>
      <w:bookmarkStart w:id="3" w:name="_Toc166509455"/>
      <w:r w:rsidRPr="005D44FE">
        <w:lastRenderedPageBreak/>
        <w:t>UZASADNIENIE</w:t>
      </w:r>
      <w:bookmarkEnd w:id="2"/>
      <w:bookmarkEnd w:id="3"/>
    </w:p>
    <w:p w:rsidR="004A411F" w:rsidRPr="005D44FE" w:rsidRDefault="00075CAE" w:rsidP="004A411F">
      <w:r w:rsidRPr="005D44FE">
        <w:t>W ciągu ostatniej dekady nastąpił gwałtowny wzrost rozpowszechniania materiałów przedstawiających niegodziwe traktowanie dzieci w celach seksualnych. Katalizatorami tego wzrostu były większa obecność dzieci w internecie i najnowsze osiągnięcia</w:t>
      </w:r>
      <w:r w:rsidRPr="005D44FE">
        <w:t xml:space="preserve"> technologiczne. Narzędzia i sieci cyfrowe, takie jak transmisje strumieniowe, wirtualne światy i obrazy deepfake dają przestępcom nowe możliwości generowania i rozpowszechniania materiałów przy jednoczesnym ukrywaniu tożsamości i unikaniu dochodzenia i śc</w:t>
      </w:r>
      <w:r w:rsidRPr="005D44FE">
        <w:t>igania. Sytuację tę podkreślają alarmujące statystyki. Narodowe Centrum ds. Zaginionych i Wykorzystywanych Dzieci (National Center for Missing and Exploited Children, NCMEC), organizacja non-profit z siedzibą w Stanach Zjednoczonych, odnotowała gwałtowny w</w:t>
      </w:r>
      <w:r w:rsidRPr="005D44FE">
        <w:t>zrost liczby zgłoszeń dotyczących wykorzystywania seksualnego dzieci w internecie z 1 mln w 2010 r. do ponad 21,7 mln w 2020 r. W trakcie pandemii liczba ta wzrosła do rekordowego poziomu 29,3 mln zgłoszeń w 2021 r., obejmując prawie 85 mln wizerunków i na</w:t>
      </w:r>
      <w:r w:rsidRPr="005D44FE">
        <w:t>grań wideo. W 2022 r. liczba zgłoszeń osiągnęła ponad 32 mln, a NCMEC zidentyfikowało 49 tys. pilnych zgłoszeń dotyczących dzieci znajdujących się w bezpośrednim niebezpieczeństwie.</w:t>
      </w:r>
    </w:p>
    <w:p w:rsidR="004A411F" w:rsidRPr="005D44FE" w:rsidRDefault="004A411F" w:rsidP="004A411F"/>
    <w:p w:rsidR="004A411F" w:rsidRPr="005D44FE" w:rsidRDefault="00075CAE" w:rsidP="004A411F">
      <w:r w:rsidRPr="005D44FE">
        <w:t>Proponowane przekształcenie dyrektywy w sprawie zapobiegania niegodziwemu</w:t>
      </w:r>
      <w:r w:rsidRPr="005D44FE">
        <w:t xml:space="preserve"> traktowaniu dzieci w celach seksualnych i zwalczania tego procederu stanowi kluczowy krok naprzód w systematycznym zwalczaniu tego ohydnego przestępstwa w Unii Europejskiej. Rozszerzenie i doprecyzowanie definicji materiałów przedstawiających niegodziwe t</w:t>
      </w:r>
      <w:r w:rsidRPr="005D44FE">
        <w:t>raktowanie dzieci w celach seksualnych, w tym obrazów generowanych przez sztuczną inteligencję i podręczników instruktażowych dotyczących seksualnego wykorzystywania dzieci, stanowi bardzo potrzebny krok naprzód. Niniejszy projekt sprawozdania ma na celu p</w:t>
      </w:r>
      <w:r w:rsidRPr="005D44FE">
        <w:t>oprawienie i wzmocnienie tego bardzo pożądanego wniosku dotyczącego dyrektywy. Kluczowe aspekty niezbędne do skutecznego wdrożenia dyrektywy obejmują następujące kwestie:</w:t>
      </w:r>
    </w:p>
    <w:p w:rsidR="004A411F" w:rsidRPr="005D44FE" w:rsidRDefault="004A411F" w:rsidP="004A411F"/>
    <w:p w:rsidR="004A411F" w:rsidRPr="005D44FE" w:rsidRDefault="00075CAE" w:rsidP="004A411F">
      <w:pPr>
        <w:ind w:left="720" w:hanging="360"/>
      </w:pPr>
      <w:r w:rsidRPr="005D44FE">
        <w:rPr>
          <w:rFonts w:ascii="Symbol" w:hAnsi="Symbol"/>
        </w:rPr>
        <w:sym w:font="Symbol" w:char="F0B7"/>
      </w:r>
      <w:r w:rsidRPr="005D44FE">
        <w:rPr>
          <w:rFonts w:ascii="Symbol" w:hAnsi="Symbol"/>
        </w:rPr>
        <w:tab/>
      </w:r>
      <w:r w:rsidRPr="005D44FE">
        <w:t>konieczne jest ścisłe dostosowanie tej dyrektywy do odpowiadającego jej rozporządz</w:t>
      </w:r>
      <w:r w:rsidRPr="005D44FE">
        <w:t>enia ustanawiającego przepisy mające na celu zapobieganie niegodziwemu traktowaniu dzieci w celach seksualnych i jego zwalczanie. Jednoczesne wejście w życie obu instrumentów jest niezbędne do tego, aby prowadzić spójne i kompleksowe działania przeciwko ni</w:t>
      </w:r>
      <w:r w:rsidRPr="005D44FE">
        <w:t>egodziwemu traktowaniu dzieci w celach seksualnych. Kluczowe znaczenie dla wdrożenia tej dyrektywy ma też na przykład nowe Unijne Centrum, które ma zostać ustanowione na mocy przygotowywanego rozporządzenia, co podkreśla współzależność tych środków legisla</w:t>
      </w:r>
      <w:r w:rsidRPr="005D44FE">
        <w:t>cyjnych;</w:t>
      </w:r>
    </w:p>
    <w:p w:rsidR="004A411F" w:rsidRPr="005D44FE" w:rsidRDefault="00075CAE" w:rsidP="004A411F">
      <w:pPr>
        <w:ind w:left="720" w:hanging="360"/>
      </w:pPr>
      <w:r w:rsidRPr="005D44FE">
        <w:rPr>
          <w:rFonts w:ascii="Symbol" w:hAnsi="Symbol"/>
        </w:rPr>
        <w:sym w:font="Symbol" w:char="F0B7"/>
      </w:r>
      <w:r w:rsidRPr="005D44FE">
        <w:rPr>
          <w:rFonts w:ascii="Symbol" w:hAnsi="Symbol"/>
        </w:rPr>
        <w:tab/>
      </w:r>
      <w:r w:rsidRPr="005D44FE">
        <w:t>należy także skupić się na zacieśnieniu współpracy transgranicznej między wszystkimi zainteresowanymi stronami. Ściślejsza współpraca między właściwymi organami krajowymi, Eurojustem, Europolem i Unijnym Centrum ma zasadnicze znaczenie dla skute</w:t>
      </w:r>
      <w:r w:rsidRPr="005D44FE">
        <w:t>cznego zwalczania niegodziwego traktowania dzieci w celach seksualnych;</w:t>
      </w:r>
    </w:p>
    <w:p w:rsidR="004A411F" w:rsidRPr="005D44FE" w:rsidRDefault="00075CAE" w:rsidP="004A411F">
      <w:pPr>
        <w:ind w:left="720" w:hanging="360"/>
      </w:pPr>
      <w:r w:rsidRPr="005D44FE">
        <w:rPr>
          <w:rFonts w:ascii="Symbol" w:hAnsi="Symbol"/>
        </w:rPr>
        <w:sym w:font="Symbol" w:char="F0B7"/>
      </w:r>
      <w:r w:rsidRPr="005D44FE">
        <w:rPr>
          <w:rFonts w:ascii="Symbol" w:hAnsi="Symbol"/>
        </w:rPr>
        <w:tab/>
      </w:r>
      <w:r w:rsidRPr="005D44FE">
        <w:t xml:space="preserve">ponadto należy zintensyfikować dochodzenia w sprawie nagabywania dzieci, a także wziąć pod uwagę warunki psychiczne i fizyczne dzieci; </w:t>
      </w:r>
    </w:p>
    <w:p w:rsidR="004A411F" w:rsidRPr="005D44FE" w:rsidRDefault="00075CAE" w:rsidP="004A411F">
      <w:pPr>
        <w:ind w:left="720" w:hanging="360"/>
      </w:pPr>
      <w:r w:rsidRPr="005D44FE">
        <w:rPr>
          <w:rFonts w:ascii="Symbol" w:hAnsi="Symbol"/>
        </w:rPr>
        <w:sym w:font="Symbol" w:char="F0B7"/>
      </w:r>
      <w:r w:rsidRPr="005D44FE">
        <w:rPr>
          <w:rFonts w:ascii="Symbol" w:hAnsi="Symbol"/>
        </w:rPr>
        <w:tab/>
      </w:r>
      <w:r w:rsidRPr="005D44FE">
        <w:t>dodatkowo należy wydłużyć okresy przedawnien</w:t>
      </w:r>
      <w:r w:rsidRPr="005D44FE">
        <w:t>ia, aby zapewnić ściganie wszystkich przestępstw i dać ofiarom czas na zgłoszenie się;</w:t>
      </w:r>
    </w:p>
    <w:p w:rsidR="004A411F" w:rsidRPr="005D44FE" w:rsidRDefault="00075CAE" w:rsidP="004A411F">
      <w:pPr>
        <w:ind w:left="720" w:hanging="360"/>
      </w:pPr>
      <w:r w:rsidRPr="005D44FE">
        <w:rPr>
          <w:rFonts w:ascii="Symbol" w:hAnsi="Symbol"/>
        </w:rPr>
        <w:sym w:font="Symbol" w:char="F0B7"/>
      </w:r>
      <w:r w:rsidRPr="005D44FE">
        <w:rPr>
          <w:rFonts w:ascii="Symbol" w:hAnsi="Symbol"/>
        </w:rPr>
        <w:tab/>
      </w:r>
      <w:r w:rsidRPr="005D44FE">
        <w:t>ponadto istnieje potrzeba systematycznej poprawy współpracy między organami ścigania a organizacjami pozarządowymi działającymi w tej dziedzinie. Zapewnienie ram prawn</w:t>
      </w:r>
      <w:r w:rsidRPr="005D44FE">
        <w:t xml:space="preserve">ych dla pracy infolinii i innych organizacji działających w interesie publicznym oraz umożliwienie im inicjowania procedur powiadamiania i usuwania bezpośrednio u usługodawców ma kluczowe znaczenie dla ograniczenia </w:t>
      </w:r>
      <w:r w:rsidRPr="005D44FE">
        <w:lastRenderedPageBreak/>
        <w:t>rozpowszechniania materiałów związanych z</w:t>
      </w:r>
      <w:r w:rsidRPr="005D44FE">
        <w:t xml:space="preserve"> niegodziwym traktowaniem dzieci w celach seksualnych w cyfrowym świecie w szybszy i bardziej efektywny sposób;</w:t>
      </w:r>
    </w:p>
    <w:p w:rsidR="004A411F" w:rsidRPr="005D44FE" w:rsidRDefault="00075CAE" w:rsidP="004A411F">
      <w:pPr>
        <w:ind w:left="720" w:hanging="360"/>
      </w:pPr>
      <w:r w:rsidRPr="005D44FE">
        <w:rPr>
          <w:rFonts w:ascii="Symbol" w:hAnsi="Symbol"/>
        </w:rPr>
        <w:sym w:font="Symbol" w:char="F0B7"/>
      </w:r>
      <w:r w:rsidRPr="005D44FE">
        <w:rPr>
          <w:rFonts w:ascii="Symbol" w:hAnsi="Symbol"/>
        </w:rPr>
        <w:tab/>
      </w:r>
      <w:r w:rsidRPr="005D44FE">
        <w:t>dyrektywa ma na celu zapewnienie, aby wszystkie państwa członkowskie przestrzegały zasad określonych w modelu Barnahus, obejmujących komplekso</w:t>
      </w:r>
      <w:r w:rsidRPr="005D44FE">
        <w:t>we i skoncentrowane na dziecku podejście do dochodzeń i wsparcia ofiar. Podejście skoncentrowane na dziecku powinno również obejmować łatwo dostępne sposoby zgłaszania przestępstw przez ofiary bez konieczności składania formalnego zawiadomienia o popełnien</w:t>
      </w:r>
      <w:r w:rsidRPr="005D44FE">
        <w:t>iu przestępstwa, ponieważ może to zniechęcać ofiary do podejmowania działań;</w:t>
      </w:r>
    </w:p>
    <w:p w:rsidR="004A411F" w:rsidRPr="005D44FE" w:rsidRDefault="00075CAE" w:rsidP="004A411F">
      <w:pPr>
        <w:ind w:left="720" w:hanging="360"/>
      </w:pPr>
      <w:r w:rsidRPr="005D44FE">
        <w:rPr>
          <w:rFonts w:ascii="Symbol" w:hAnsi="Symbol"/>
        </w:rPr>
        <w:sym w:font="Symbol" w:char="F0B7"/>
      </w:r>
      <w:r w:rsidRPr="005D44FE">
        <w:rPr>
          <w:rFonts w:ascii="Symbol" w:hAnsi="Symbol"/>
        </w:rPr>
        <w:tab/>
      </w:r>
      <w:r w:rsidRPr="005D44FE">
        <w:t xml:space="preserve">ważne jest również, aby brać pod uwagę wiek ofiary jako okoliczność zaostrzającą i zapewniać, aby kary za gwałt na dziecku nie były zmniejszane, ponieważ okazało się, że ofiara </w:t>
      </w:r>
      <w:r w:rsidRPr="005D44FE">
        <w:t>przekroczyła wiek przyzwolenia;</w:t>
      </w:r>
    </w:p>
    <w:p w:rsidR="004A411F" w:rsidRPr="005D44FE" w:rsidRDefault="00075CAE" w:rsidP="004A411F">
      <w:pPr>
        <w:ind w:left="720" w:hanging="360"/>
      </w:pPr>
      <w:r w:rsidRPr="005D44FE">
        <w:rPr>
          <w:rFonts w:ascii="Symbol" w:hAnsi="Symbol"/>
        </w:rPr>
        <w:sym w:font="Symbol" w:char="F0B7"/>
      </w:r>
      <w:r w:rsidRPr="005D44FE">
        <w:rPr>
          <w:rFonts w:ascii="Symbol" w:hAnsi="Symbol"/>
        </w:rPr>
        <w:tab/>
      </w:r>
      <w:r w:rsidRPr="005D44FE">
        <w:t>ponadto należy zaktualizować terminologię zgodnie z wytycznymi określonymi przez międzyagencyjną grupę roboczą w Luksemburgu w 2016 r., co zapewni jasność i spójność ram prawnych;</w:t>
      </w:r>
    </w:p>
    <w:p w:rsidR="004A411F" w:rsidRPr="005D44FE" w:rsidRDefault="00075CAE" w:rsidP="004A411F">
      <w:pPr>
        <w:ind w:left="720" w:hanging="360"/>
      </w:pPr>
      <w:r w:rsidRPr="005D44FE">
        <w:rPr>
          <w:rFonts w:ascii="Symbol" w:hAnsi="Symbol"/>
        </w:rPr>
        <w:sym w:font="Symbol" w:char="F0B7"/>
      </w:r>
      <w:r w:rsidRPr="005D44FE">
        <w:rPr>
          <w:rFonts w:ascii="Symbol" w:hAnsi="Symbol"/>
        </w:rPr>
        <w:tab/>
      </w:r>
      <w:r w:rsidRPr="005D44FE">
        <w:t xml:space="preserve">wreszcie, w projekcie sprawozdania </w:t>
      </w:r>
      <w:r w:rsidRPr="005D44FE">
        <w:t>podkreślono potrzebę wspierania i ulepszania mechanizmów zgłaszania poprzez ułatwienie zgłaszania przypadków niegodziwego traktowania dzieci w celach seksualnych oraz zapewnienie szybkich i skutecznych działań przeciwko sprawcom.</w:t>
      </w:r>
    </w:p>
    <w:p w:rsidR="004A411F" w:rsidRPr="005D44FE" w:rsidRDefault="004A411F" w:rsidP="004A411F">
      <w:pPr>
        <w:ind w:left="720"/>
      </w:pPr>
    </w:p>
    <w:p w:rsidR="004A411F" w:rsidRPr="005D44FE" w:rsidRDefault="00075CAE" w:rsidP="004A411F">
      <w:r w:rsidRPr="005D44FE">
        <w:t>Podsumowując, proponowane</w:t>
      </w:r>
      <w:r w:rsidRPr="005D44FE">
        <w:t xml:space="preserve"> zmiany przedstawione w niniejszym projekcie sprawozdania mają kluczowe znaczenie dla zwiększenia wysiłków UE na rzecz zapobiegania niegodziwemu traktowaniu dzieci w celach seksualnych i jego zwalczania oraz ochrony praw i dobrostanu dzieci w całej Unii.</w:t>
      </w:r>
    </w:p>
    <w:p w:rsidR="00F92393" w:rsidRPr="005D44FE" w:rsidRDefault="00F92393" w:rsidP="004C022E"/>
    <w:sectPr w:rsidR="00F92393" w:rsidRPr="005D44FE" w:rsidSect="004740DD">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D44FE" w:rsidRDefault="00075CAE">
      <w:r w:rsidRPr="005D44FE">
        <w:separator/>
      </w:r>
    </w:p>
  </w:endnote>
  <w:endnote w:type="continuationSeparator" w:id="0">
    <w:p w:rsidR="00000000" w:rsidRPr="005D44FE" w:rsidRDefault="00075CAE">
      <w:r w:rsidRPr="005D44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4FE" w:rsidRPr="005D44FE" w:rsidRDefault="005D44FE" w:rsidP="005D44FE">
    <w:pPr>
      <w:pStyle w:val="EPFooter"/>
    </w:pPr>
    <w:r w:rsidRPr="005D44FE">
      <w:t>PE</w:t>
    </w:r>
    <w:r w:rsidRPr="005D44FE">
      <w:rPr>
        <w:rStyle w:val="HideTWBExt"/>
      </w:rPr>
      <w:t>&lt;NoPE&gt;</w:t>
    </w:r>
    <w:r w:rsidRPr="005D44FE">
      <w:t>761.022</w:t>
    </w:r>
    <w:r w:rsidRPr="005D44FE">
      <w:rPr>
        <w:rStyle w:val="HideTWBExt"/>
      </w:rPr>
      <w:t>&lt;/NoPE&gt;&lt;Version&gt;</w:t>
    </w:r>
    <w:r w:rsidRPr="005D44FE">
      <w:t>v01-00</w:t>
    </w:r>
    <w:r w:rsidRPr="005D44FE">
      <w:rPr>
        <w:rStyle w:val="HideTWBExt"/>
      </w:rPr>
      <w:t>&lt;/Version&gt;</w:t>
    </w:r>
    <w:r w:rsidRPr="005D44FE">
      <w:tab/>
    </w:r>
    <w:r w:rsidRPr="005D44FE">
      <w:fldChar w:fldCharType="begin"/>
    </w:r>
    <w:r w:rsidRPr="005D44FE">
      <w:instrText xml:space="preserve"> PAGE  \* MERGEFORMAT </w:instrText>
    </w:r>
    <w:r w:rsidRPr="005D44FE">
      <w:fldChar w:fldCharType="separate"/>
    </w:r>
    <w:r w:rsidR="00075CAE">
      <w:rPr>
        <w:noProof/>
      </w:rPr>
      <w:t>38</w:t>
    </w:r>
    <w:r w:rsidRPr="005D44FE">
      <w:fldChar w:fldCharType="end"/>
    </w:r>
    <w:r w:rsidRPr="005D44FE">
      <w:t>/</w:t>
    </w:r>
    <w:fldSimple w:instr=" NUMPAGES  \* MERGEFORMAT ">
      <w:r w:rsidR="00075CAE">
        <w:rPr>
          <w:noProof/>
        </w:rPr>
        <w:t>39</w:t>
      </w:r>
    </w:fldSimple>
    <w:r w:rsidRPr="005D44FE">
      <w:tab/>
    </w:r>
    <w:r w:rsidRPr="005D44FE">
      <w:rPr>
        <w:rStyle w:val="HideTWBExt"/>
      </w:rPr>
      <w:t>&lt;PathFdR&gt;</w:t>
    </w:r>
    <w:r w:rsidRPr="005D44FE">
      <w:t>PR\1301224PL.docx</w:t>
    </w:r>
    <w:r w:rsidRPr="005D44FE">
      <w:rPr>
        <w:rStyle w:val="HideTWBExt"/>
      </w:rPr>
      <w:t>&lt;/PathFdR&gt;</w:t>
    </w:r>
  </w:p>
  <w:p w:rsidR="00A13A5E" w:rsidRPr="005D44FE" w:rsidRDefault="005D44FE" w:rsidP="005D44FE">
    <w:pPr>
      <w:pStyle w:val="EPFooter2"/>
    </w:pPr>
    <w:r w:rsidRPr="005D44FE">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4FE" w:rsidRPr="005D44FE" w:rsidRDefault="005D44FE" w:rsidP="005D44FE">
    <w:pPr>
      <w:pStyle w:val="EPFooter"/>
    </w:pPr>
    <w:r w:rsidRPr="005D44FE">
      <w:rPr>
        <w:rStyle w:val="HideTWBExt"/>
      </w:rPr>
      <w:t>&lt;PathFdR&gt;</w:t>
    </w:r>
    <w:r w:rsidRPr="005D44FE">
      <w:t>PR\1301224PL.docx</w:t>
    </w:r>
    <w:r w:rsidRPr="005D44FE">
      <w:rPr>
        <w:rStyle w:val="HideTWBExt"/>
      </w:rPr>
      <w:t>&lt;/PathFdR&gt;</w:t>
    </w:r>
    <w:r w:rsidRPr="005D44FE">
      <w:tab/>
    </w:r>
    <w:r w:rsidRPr="005D44FE">
      <w:fldChar w:fldCharType="begin"/>
    </w:r>
    <w:r w:rsidRPr="005D44FE">
      <w:instrText xml:space="preserve"> PAGE  \* MERGEFORMAT </w:instrText>
    </w:r>
    <w:r w:rsidRPr="005D44FE">
      <w:fldChar w:fldCharType="separate"/>
    </w:r>
    <w:r w:rsidR="00075CAE">
      <w:rPr>
        <w:noProof/>
      </w:rPr>
      <w:t>37</w:t>
    </w:r>
    <w:r w:rsidRPr="005D44FE">
      <w:fldChar w:fldCharType="end"/>
    </w:r>
    <w:r w:rsidRPr="005D44FE">
      <w:t>/</w:t>
    </w:r>
    <w:fldSimple w:instr=" NUMPAGES  \* MERGEFORMAT ">
      <w:r w:rsidR="00075CAE">
        <w:rPr>
          <w:noProof/>
        </w:rPr>
        <w:t>39</w:t>
      </w:r>
    </w:fldSimple>
    <w:r w:rsidRPr="005D44FE">
      <w:tab/>
      <w:t>PE</w:t>
    </w:r>
    <w:r w:rsidRPr="005D44FE">
      <w:rPr>
        <w:rStyle w:val="HideTWBExt"/>
      </w:rPr>
      <w:t>&lt;NoPE&gt;</w:t>
    </w:r>
    <w:r w:rsidRPr="005D44FE">
      <w:t>761.022</w:t>
    </w:r>
    <w:r w:rsidRPr="005D44FE">
      <w:rPr>
        <w:rStyle w:val="HideTWBExt"/>
      </w:rPr>
      <w:t>&lt;/NoPE&gt;&lt;Version&gt;</w:t>
    </w:r>
    <w:r w:rsidRPr="005D44FE">
      <w:t>v01-00</w:t>
    </w:r>
    <w:r w:rsidRPr="005D44FE">
      <w:rPr>
        <w:rStyle w:val="HideTWBExt"/>
      </w:rPr>
      <w:t>&lt;/Version&gt;</w:t>
    </w:r>
  </w:p>
  <w:p w:rsidR="00A13A5E" w:rsidRPr="005D44FE" w:rsidRDefault="005D44FE" w:rsidP="005D44FE">
    <w:pPr>
      <w:pStyle w:val="EPFooter2"/>
    </w:pPr>
    <w:r w:rsidRPr="005D44FE">
      <w:tab/>
    </w:r>
    <w:r w:rsidRPr="005D44FE">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4FE" w:rsidRPr="005D44FE" w:rsidRDefault="005D44FE" w:rsidP="005D44FE">
    <w:pPr>
      <w:pStyle w:val="EPFooter"/>
    </w:pPr>
    <w:r w:rsidRPr="005D44FE">
      <w:rPr>
        <w:rStyle w:val="HideTWBExt"/>
      </w:rPr>
      <w:t>&lt;PathFdR&gt;</w:t>
    </w:r>
    <w:r w:rsidRPr="005D44FE">
      <w:t>PR\1301224PL.docx</w:t>
    </w:r>
    <w:r w:rsidRPr="005D44FE">
      <w:rPr>
        <w:rStyle w:val="HideTWBExt"/>
      </w:rPr>
      <w:t>&lt;/PathFdR&gt;</w:t>
    </w:r>
    <w:r w:rsidRPr="005D44FE">
      <w:tab/>
    </w:r>
    <w:r w:rsidRPr="005D44FE">
      <w:tab/>
      <w:t>PE</w:t>
    </w:r>
    <w:r w:rsidRPr="005D44FE">
      <w:rPr>
        <w:rStyle w:val="HideTWBExt"/>
      </w:rPr>
      <w:t>&lt;NoPE&gt;</w:t>
    </w:r>
    <w:r w:rsidRPr="005D44FE">
      <w:t>761.022</w:t>
    </w:r>
    <w:r w:rsidRPr="005D44FE">
      <w:rPr>
        <w:rStyle w:val="HideTWBExt"/>
      </w:rPr>
      <w:t>&lt;/NoPE&gt;&lt;Version&gt;</w:t>
    </w:r>
    <w:r w:rsidRPr="005D44FE">
      <w:t>v01-00</w:t>
    </w:r>
    <w:r w:rsidRPr="005D44FE">
      <w:rPr>
        <w:rStyle w:val="HideTWBExt"/>
      </w:rPr>
      <w:t>&lt;/Version&gt;</w:t>
    </w:r>
  </w:p>
  <w:p w:rsidR="00A13A5E" w:rsidRPr="005D44FE" w:rsidRDefault="005D44FE" w:rsidP="005D44FE">
    <w:pPr>
      <w:pStyle w:val="EPFooter2"/>
    </w:pPr>
    <w:r w:rsidRPr="005D44FE">
      <w:t>PL</w:t>
    </w:r>
    <w:r w:rsidRPr="005D44FE">
      <w:tab/>
    </w:r>
    <w:r w:rsidRPr="005D44FE">
      <w:rPr>
        <w:b w:val="0"/>
        <w:i/>
        <w:color w:val="C0C0C0"/>
        <w:sz w:val="22"/>
      </w:rPr>
      <w:t>Zjednoczona w różnorodności</w:t>
    </w:r>
    <w:r w:rsidRPr="005D44FE">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A5E" w:rsidRPr="005D44FE" w:rsidRDefault="00075CAE" w:rsidP="00012807">
    <w:pPr>
      <w:pStyle w:val="EPFooter"/>
    </w:pPr>
    <w:r w:rsidRPr="005D44FE">
      <w:rPr>
        <w:rStyle w:val="HideTWBExt"/>
      </w:rPr>
      <w:t>&lt;PathFdR&gt;</w:t>
    </w:r>
    <w:r w:rsidRPr="005D44FE">
      <w:rPr>
        <w:color w:val="auto"/>
      </w:rPr>
      <w:t>PR\1301224EN.docx</w:t>
    </w:r>
    <w:r w:rsidRPr="005D44FE">
      <w:rPr>
        <w:rStyle w:val="HideTWBExt"/>
      </w:rPr>
      <w:t>&lt;/PathFdR&gt;</w:t>
    </w:r>
    <w:r w:rsidRPr="005D44FE">
      <w:tab/>
    </w:r>
    <w:r w:rsidRPr="005D44FE">
      <w:tab/>
      <w:t>PE</w:t>
    </w:r>
    <w:r w:rsidRPr="005D44FE">
      <w:rPr>
        <w:rStyle w:val="HideTWBExt"/>
      </w:rPr>
      <w:t>&lt;NoPE&gt;</w:t>
    </w:r>
    <w:r w:rsidRPr="005D44FE">
      <w:rPr>
        <w:color w:val="auto"/>
      </w:rPr>
      <w:t>761.022</w:t>
    </w:r>
    <w:r w:rsidRPr="005D44FE">
      <w:rPr>
        <w:rStyle w:val="HideTWBExt"/>
      </w:rPr>
      <w:t>&lt;/NoPE&gt;&lt;Version&gt;</w:t>
    </w:r>
    <w:r w:rsidRPr="005D44FE">
      <w:t>v</w:t>
    </w:r>
    <w:r w:rsidRPr="005D44FE">
      <w:rPr>
        <w:color w:val="auto"/>
      </w:rPr>
      <w:t>01-00</w:t>
    </w:r>
    <w:r w:rsidRPr="005D44FE">
      <w:rPr>
        <w:rStyle w:val="HideTWBExt"/>
      </w:rPr>
      <w:t>&lt;/Version&gt;</w:t>
    </w:r>
  </w:p>
  <w:p w:rsidR="00A13A5E" w:rsidRPr="005D44FE" w:rsidRDefault="00DD61CC" w:rsidP="00866DA1">
    <w:pPr>
      <w:pStyle w:val="EPFooter2"/>
      <w:tabs>
        <w:tab w:val="clear" w:pos="4535"/>
        <w:tab w:val="center" w:pos="4536"/>
      </w:tabs>
    </w:pPr>
    <w:r w:rsidRPr="005D44FE">
      <w:fldChar w:fldCharType="begin"/>
    </w:r>
    <w:r w:rsidR="00075CAE" w:rsidRPr="005D44FE">
      <w:instrText xml:space="preserve"> DOCPROPERTY "&lt;Extension&gt;" </w:instrText>
    </w:r>
    <w:r w:rsidRPr="005D44FE">
      <w:fldChar w:fldCharType="separate"/>
    </w:r>
    <w:r w:rsidR="00075CAE">
      <w:t>PL</w:t>
    </w:r>
    <w:r w:rsidRPr="005D44FE">
      <w:fldChar w:fldCharType="end"/>
    </w:r>
    <w:r w:rsidR="00075CAE" w:rsidRPr="005D44FE">
      <w:tab/>
    </w:r>
    <w:r w:rsidR="00075CAE" w:rsidRPr="005D44FE">
      <w:rPr>
        <w:b w:val="0"/>
        <w:i/>
        <w:color w:val="C0C0C0"/>
        <w:sz w:val="22"/>
        <w:szCs w:val="22"/>
      </w:rPr>
      <w:t>United in diversity</w:t>
    </w:r>
    <w:r w:rsidR="00075CAE" w:rsidRPr="005D44FE">
      <w:tab/>
    </w:r>
    <w:r w:rsidRPr="005D44FE">
      <w:fldChar w:fldCharType="begin"/>
    </w:r>
    <w:r w:rsidR="00075CAE" w:rsidRPr="005D44FE">
      <w:instrText xml:space="preserve"> DOCPROPERTY "&lt;Extension&gt;" </w:instrText>
    </w:r>
    <w:r w:rsidRPr="005D44FE">
      <w:fldChar w:fldCharType="separate"/>
    </w:r>
    <w:r w:rsidR="00075CAE">
      <w:t>PL</w:t>
    </w:r>
    <w:r w:rsidRPr="005D44F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A5E" w:rsidRPr="005D44FE" w:rsidRDefault="00075CAE">
      <w:r w:rsidRPr="005D44FE">
        <w:separator/>
      </w:r>
    </w:p>
  </w:footnote>
  <w:footnote w:type="continuationSeparator" w:id="0">
    <w:p w:rsidR="00A13A5E" w:rsidRPr="005D44FE" w:rsidRDefault="00075CAE">
      <w:r w:rsidRPr="005D44FE">
        <w:continuationSeparator/>
      </w:r>
    </w:p>
  </w:footnote>
  <w:footnote w:id="1">
    <w:p w:rsidR="00A13A5E" w:rsidRPr="005D44FE" w:rsidRDefault="00075CAE">
      <w:pPr>
        <w:pStyle w:val="FootnoteText"/>
      </w:pPr>
      <w:r w:rsidRPr="005D44FE">
        <w:rPr>
          <w:rStyle w:val="FootnoteReference"/>
        </w:rPr>
        <w:footnoteRef/>
      </w:r>
      <w:r w:rsidRPr="005D44FE">
        <w:t xml:space="preserve"> zostanie dosłane</w:t>
      </w:r>
    </w:p>
  </w:footnote>
  <w:footnote w:id="2">
    <w:p w:rsidR="00A13A5E" w:rsidRPr="005D44FE" w:rsidRDefault="00075CAE">
      <w:pPr>
        <w:pStyle w:val="FootnoteText"/>
      </w:pPr>
      <w:r w:rsidRPr="005D44FE">
        <w:rPr>
          <w:rStyle w:val="FootnoteReference"/>
        </w:rPr>
        <w:footnoteRef/>
      </w:r>
      <w:r w:rsidRPr="005D44FE">
        <w:t xml:space="preserve"> Dz.U. C 77 z 28.3.2002,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CAE" w:rsidRDefault="00075C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CAE" w:rsidRDefault="00075C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CAE" w:rsidRDefault="00075C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A5E" w:rsidRDefault="00A13A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A5E" w:rsidRDefault="00A13A5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A5E" w:rsidRDefault="00A13A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C5274CD"/>
    <w:multiLevelType w:val="hybridMultilevel"/>
    <w:tmpl w:val="81B80380"/>
    <w:lvl w:ilvl="0" w:tplc="6A141A04">
      <w:start w:val="1"/>
      <w:numFmt w:val="bullet"/>
      <w:lvlText w:val=""/>
      <w:lvlJc w:val="left"/>
      <w:pPr>
        <w:ind w:left="720" w:hanging="360"/>
      </w:pPr>
      <w:rPr>
        <w:rFonts w:ascii="Symbol" w:hAnsi="Symbol" w:hint="default"/>
      </w:rPr>
    </w:lvl>
    <w:lvl w:ilvl="1" w:tplc="7B722DBC">
      <w:start w:val="1"/>
      <w:numFmt w:val="bullet"/>
      <w:lvlText w:val="o"/>
      <w:lvlJc w:val="left"/>
      <w:pPr>
        <w:ind w:left="1440" w:hanging="360"/>
      </w:pPr>
      <w:rPr>
        <w:rFonts w:ascii="Courier New" w:hAnsi="Courier New" w:cs="Courier New" w:hint="default"/>
      </w:rPr>
    </w:lvl>
    <w:lvl w:ilvl="2" w:tplc="0512E626">
      <w:start w:val="1"/>
      <w:numFmt w:val="bullet"/>
      <w:lvlText w:val=""/>
      <w:lvlJc w:val="left"/>
      <w:pPr>
        <w:ind w:left="2160" w:hanging="360"/>
      </w:pPr>
      <w:rPr>
        <w:rFonts w:ascii="Wingdings" w:hAnsi="Wingdings" w:hint="default"/>
      </w:rPr>
    </w:lvl>
    <w:lvl w:ilvl="3" w:tplc="DD86F67A">
      <w:start w:val="1"/>
      <w:numFmt w:val="bullet"/>
      <w:lvlText w:val=""/>
      <w:lvlJc w:val="left"/>
      <w:pPr>
        <w:ind w:left="2880" w:hanging="360"/>
      </w:pPr>
      <w:rPr>
        <w:rFonts w:ascii="Symbol" w:hAnsi="Symbol" w:hint="default"/>
      </w:rPr>
    </w:lvl>
    <w:lvl w:ilvl="4" w:tplc="3AEE04D8">
      <w:start w:val="1"/>
      <w:numFmt w:val="bullet"/>
      <w:lvlText w:val="o"/>
      <w:lvlJc w:val="left"/>
      <w:pPr>
        <w:ind w:left="3600" w:hanging="360"/>
      </w:pPr>
      <w:rPr>
        <w:rFonts w:ascii="Courier New" w:hAnsi="Courier New" w:cs="Courier New" w:hint="default"/>
      </w:rPr>
    </w:lvl>
    <w:lvl w:ilvl="5" w:tplc="359059CA">
      <w:start w:val="1"/>
      <w:numFmt w:val="bullet"/>
      <w:lvlText w:val=""/>
      <w:lvlJc w:val="left"/>
      <w:pPr>
        <w:ind w:left="4320" w:hanging="360"/>
      </w:pPr>
      <w:rPr>
        <w:rFonts w:ascii="Wingdings" w:hAnsi="Wingdings" w:hint="default"/>
      </w:rPr>
    </w:lvl>
    <w:lvl w:ilvl="6" w:tplc="078CD15C">
      <w:start w:val="1"/>
      <w:numFmt w:val="bullet"/>
      <w:lvlText w:val=""/>
      <w:lvlJc w:val="left"/>
      <w:pPr>
        <w:ind w:left="5040" w:hanging="360"/>
      </w:pPr>
      <w:rPr>
        <w:rFonts w:ascii="Symbol" w:hAnsi="Symbol" w:hint="default"/>
      </w:rPr>
    </w:lvl>
    <w:lvl w:ilvl="7" w:tplc="64B04C80">
      <w:start w:val="1"/>
      <w:numFmt w:val="bullet"/>
      <w:lvlText w:val="o"/>
      <w:lvlJc w:val="left"/>
      <w:pPr>
        <w:ind w:left="5760" w:hanging="360"/>
      </w:pPr>
      <w:rPr>
        <w:rFonts w:ascii="Courier New" w:hAnsi="Courier New" w:cs="Courier New" w:hint="default"/>
      </w:rPr>
    </w:lvl>
    <w:lvl w:ilvl="8" w:tplc="42E01056">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NNEXDT" w:val="16/04/2024"/>
    <w:docVar w:name="CJMNU" w:val="1"/>
    <w:docVar w:name="COMDT" w:val="16/04/2024"/>
    <w:docVar w:name="COMKEY" w:val="LIBE"/>
    <w:docVar w:name="CopyToNetwork" w:val="-1"/>
    <w:docVar w:name="CVar" w:val="1"/>
    <w:docVar w:name="DOCDT" w:val="16/04/2024"/>
    <w:docVar w:name="DOCMNU" w:val=" 2"/>
    <w:docVar w:name="EPSTATMNU" w:val=" 5"/>
    <w:docVar w:name="iNoAmend" w:val="1"/>
    <w:docVar w:name="INSTITUTIONSMNU" w:val=" 2"/>
    <w:docVar w:name="JURI1MNU" w:val=" 1"/>
    <w:docVar w:name="JURI2MNU" w:val=" 2"/>
    <w:docVar w:name="JURIMNU" w:val=" 1"/>
    <w:docVar w:name="LastEditedSection" w:val=" 1"/>
    <w:docVar w:name="LETTER1DT" w:val="16/04/2024"/>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70\fbidi \froman\fcharset238\fprq2 Times New Roman CE;}{\f371\fbidi \froman\fcharset204\fprq2 Times New Roman Cyr;}_x000d__x000a_{\f373\fbidi \froman\fcharset161\fprq2 Times New Roman Greek;}{\f374\fbidi \froman\fcharset162\fprq2 Times New Roman Tur;}{\f375\fbidi \froman\fcharset177\fprq2 Times New Roman (Hebrew);}{\f376\fbidi \froman\fcharset178\fprq2 Times New Roman (Arabic);}_x000d__x000a_{\f377\fbidi \froman\fcharset186\fprq2 Times New Roman Baltic;}{\f378\fbidi \froman\fcharset163\fprq2 Times New Roman (Vietnamese);}{\f380\fbidi \fswiss\fcharset238\fprq2 Arial CE;}{\f381\fbidi \fswiss\fcharset204\fprq2 Arial Cyr;}_x000d__x000a_{\f383\fbidi \fswiss\fcharset161\fprq2 Arial Greek;}{\f384\fbidi \fswiss\fcharset162\fprq2 Arial Tur;}{\f385\fbidi \fswiss\fcharset177\fprq2 Arial (Hebrew);}{\f386\fbidi \fswiss\fcharset178\fprq2 Arial (Arabic);}_x000d__x000a_{\f387\fbidi \fswiss\fcharset186\fprq2 Arial Baltic;}{\f388\fbidi \fswiss\fcharset163\fprq2 Arial (Vietnamese);}{\f710\fbidi \froman\fcharset238\fprq2 Cambria Math CE;}{\f711\fbidi \froman\fcharset204\fprq2 Cambria Math Cyr;}_x000d__x000a_{\f713\fbidi \froman\fcharset161\fprq2 Cambria Math Greek;}{\f714\fbidi \froman\fcharset162\fprq2 Cambria Math Tur;}{\f717\fbidi \froman\fcharset186\fprq2 Cambria Math Baltic;}{\f71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25443 HideTWBExt;}{\*\cs18 \additive \v\f1\fs20\cf15 _x000d__x000a_\spriority0 \styrsid13725443 HideTWBInt;}{\s19\ql \li0\ri0\sa120\nowidctlpar\wrapdefault\aspalpha\aspnum\faauto\adjustright\rin0\lin0\itap0 \rtlch\fcs1 \af0\afs20\alang1025 \ltrch\fcs0 \fs24\lang2057\langfe2057\cgrid\langnp2057\langfenp2057 _x000d__x000a_\sbasedon0 \snext19 \spriority0 \styrsid13725443 Normal6a;}{\s20\ql \li0\ri0\nowidctlpar\wrapdefault\aspalpha\aspnum\faauto\adjustright\rin0\lin0\itap0 \rtlch\fcs1 \af0\afs20\alang1025 \ltrch\fcs0 \b\fs24\lang2057\langfe2057\cgrid\langnp2057\langfenp2057 _x000d__x000a_\sbasedon0 \snext20 \spriority0 \styrsid13725443 NormalBold;}{\s21\ql \li0\ri0\sa240\nowidctlpar\wrapdefault\aspalpha\aspnum\faauto\adjustright\rin0\lin0\itap0 \rtlch\fcs1 \af0\afs20\alang1025 \ltrch\fcs0 _x000d__x000a_\i\fs24\lang2057\langfe2057\cgrid\langnp2057\langfenp2057 \sbasedon0 \snext21 \spriority0 \styrsid13725443 AmJustText;}{\s22\qc \li0\ri0\sb240\sa240\nowidctlpar\wrapdefault\aspalpha\aspnum\faauto\adjustright\rin0\lin0\itap0 \rtlch\fcs1 _x000d__x000a_\af0\afs20\alang1025 \ltrch\fcs0 \i\fs24\lang2057\langfe2057\cgrid\langnp2057\langfenp2057 \sbasedon0 \snext22 \spriority0 \styrsid13725443 AmCrossRef;}{_x000d__x000a_\s23\qc \li0\ri0\sb240\sa240\keepn\nowidctlpar\wrapdefault\aspalpha\aspnum\faauto\adjustright\rin0\lin0\itap0 \rtlch\fcs1 \af0\afs20\alang1025 \ltrch\fcs0 \i\fs24\lang2057\langfe2057\cgrid\langnp2057\langfenp2057 _x000d__x000a_\sbasedon0 \snext21 \spriority0 \styrsid13725443 AmJustTitle;}{\s24\qr \li0\ri0\sb240\sa240\nowidctlpar\wrapdefault\aspalpha\aspnum\faauto\adjustright\rin0\lin0\itap0 \rtlch\fcs1 \af0\afs20\alang1025 \ltrch\fcs0 _x000d__x000a_\fs24\lang2057\langfe2057\cgrid\langnp2057\langfenp2057 \sbasedon0 \snext24 \spriority0 \styrsid13725443 AmOrLang;}{\s25\qc \li0\ri0\sa240\nowidctlpar\wrapdefault\aspalpha\aspnum\faauto\adjustright\rin0\lin0\itap0 \rtlch\fcs1 \af0\afs20\alang1025 _x000d__x000a_\ltrch\fcs0 \i\fs24\lang2057\langfe2057\cgrid\langnp2057\langfenp2057 \sbasedon0 \snext25 \spriority0 \styrsid1372544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725443 AmNumberTabs;}{\s27\ql \li0\ri0\sb240\nowidctlpar\wrapdefault\aspalpha\aspnum\faauto\adjustright\rin0\lin0\itap0 \rtlch\fcs1 _x000d__x000a_\af0\afs20\alang1025 \ltrch\fcs0 \b\fs24\lang2057\langfe2057\cgrid\langnp2057\langfenp2057 \sbasedon0 \snext27 \spriority0 \styrsid13725443 NormalBold12b;}}{\*\rsidtbl \rsid24658\rsid223860\rsid735077\rsid1718133\rsid2892074\rsid3565327\rsid4666813_x000d__x000a_\rsid4999857\rsid6641733\rsid7823322\rsid9636012\rsid10377208\rsid11215221\rsid11549030\rsid12154954\rsid13725443\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4\mo4\dy16\hr18\min51}{\revtim\yr2024\mo4\dy16\hr18\min51}{\version1}{\edmins0}_x000d__x000a_{\nofpages1}{\nofwords107}{\nofchars593}{\nofcharsws69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2544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4999857 \chftnsep _x000d__x000a_\par }}{\*\ftnsepc \ltrpar \pard\plain \ltrpar\ql \li0\ri0\widctlpar\wrapdefault\aspalpha\aspnum\faauto\adjustright\rin0\lin0\itap0 \rtlch\fcs1 \af0\afs20\alang1025 \ltrch\fcs0 \fs24\lang2057\langfe2057\cgrid\langnp2057\langfenp2057 {\rtlch\fcs1 \af0 _x000d__x000a_\ltrch\fcs0 \insrsid4999857 \chftnsepc _x000d__x000a_\par }}{\*\aftnsep \ltrpar \pard\plain \ltrpar\ql \li0\ri0\widctlpar\wrapdefault\aspalpha\aspnum\faauto\adjustright\rin0\lin0\itap0 \rtlch\fcs1 \af0\afs20\alang1025 \ltrch\fcs0 \fs24\lang2057\langfe2057\cgrid\langnp2057\langfenp2057 {\rtlch\fcs1 \af0 _x000d__x000a_\ltrch\fcs0 \insrsid4999857 \chftnsep _x000d__x000a_\par }}{\*\aftnsepc \ltrpar \pard\plain \ltrpar\ql \li0\ri0\widctlpar\wrapdefault\aspalpha\aspnum\faauto\adjustright\rin0\lin0\itap0 \rtlch\fcs1 \af0\afs20\alang1025 \ltrch\fcs0 \fs24\lang2057\langfe2057\cgrid\langnp2057\langfenp2057 {\rtlch\fcs1 \af0 _x000d__x000a_\ltrch\fcs0 \insrsid49998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725443 \rtlch\fcs1 _x000d__x000a_\af0\afs20\alang1025 \ltrch\fcs0 \b\fs24\lang2057\langfe2057\cgrid\langnp2057\langfenp2057 {\rtlch\fcs1 \af0 \ltrch\fcs0 \cs17\b0\v\fs20\cf9\lang1024\langfe1024\loch\af1\hich\af1\dbch\af31501\noproof\insrsid13725443\charrsid1261011 {\*\bkmkstart restart}_x000d__x000a_\hich\af1\dbch\af31501\loch\f1 &lt;Amend&gt;}{\rtlch\fcs1 \af0 \ltrch\fcs0 \insrsid13725443\charrsid1261011 Amendment\tab \tab }{\rtlch\fcs1 \af0 \ltrch\fcs0 _x000d__x000a_\cs17\b0\v\fs20\cf9\lang1024\langfe1024\loch\af1\hich\af1\dbch\af31501\noproof\insrsid13725443\charrsid1261011 \hich\af1\dbch\af31501\loch\f1 &lt;NumAm&gt;}{\rtlch\fcs1 \af0 \ltrch\fcs0 \insrsid13725443\charrsid1261011 #}{\rtlch\fcs1 \af1 \ltrch\fcs0 _x000d__x000a_\cs18\v\f1\fs20\cf15\insrsid13725443\charrsid1261011 ENMIENDA@NRAM@}{\rtlch\fcs1 \af0 \ltrch\fcs0 \insrsid13725443\charrsid1261011 #}{\rtlch\fcs1 \af0 \ltrch\fcs0 _x000d__x000a_\cs17\b0\v\fs20\cf9\lang1024\langfe1024\loch\af1\hich\af1\dbch\af31501\noproof\insrsid13725443\charrsid1261011 \hich\af1\dbch\af31501\loch\f1 &lt;/NumAm&gt;}{\rtlch\fcs1 \af0 \ltrch\fcs0 \insrsid13725443\charrsid1261011 _x000d__x000a_\par }\pard\plain \ltrpar\s27\ql \li0\ri0\sb240\keepn\nowidctlpar\wrapdefault\aspalpha\aspnum\faauto\adjustright\rin0\lin0\itap0\pararsid13725443 \rtlch\fcs1 \af0\afs20\alang1025 \ltrch\fcs0 \b\fs24\lang2057\langfe2057\cgrid\langnp2057\langfenp2057 {_x000d__x000a_\rtlch\fcs1 \af0 \ltrch\fcs0 \cs17\b0\v\fs20\cf9\lang1024\langfe1024\loch\af1\hich\af1\dbch\af31501\noproof\insrsid13725443\charrsid1261011 \hich\af1\dbch\af31501\loch\f1 &lt;DocAmend&gt;}{\rtlch\fcs1 \af0 \ltrch\fcs0 \insrsid13725443\charrsid1261011 _x000d__x000a_Proposal for a #}{\rtlch\fcs1 \af1 \ltrch\fcs0 \cs18\v\f1\fs20\cf15\insrsid13725443\charrsid1261011 MNU[DOC1][DOC2][DOC3]@DOCMSG@DOCMNU}{\rtlch\fcs1 \af0 \ltrch\fcs0 \insrsid13725443\charrsid1261011 ##}{\rtlch\fcs1 \af1 \ltrch\fcs0 _x000d__x000a_\cs18\v\f1\fs20\cf15\insrsid13725443\charrsid1261011 MNU[AMACTYES][NOTAPP]@CHOICE@AMACTMNU}{\rtlch\fcs1 \af0 \ltrch\fcs0 \insrsid13725443\charrsid1261011 #}{\rtlch\fcs1 \af0 \ltrch\fcs0 _x000d__x000a_\cs17\b0\v\fs20\cf9\lang1024\langfe1024\loch\af1\hich\af1\dbch\af31501\noproof\insrsid13725443\charrsid1261011 \hich\af1\dbch\af31501\loch\f1 &lt;/DocAmend&gt;}{\rtlch\fcs1 \af0 \ltrch\fcs0 \insrsid13725443\charrsid1261011 _x000d__x000a_\par }\pard\plain \ltrpar\s20\ql \li0\ri0\nowidctlpar\wrapdefault\aspalpha\aspnum\faauto\adjustright\rin0\lin0\itap0\pararsid13725443 \rtlch\fcs1 \af0\afs20\alang1025 \ltrch\fcs0 \b\fs24\lang2057\langfe2057\cgrid\langnp2057\langfenp2057 {\rtlch\fcs1 \af0 _x000d__x000a_\ltrch\fcs0 \cs17\b0\v\fs20\cf9\lang1024\langfe1024\loch\af1\hich\af1\dbch\af31501\noproof\insrsid13725443\charrsid1261011 \hich\af1\dbch\af31501\loch\f1 &lt;Article&gt;}{\rtlch\fcs1 \af0 \ltrch\fcs0 \insrsid13725443\charrsid1261011 #}{\rtlch\fcs1 \af1 _x000d__x000a_\ltrch\fcs0 \cs18\v\f1\fs20\cf15\insrsid13725443\charrsid1261011 MNU[AMACTPARTYES][AMACTPARTNO]@CHOICE@AMACTMNU}{\rtlch\fcs1 \af0 \ltrch\fcs0 \insrsid13725443\charrsid1261011 #}{\rtlch\fcs1 \af0 \ltrch\fcs0 _x000d__x000a_\cs17\b0\v\fs20\cf9\lang1024\langfe1024\loch\af1\hich\af1\dbch\af31501\noproof\insrsid13725443\charrsid1261011 \hich\af1\dbch\af31501\loch\f1 &lt;/Article&gt;}{\rtlch\fcs1 \af0 \ltrch\fcs0 \insrsid13725443\charrsid1261011 _x000d__x000a_\par }\pard\plain \ltrpar\ql \li0\ri0\keepn\widctlpar\wrapdefault\aspalpha\aspnum\faauto\adjustright\rin0\lin0\itap0\pararsid13725443 \rtlch\fcs1 \af0\afs20\alang1025 \ltrch\fcs0 \fs24\lang2057\langfe2057\cgrid\langnp2057\langfenp2057 {\rtlch\fcs1 \af0 _x000d__x000a_\ltrch\fcs0 \cs17\v\fs20\cf9\lang1024\langfe1024\loch\af1\hich\af1\dbch\af31501\noproof\insrsid13725443\charrsid1261011 \hich\af1\dbch\af31501\loch\f1 &lt;DocAmend2&gt;&lt;OptDel&gt;}{\rtlch\fcs1 \af0 \ltrch\fcs0 \insrsid13725443\charrsid1261011 #}{\rtlch\fcs1 \af1 _x000d__x000a_\ltrch\fcs0 \cs18\v\f1\fs20\cf15\insrsid13725443\charrsid1261011 MNU[OPTNRACTYES][NOTAPP]@CHOICE@AMACTMNU}{\rtlch\fcs1 \af0 \ltrch\fcs0 \insrsid13725443\charrsid1261011 #}{\rtlch\fcs1 \af0 \ltrch\fcs0 _x000d__x000a_\cs17\v\fs20\cf9\lang1024\langfe1024\loch\af1\hich\af1\dbch\af31501\noproof\insrsid13725443\charrsid1261011 \hich\af1\dbch\af31501\loch\f1 &lt;/OptDel&gt;&lt;/DocAmend2&gt;}{\rtlch\fcs1 \af0 \ltrch\fcs0 \insrsid13725443\charrsid1261011 _x000d__x000a_\par }\pard \ltrpar\ql \li0\ri0\widctlpar\wrapdefault\aspalpha\aspnum\faauto\adjustright\rin0\lin0\itap0\pararsid13725443 {\rtlch\fcs1 \af0 \ltrch\fcs0 \cs17\v\fs20\cf9\lang1024\langfe1024\loch\af1\hich\af1\dbch\af31501\noproof\insrsid13725443\charrsid1261011 _x000d__x000a_\hich\af1\dbch\af31501\loch\f1 &lt;Article2&gt;&lt;OptDel&gt;}{\rtlch\fcs1 \af0 \ltrch\fcs0 \insrsid13725443\charrsid1261011 #}{\rtlch\fcs1 \af1 \ltrch\fcs0 \cs18\v\f1\fs20\cf15\insrsid13725443\charrsid1261011 MNU[OPTACTPARTYES][NOTAPP]@CHOICE@AMACTMNU}{\rtlch\fcs1 _x000d__x000a_\af0 \ltrch\fcs0 \insrsid13725443\charrsid1261011 #}{\rtlch\fcs1 \af0 \ltrch\fcs0 \cs17\v\fs20\cf9\lang1024\langfe1024\loch\af1\hich\af1\dbch\af31501\noproof\insrsid13725443\charrsid1261011 \hich\af1\dbch\af31501\loch\f1 &lt;/OptDel&gt;&lt;/Article2&gt;}{\rtlch\fcs1 _x000d__x000a_\af0 \ltrch\fcs0 \insrsid13725443\charrsid1261011 _x000d__x000a_\par \ltrrow}\trowd \irow0\irowband0\ltrrow\ts11\trqc\trgaph340\trleft0\trftsWidth3\trwWidth9752\trftsWidthB3\trpaddl340\trpaddr340\trpaddfl3\trpaddft3\trpaddfb3\trpaddfr3\tblrsid12919181\tblind0\tblindtype3 \clvertalt\clbrdrt\brdrtbl \clbrdrl\brdrtbl \clbrdrb_x000d__x000a_\brdrtbl \clbrdrr\brdrtbl \cltxlrtb\clftsWidth3\clwWidth9752\clshdrawnil \cellx9752\pard\plain \ltrpar\ql \li0\ri0\keepn\widctlpar\intbl\wrapdefault\aspalpha\aspnum\faauto\adjustright\rin0\lin0\pararsid12919181 \rtlch\fcs1 \af0\afs20\alang1025 _x000d__x000a_\ltrch\fcs0 \fs24\lang2057\langfe2057\cgrid\langnp2057\langfenp2057 {\rtlch\fcs1 \af0 \ltrch\fcs0 \insrsid13725443\charrsid1261011 \cell }\pard\plain \ltrpar\ql \li0\ri0\widctlpar\intbl\wrapdefault\aspalpha\aspnum\faauto\adjustright\rin0\lin0 \rtlch\fcs1 _x000d__x000a_\af0\afs20\alang1025 \ltrch\fcs0 \fs24\lang2057\langfe2057\cgrid\langnp2057\langfenp2057 {\rtlch\fcs1 \af0 \ltrch\fcs0 \insrsid13725443\charrsid1261011 \trowd \irow0\irowband0\ltrrow_x000d__x000a_\ts11\trqc\trgaph340\trleft0\trftsWidth3\trwWidth9752\trftsWidthB3\trpaddl340\trpaddr340\trpaddfl3\trpaddft3\trpaddfb3\trpaddfr3\tblrsid12919181\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2919181 \rtlch\fcs1 \af0\afs20\alang1025 \ltrch\fcs0 \i\fs24\lang2057\langfe2057\cgrid\langnp2057\langfenp2057 {\rtlch\fcs1 \af0 \ltrch\fcs0 _x000d__x000a_\insrsid13725443\charrsid1261011 #}{\rtlch\fcs1 \af1 \ltrch\fcs0 \cs18\v\f1\fs20\cf15\insrsid13725443\charrsid1261011 MNU[OPTLEFTAMACT][LEFTPROP]@CHOICE@AMACTMNU}{\rtlch\fcs1 \af0 \ltrch\fcs0 \insrsid13725443\charrsid1261011 #\cell Amendment\cell _x000d__x000a_}\pard\plain \ltrpar\ql \li0\ri0\widctlpar\intbl\wrapdefault\aspalpha\aspnum\faauto\adjustright\rin0\lin0 \rtlch\fcs1 \af0\afs20\alang1025 \ltrch\fcs0 \fs24\lang2057\langfe2057\cgrid\langnp2057\langfenp2057 {\rtlch\fcs1 \af0 \ltrch\fcs0 _x000d__x000a_\insrsid13725443\charrsid1261011 \trowd \irow1\irowband1\ltrrow\ts11\trqc\trgaph340\trleft0\trftsWidth3\trwWidth9752\trftsWidthB3\trpaddl340\trpaddr340\trpaddfl3\trpaddft3\trpaddfb3\trpaddfr3\tblrsid12919181\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6572374 \rtlch\fcs1 \af0\afs20\alang1025 \ltrch\fcs0 \fs24\lang2057\langfe2057\cgrid\langnp2057\langfenp2057 {\rtlch\fcs1 \af0 _x000d__x000a_\ltrch\fcs0 \insrsid13725443\charrsid1261011 ##\cell ##}{\rtlch\fcs1 \af0\afs24 \ltrch\fcs0 \insrsid13725443\charrsid1261011 \cell }\pard\plain \ltrpar\ql \li0\ri0\widctlpar\intbl\wrapdefault\aspalpha\aspnum\faauto\adjustright\rin0\lin0 \rtlch\fcs1 _x000d__x000a_\af0\afs20\alang1025 \ltrch\fcs0 \fs24\lang2057\langfe2057\cgrid\langnp2057\langfenp2057 {\rtlch\fcs1 \af0 \ltrch\fcs0 \insrsid13725443\charrsid1261011 \trowd \irow2\irowband2\lastrow \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725443 \rtlch\fcs1 \af0\afs20\alang1025 \ltrch\fcs0 \fs24\lang2057\langfe2057\cgrid\langnp2057\langfenp2057 {\rtlch\fcs1 \af0 \ltrch\fcs0 _x000d__x000a_\insrsid13725443\charrsid1261011 Or. }{\rtlch\fcs1 \af0 \ltrch\fcs0 \cs17\v\fs20\cf9\lang1024\langfe1024\loch\af1\hich\af1\dbch\af31501\noproof\insrsid13725443\charrsid1261011 \hich\af1\dbch\af31501\loch\f1 &lt;Original&gt;}{\rtlch\fcs1 \af0 \ltrch\fcs0 _x000d__x000a_\insrsid13725443\charrsid1261011 #}{\rtlch\fcs1 \af1 \ltrch\fcs0 \cs18\v\f1\fs20\cf15\insrsid13725443\charrsid1261011 MNU[ORLANGONE][ORLANGMORE]@CHOICE@ORLANGMNU}{\rtlch\fcs1 \af0 \ltrch\fcs0 \insrsid13725443\charrsid1261011 #}{\rtlch\fcs1 \af0 _x000d__x000a_\ltrch\fcs0 \cs17\v\fs20\cf9\lang1024\langfe1024\loch\af1\hich\af1\dbch\af31501\noproof\insrsid13725443\charrsid1261011 \hich\af1\dbch\af31501\loch\f1 &lt;/Original&gt;}{\rtlch\fcs1 \af0 \ltrch\fcs0 \insrsid13725443\charrsid1261011 _x000d__x000a_\par }\pard\plain \ltrpar\s22\qc \li0\ri0\sb240\sa240\nowidctlpar\wrapdefault\aspalpha\aspnum\faauto\adjustright\rin0\lin0\itap0\pararsid13725443 \rtlch\fcs1 \af0\afs20\alang1025 \ltrch\fcs0 \i\fs24\lang2057\langfe2057\cgrid\langnp2057\langfenp2057 {_x000d__x000a_\rtlch\fcs1 \af0 \ltrch\fcs0 \cs17\i0\v\fs20\cf9\lang1024\langfe1024\loch\af1\hich\af1\dbch\af31501\noproof\insrsid13725443\charrsid1261011 \hich\af1\dbch\af31501\loch\f1 &lt;OptDel&gt;}{\rtlch\fcs1 \af0 \ltrch\fcs0 \insrsid13725443\charrsid1261011 #}{_x000d__x000a_\rtlch\fcs1 \af1 \ltrch\fcs0 \cs18\v\f1\fs20\cf15\insrsid13725443\charrsid1261011 MNU[CROSSREFNO][CROSSREFYES]@CHOICE@}{\rtlch\fcs1 \af0 \ltrch\fcs0 \insrsid13725443\charrsid1261011 #}{\rtlch\fcs1 \af0 \ltrch\fcs0 _x000d__x000a_\cs17\i0\v\fs20\cf9\lang1024\langfe1024\loch\af1\hich\af1\dbch\af31501\noproof\insrsid13725443\charrsid1261011 \hich\af1\dbch\af31501\loch\f1 &lt;/OptDel&gt;}{\rtlch\fcs1 \af0 \ltrch\fcs0 \insrsid13725443\charrsid1261011 _x000d__x000a_\par }\pard\plain \ltrpar\s23\qc \li0\ri0\sb240\sa240\keepn\nowidctlpar\wrapdefault\aspalpha\aspnum\faauto\adjustright\rin0\lin0\itap0\pararsid13725443 \rtlch\fcs1 \af0\afs20\alang1025 \ltrch\fcs0 \i\fs24\lang2057\langfe2057\cgrid\langnp2057\langfenp2057 {_x000d__x000a_\rtlch\fcs1 \af0 \ltrch\fcs0 \cs17\i0\v\fs20\cf9\lang1024\langfe1024\loch\af1\hich\af1\dbch\af31501\noproof\insrsid13725443\charrsid1261011 \hich\af1\dbch\af31501\loch\f1 &lt;TitreJust&gt;}{\rtlch\fcs1 \af0 \ltrch\fcs0 \insrsid13725443\charrsid1261011 _x000d__x000a_Justification}{\rtlch\fcs1 \af0 \ltrch\fcs0 \cs17\i0\v\fs20\cf9\lang1024\langfe1024\loch\af1\hich\af1\dbch\af31501\noproof\insrsid13725443\charrsid1261011 \hich\af1\dbch\af31501\loch\f1 &lt;/TitreJust&gt;}{\rtlch\fcs1 \af0 \ltrch\fcs0 _x000d__x000a_\insrsid13725443\charrsid1261011 _x000d__x000a_\par }\pard\plain \ltrpar\s21\ql \li0\ri0\sa240\nowidctlpar\wrapdefault\aspalpha\aspnum\faauto\adjustright\rin0\lin0\itap0\pararsid13725443 \rtlch\fcs1 \af0\afs20\alang1025 \ltrch\fcs0 \i\fs24\lang2057\langfe2057\cgrid\langnp2057\langfenp2057 {\rtlch\fcs1 _x000d__x000a_\af0 \ltrch\fcs0 \cs17\i0\v\fs20\cf9\lang1024\langfe1024\loch\af1\hich\af1\dbch\af31501\noproof\insrsid13725443\charrsid1261011 \hich\af1\dbch\af31501\loch\f1 &lt;OptDelPrev&gt;}{\rtlch\fcs1 \af0 \ltrch\fcs0 \insrsid13725443\charrsid1261011 #}{\rtlch\fcs1 \af1 _x000d__x000a_\ltrch\fcs0 \cs18\v\f1\fs20\cf15\insrsid13725443\charrsid1261011 MNU[TEXTJUSTYES][TEXTJUSTNO]@CHOICE@}{\rtlch\fcs1 \af0 \ltrch\fcs0 \insrsid13725443\charrsid1261011 #}{\rtlch\fcs1 \af0 \ltrch\fcs0 _x000d__x000a_\cs17\i0\v\fs20\cf9\lang1024\langfe1024\loch\af1\hich\af1\dbch\af31501\noproof\insrsid13725443\charrsid1261011 \hich\af1\dbch\af31501\loch\f1 &lt;/OptDelPrev&gt;}{\rtlch\fcs1 \af0 \ltrch\fcs0 \insrsid13725443\charrsid1261011 _x000d__x000a_\par }\pard\plain \ltrpar\ql \li0\ri0\widctlpar\wrapdefault\aspalpha\aspnum\faauto\adjustright\rin0\lin0\itap0\pararsid13725443 \rtlch\fcs1 \af0\afs20\alang1025 \ltrch\fcs0 \fs24\lang2057\langfe2057\cgrid\langnp2057\langfenp2057 {\rtlch\fcs1 \af0 \ltrch\fcs0 _x000d__x000a_\cs17\v\fs20\cf9\lang1024\langfe1024\loch\af1\hich\af1\dbch\af31501\noproof\insrsid13725443\charrsid126101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8_x000d__x000a_85571e9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34933 HideTWBExt;}{\s16\ql \li0\ri0\sa120\nowidctlpar\wrapdefault\aspalpha\aspnum\faauto\adjustright\rin0\lin0\itap0 \rtlch\fcs1 \af0\afs20\alang1025 \ltrch\fcs0 _x000d__x000a_\fs24\lang2057\langfe2057\cgrid\langnp2057\langfenp2057 \sbasedon0 \snext16 \spriority0 \styrsid8934933 Normal6a;}{\s17\ql \li0\ri0\nowidctlpar\wrapdefault\aspalpha\aspnum\faauto\adjustright\rin0\lin0\itap0 \rtlch\fcs1 \af0\afs20\alang1025 \ltrch\fcs0 _x000d__x000a_\b\fs24\lang2057\langfe2057\cgrid\langnp2057\langfenp2057 \sbasedon0 \snext17 \spriority0 \styrsid8934933 NormalBold;}{\s18\ql \li0\ri0\sa240\nowidctlpar\wrapdefault\aspalpha\aspnum\faauto\adjustright\rin0\lin0\itap0 \rtlch\fcs1 \af0\afs20\alang1025 _x000d__x000a_\ltrch\fcs0 \i\fs24\lang2057\langfe2057\cgrid\langnp2057\langfenp2057 \sbasedon0 \snext18 \spriority0 \styrsid8934933 AmJustText;}{\s19\qc \li0\ri0\sb240\sa240\nowidctlpar\wrapdefault\aspalpha\aspnum\faauto\adjustright\rin0\lin0\itap0 \rtlch\fcs1 _x000d__x000a_\af0\afs20\alang1025 \ltrch\fcs0 \i\fs24\lang2057\langfe2057\cgrid\langnp2057\langfenp2057 \sbasedon0 \snext19 \spriority0 \styrsid8934933 AmCrossRef;}{_x000d__x000a_\s20\qc \li0\ri0\sb240\sa240\keepn\nowidctlpar\wrapdefault\aspalpha\aspnum\faauto\adjustright\rin0\lin0\itap0 \rtlch\fcs1 \af0\afs20\alang1025 \ltrch\fcs0 \i\fs24\lang2057\langfe2057\cgrid\langnp2057\langfenp2057 _x000d__x000a_\sbasedon0 \snext18 \spriority0 \styrsid8934933 AmJustTitle;}{\s21\qr \li0\ri0\sb240\sa240\nowidctlpar\wrapdefault\aspalpha\aspnum\faauto\adjustright\rin0\lin0\itap0 \rtlch\fcs1 \af0\afs20\alang1025 \ltrch\fcs0 _x000d__x000a_\fs24\lang2057\langfe2057\cgrid\langnp2057\langfenp2057 \sbasedon0 \snext21 \spriority0 \styrsid8934933 AmOrLang;}{\s22\qc \li0\ri0\sa240\nowidctlpar\wrapdefault\aspalpha\aspnum\faauto\adjustright\rin0\lin0\itap0 \rtlch\fcs1 \af0\afs20\alang1025 _x000d__x000a_\ltrch\fcs0 \i\fs24\lang2057\langfe2057\cgrid\langnp2057\langfenp2057 \sbasedon0 \snext22 \spriority0 \styrsid893493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934933 AmNumberTabs;}{\s24\ql \li0\ri0\sb240\nowidctlpar\wrapdefault\aspalpha\aspnum\faauto\adjustright\rin0\lin0\itap0 \rtlch\fcs1 _x000d__x000a_\af0\afs20\alang1025 \ltrch\fcs0 \b\fs24\lang2057\langfe2057\cgrid\langnp2057\langfenp2057 \sbasedon0 \snext24 \spriority0 \styrsid8934933 NormalBold12b;}}{\*\rsidtbl \rsid24658\rsid358857\rsid735077\rsid787282\rsid2892074\rsid3622648\rsid4666813_x000d__x000a_\rsid5708216\rsid6641733\rsid7553164\rsid8465581\rsid8681905\rsid8724649\rsid8934933\rsid9636012\rsid9862312\rsid11215221\rsid11370291\rsid11434737\rsid11607138\rsid11824949\rsid12154954\rsid12740548\rsid14424199\rsid15204470\rsid15285974\rsid15535219_x000d__x000a_\rsid15950462\rsid16324206\rsid16662270}{\mmathPr\mmathFont34\mbrkBin0\mbrkBinSub0\msmallFrac0\mdispDef1\mlMargin0\mrMargin0\mdefJc1\mwrapIndent1440\mintLim0\mnaryLim1}{\info{\author FELIX Karina}{\operator FELIX Karina}{\creatim\yr2019\mo7\dy9\hr12\min6}_x000d__x000a_{\revtim\yr2019\mo7\dy9\hr12\min6}{\version1}{\edmins0}{\nofpages1}{\nofwords59}{\nofchars342}{\*\company European Parliament}{\nofcharsws400}{\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349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74054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740548 \chftnsepc _x000d__x000a_\par }}{\*\aftnsep \ltrpar \pard\plain \ltrpar\ql \li0\ri0\widctlpar\wrapdefault\aspalpha\aspnum\faauto\adjustright\rin0\lin0\itap0 \rtlch\fcs1 \af0\afs20\alang1025 \ltrch\fcs0 \fs24\lang2057\langfe2057\cgrid\langnp2057\langfenp2057 {\rtlch\fcs1 \af0 _x000d__x000a_\ltrch\fcs0 \insrsid12740548 \chftnsep _x000d__x000a_\par }}{\*\aftnsepc \ltrpar \pard\plain \ltrpar\ql \li0\ri0\widctlpar\wrapdefault\aspalpha\aspnum\faauto\adjustright\rin0\lin0\itap0 \rtlch\fcs1 \af0\afs20\alang1025 \ltrch\fcs0 \fs24\lang2057\langfe2057\cgrid\langnp2057\langfenp2057 {\rtlch\fcs1 \af0 _x000d__x000a_\ltrch\fcs0 \insrsid1274054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8934933 \rtlch\fcs1 \af0\afs20\alang1025 \ltrch\fcs0 \b\fs24\lang2057\langfe2057\cgrid\langnp2057\langfenp2057 {\rtlch\fcs1 \af0 \ltrch\fcs0 \cs15\b0\v\f1\fs20\cf9\insrsid8934933\charrsid8809889 {\*\bkmkstart restart}&lt;Amend&gt;}{_x000d__x000a_\rtlch\fcs1 \af0 \ltrch\fcs0 \insrsid8934933\charrsid8809889 [ZAMENDMENT]\tab \tab }{\rtlch\fcs1 \af0 \ltrch\fcs0 \cs15\b0\v\f1\fs20\cf9\insrsid8934933\charrsid8809889 &lt;NumAm&gt;}{\rtlch\fcs1 \af0 \ltrch\fcs0 \insrsid8934933\charrsid8809889 [ZNRAM]}{_x000d__x000a_\rtlch\fcs1 \af0 \ltrch\fcs0 \cs15\b0\v\f1\fs20\cf9\insrsid8934933\charrsid8809889 &lt;/NumAm&gt;}{\rtlch\fcs1 \af0 \ltrch\fcs0 \insrsid8934933\charrsid8809889 _x000d__x000a_\par }\pard\plain \ltrpar\s24\ql \li0\ri0\sb240\keepn\nowidctlpar\wrapdefault\aspalpha\aspnum\faauto\adjustright\rin0\lin0\itap0\pararsid8934933 \rtlch\fcs1 \af0\afs20\alang1025 \ltrch\fcs0 \b\fs24\lang2057\langfe2057\cgrid\langnp2057\langfenp2057 {_x000d__x000a_\rtlch\fcs1 \af0 \ltrch\fcs0 \cs15\b0\v\f1\fs20\cf9\insrsid8934933\charrsid8809889 &lt;DocAmend&gt;}{\rtlch\fcs1 \af0 \ltrch\fcs0 \insrsid8934933\charrsid8809889 [ZPROPOSAL][ZAMACT]}{\rtlch\fcs1 \af0 \ltrch\fcs0 _x000d__x000a_\cs15\b0\v\f1\fs20\cf9\insrsid8934933\charrsid8809889 &lt;/DocAmend&gt;}{\rtlch\fcs1 \af0 \ltrch\fcs0 \insrsid8934933\charrsid8809889 _x000d__x000a_\par }\pard\plain \ltrpar\s17\ql \li0\ri0\nowidctlpar\wrapdefault\aspalpha\aspnum\faauto\adjustright\rin0\lin0\itap0\pararsid8934933 \rtlch\fcs1 \af0\afs20\alang1025 \ltrch\fcs0 \b\fs24\lang2057\langfe2057\cgrid\langnp2057\langfenp2057 {\rtlch\fcs1 \af0 _x000d__x000a_\ltrch\fcs0 \cs15\b0\v\f1\fs20\cf9\insrsid8934933\charrsid8809889 &lt;Article&gt;}{\rtlch\fcs1 \af0 \ltrch\fcs0 \insrsid8934933\charrsid8809889 [ZAMPART]}{\rtlch\fcs1 \af0 \ltrch\fcs0 \cs15\b0\v\f1\fs20\cf9\insrsid8934933\charrsid8809889 &lt;/Article&gt;}{_x000d__x000a_\rtlch\fcs1 \af0 \ltrch\fcs0 \insrsid8934933\charrsid8809889 _x000d__x000a_\par }\pard\plain \ltrpar\ql \li0\ri0\keepn\widctlpar\wrapdefault\aspalpha\aspnum\faauto\adjustright\rin0\lin0\itap0\pararsid8934933 \rtlch\fcs1 \af0\afs20\alang1025 \ltrch\fcs0 \fs24\lang2057\langfe2057\cgrid\langnp2057\langfenp2057 {\rtlch\fcs1 \af0 _x000d__x000a_\ltrch\fcs0 \cs15\v\f1\fs20\cf9\lang1043\langfe2057\langnp1043\insrsid8934933\charrsid9717441 &lt;DocAmend2&gt;&lt;OptDel&gt;}{\rtlch\fcs1 \af0 \ltrch\fcs0 \lang1043\langfe2057\langnp1043\insrsid8934933\charrsid9717441 [ZNRACT]}{\rtlch\fcs1 \af0 \ltrch\fcs0 _x000d__x000a_\cs15\v\f1\fs20\cf9\lang1043\langfe2057\langnp1043\insrsid8934933\charrsid9717441 &lt;/OptDel&gt;&lt;/DocAmend2&gt;}{\rtlch\fcs1 \af0 \ltrch\fcs0 \lang1043\langfe2057\langnp1043\insrsid8934933\charrsid9717441 _x000d__x000a_\par }\pard \ltrpar\ql \li0\ri0\widctlpar\wrapdefault\aspalpha\aspnum\faauto\adjustright\rin0\lin0\itap0\pararsid8934933 {\rtlch\fcs1 \af0 \ltrch\fcs0 \cs15\v\f1\fs20\cf9\lang1036\langfe2057\langnp1036\insrsid8934933\charrsid9717441 &lt;Article2&gt;&lt;OptDel&gt;}{_x000d__x000a_\rtlch\fcs1 \af0 \ltrch\fcs0 \lang1036\langfe2057\langnp1036\insrsid8934933\charrsid9717441 [ZACTPART]}{\rtlch\fcs1 \af0 \ltrch\fcs0 \cs15\v\f1\fs20\cf9\lang1036\langfe2057\langnp1036\insrsid8934933\charrsid9717441 &lt;/OptDel&gt;&lt;/Article2&gt;}{\rtlch\fcs1 \af0 _x000d__x000a_\ltrch\fcs0 \lang1036\langfe2057\langnp1036\insrsid8934933\charrsid9717441 _x000d__x000a_\par \ltrrow}\trowd \irow0\irowband0\ltrrow\ts11\trqc\trgaph340\trleft-340\trftsWidth3\trwWidth9752\trftsWidthB3\trpaddl340\trpaddr340\trpaddfl3\trpaddft3\trpaddfb3\trpaddfr3\tblrsid12919181\tblind0\tblindtype3 \clvertalt\clbrdrt\brdrtbl \clbrdrl\brdrtbl _x000d__x000a_\clbrdrb\brdrtbl \clbrdrr\brdrtbl \cltxlrtb\clftsWidth3\clwWidth9752\clshdrawnil \cellx9412\pard\plain \ltrpar\ql \li0\ri0\keepn\widctlpar\intbl\wrapdefault\aspalpha\aspnum\faauto\adjustright\rin0\lin0\pararsid12919181 \rtlch\fcs1 \af0\afs20\alang1025 _x000d__x000a_\ltrch\fcs0 \fs24\lang2057\langfe2057\cgrid\langnp2057\langfenp2057 {\rtlch\fcs1 \af0 \ltrch\fcs0 \lang1036\langfe2057\langnp1036\insrsid8934933\charrsid9717441 \cell }\pard\plain \ltrpar_x000d__x000a_\ql \li0\ri0\widctlpar\intbl\wrapdefault\aspalpha\aspnum\faauto\adjustright\rin0\lin0 \rtlch\fcs1 \af0\afs20\alang1025 \ltrch\fcs0 \fs24\lang2057\langfe2057\cgrid\langnp2057\langfenp2057 {\rtlch\fcs1 \af0 \ltrch\fcs0 _x000d__x000a_\lang1036\langfe2057\langnp1036\insrsid8934933\charrsid5921769 \trowd \irow0\irowband0\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2919181 \rtlch\fcs1 \af0\afs20\alang1025 \ltrch\fcs0 \i\fs24\lang2057\langfe2057\cgrid\langnp2057\langfenp2057 {\rtlch\fcs1 \af0 \ltrch\fcs0 _x000d__x000a_\insrsid8934933\charrsid8809889 [ZLEFT]\cell [ZRIGHT]\cell }\pard\plain \ltrpar\ql \li0\ri0\widctlpar\intbl\wrapdefault\aspalpha\aspnum\faauto\adjustright\rin0\lin0 \rtlch\fcs1 \af0\afs20\alang1025 \ltrch\fcs0 _x000d__x000a_\fs24\lang2057\langfe2057\cgrid\langnp2057\langfenp2057 {\rtlch\fcs1 \af0 \ltrch\fcs0 \insrsid8934933\charrsid8809889 \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6572374 \rtlch\fcs1 \af0\afs20\alang1025 \ltrch\fcs0 \fs24\lang2057\langfe2057\cgrid\langnp2057\langfenp2057 {\rtlch\fcs1 \af0 \ltrch\fcs0 _x000d__x000a_\insrsid8934933\charrsid8809889 [ZTEXTL]\cell [ZTEXTR]}{\rtlch\fcs1 \af0\afs24 \ltrch\fcs0 \insrsid8934933\charrsid8809889 \cell }\pard\plain \ltrpar\ql \li0\ri0\widctlpar\intbl\wrapdefault\aspalpha\aspnum\faauto\adjustright\rin0\lin0 \rtlch\fcs1 _x000d__x000a_\af0\afs20\alang1025 \ltrch\fcs0 \fs24\lang2057\langfe2057\cgrid\langnp2057\langfenp2057 {\rtlch\fcs1 \af0 \ltrch\fcs0 \insrsid8934933\charrsid8809889 \trowd \irow2\irowband2\lastrow \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8934933 \rtlch\fcs1 \af0\afs20\alang1025 \ltrch\fcs0 \fs24\lang2057\langfe2057\cgrid\langnp2057\langfenp2057 {\rtlch\fcs1 \af0 \ltrch\fcs0 _x000d__x000a_\insrsid8934933\charrsid8809889 Or. }{\rtlch\fcs1 \af0 \ltrch\fcs0 \cs15\v\f1\fs20\cf9\insrsid8934933\charrsid8809889 &lt;Original&gt;}{\rtlch\fcs1 \af0 \ltrch\fcs0 \insrsid8934933\charrsid8809889 [ZORLANG]}{\rtlch\fcs1 \af0 \ltrch\fcs0 _x000d__x000a_\cs15\v\f1\fs20\cf9\insrsid8934933\charrsid8809889 &lt;/Original&gt;}{\rtlch\fcs1 \af0 \ltrch\fcs0 \insrsid8934933\charrsid8809889 _x000d__x000a_\par }\pard\plain \ltrpar\s19\qc \li0\ri0\sb240\sa240\nowidctlpar\wrapdefault\aspalpha\aspnum\faauto\adjustright\rin0\lin0\itap0\pararsid8934933 \rtlch\fcs1 \af0\afs20\alang1025 \ltrch\fcs0 \i\fs24\lang2057\langfe2057\cgrid\langnp2057\langfenp2057 {_x000d__x000a_\rtlch\fcs1 \af0 \ltrch\fcs0 \cs15\i0\v\f1\fs20\cf9\insrsid8934933\charrsid8809889 &lt;OptDel&gt;}{\rtlch\fcs1 \af0 \ltrch\fcs0 \insrsid8934933\charrsid8809889 [ZCROSSREF]}{\rtlch\fcs1 \af0 \ltrch\fcs0 \cs15\i0\v\f1\fs20\cf9\insrsid8934933\charrsid8809889 _x000d__x000a_&lt;/OptDel&gt;}{\rtlch\fcs1 \af0 \ltrch\fcs0 \insrsid8934933\charrsid8809889 _x000d__x000a_\par }\pard\plain \ltrpar\s20\qc \li0\ri0\sb240\sa240\keepn\nowidctlpar\wrapdefault\aspalpha\aspnum\faauto\adjustright\rin0\lin0\itap0\pararsid8934933 \rtlch\fcs1 \af0\afs20\alang1025 \ltrch\fcs0 \i\fs24\lang2057\langfe2057\cgrid\langnp2057\langfenp2057 {_x000d__x000a_\rtlch\fcs1 \af0 \ltrch\fcs0 \cs15\i0\v\f1\fs20\cf9\insrsid8934933\charrsid8809889 &lt;TitreJust&gt;}{\rtlch\fcs1 \af0 \ltrch\fcs0 \insrsid8934933\charrsid8809889 [ZJUSTIFICATION]}{\rtlch\fcs1 \af0 \ltrch\fcs0 _x000d__x000a_\cs15\i0\v\f1\fs20\cf9\insrsid8934933\charrsid8809889 &lt;/TitreJust&gt;}{\rtlch\fcs1 \af0 \ltrch\fcs0 \insrsid8934933\charrsid8809889 _x000d__x000a_\par }\pard\plain \ltrpar\s18\ql \li0\ri0\sa240\nowidctlpar\wrapdefault\aspalpha\aspnum\faauto\adjustright\rin0\lin0\itap0\pararsid8934933 \rtlch\fcs1 \af0\afs20\alang1025 \ltrch\fcs0 \i\fs24\lang2057\langfe2057\cgrid\langnp2057\langfenp2057 {\rtlch\fcs1 \af0 _x000d__x000a_\ltrch\fcs0 \cs15\i0\v\f1\fs20\cf9\insrsid8934933\charrsid8809889 &lt;OptDelPrev&gt;}{\rtlch\fcs1 \af0 \ltrch\fcs0 \insrsid8934933\charrsid8809889 [ZTEXTJUST]}{\rtlch\fcs1 \af0 \ltrch\fcs0 \cs15\i0\v\f1\fs20\cf9\insrsid8934933\charrsid8809889 &lt;/OptDelPrev&gt;}{_x000d__x000a_\rtlch\fcs1 \af0 \ltrch\fcs0 \insrsid8934933\charrsid8809889 _x000d__x000a_\par }\pard\plain \ltrpar\ql \li0\ri0\widctlpar\wrapdefault\aspalpha\aspnum\faauto\adjustright\rin0\lin0\itap0\pararsid8934933 \rtlch\fcs1 \af0\afs20\alang1025 \ltrch\fcs0 \fs24\lang2057\langfe2057\cgrid\langnp2057\langfenp2057 {\rtlch\fcs1 \af0 \ltrch\fcs0 _x000d__x000a_\cs15\v\f1\fs20\cf9\insrsid8934933\charrsid880988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5_x000d__x000a_550b3e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recastingam"/>
    <w:docVar w:name="strSubDir" w:val="1301"/>
    <w:docVar w:name="TVTAMPART" w:val="HJ"/>
    <w:docVar w:name="TXTAUTHOR" w:val="Jeroen Lenaers"/>
    <w:docVar w:name="TXTLANGUE" w:val="EN"/>
    <w:docVar w:name="TXTLANGUEMIN" w:val="en"/>
    <w:docVar w:name="TXTNRC" w:val="0028/2024"/>
    <w:docVar w:name="TXTNRCOD" w:val="2024/0035"/>
    <w:docVar w:name="TXTNRCOM" w:val="(2024)0060"/>
    <w:docVar w:name="TXTNRFIRSTAM" w:val="1"/>
    <w:docVar w:name="TXTNRLASTAM" w:val="51"/>
    <w:docVar w:name="TXTNRPE" w:val="761.022"/>
    <w:docVar w:name="TXTPEorAP" w:val="PE"/>
    <w:docVar w:name="TXTROUTE" w:val="PR\1301224EN.docx"/>
    <w:docVar w:name="TXTTITLE" w:val="on combating the sexual abuse and sexual exploitation of children and child sexual abuse material and replacing Council Framework Decision 2004/68/JHA (recast)"/>
    <w:docVar w:name="TXTVERSION" w:val="01-00"/>
  </w:docVars>
  <w:rsids>
    <w:rsidRoot w:val="00133DD3"/>
    <w:rsid w:val="00012807"/>
    <w:rsid w:val="00021008"/>
    <w:rsid w:val="00030DFA"/>
    <w:rsid w:val="00044E83"/>
    <w:rsid w:val="0005680D"/>
    <w:rsid w:val="00061F36"/>
    <w:rsid w:val="00065B5C"/>
    <w:rsid w:val="00071CA8"/>
    <w:rsid w:val="00075CAE"/>
    <w:rsid w:val="00087F65"/>
    <w:rsid w:val="00092A4C"/>
    <w:rsid w:val="000A74FB"/>
    <w:rsid w:val="000C1116"/>
    <w:rsid w:val="000E4708"/>
    <w:rsid w:val="000F309C"/>
    <w:rsid w:val="000F5CD0"/>
    <w:rsid w:val="001132B1"/>
    <w:rsid w:val="001175CE"/>
    <w:rsid w:val="00133DD3"/>
    <w:rsid w:val="001547E9"/>
    <w:rsid w:val="001552EE"/>
    <w:rsid w:val="00155616"/>
    <w:rsid w:val="00170160"/>
    <w:rsid w:val="001722BB"/>
    <w:rsid w:val="00182FA1"/>
    <w:rsid w:val="001A5111"/>
    <w:rsid w:val="001C21E6"/>
    <w:rsid w:val="001F176A"/>
    <w:rsid w:val="001F5E36"/>
    <w:rsid w:val="00212B3E"/>
    <w:rsid w:val="00217ABA"/>
    <w:rsid w:val="00221572"/>
    <w:rsid w:val="0025332E"/>
    <w:rsid w:val="00292A90"/>
    <w:rsid w:val="00293360"/>
    <w:rsid w:val="002C363F"/>
    <w:rsid w:val="002C437E"/>
    <w:rsid w:val="002E3540"/>
    <w:rsid w:val="002F4834"/>
    <w:rsid w:val="003018E9"/>
    <w:rsid w:val="00311858"/>
    <w:rsid w:val="00313ACE"/>
    <w:rsid w:val="0032777A"/>
    <w:rsid w:val="003367B5"/>
    <w:rsid w:val="00343461"/>
    <w:rsid w:val="0034475B"/>
    <w:rsid w:val="00346076"/>
    <w:rsid w:val="00380178"/>
    <w:rsid w:val="00390A05"/>
    <w:rsid w:val="003A7BC1"/>
    <w:rsid w:val="003B2DF1"/>
    <w:rsid w:val="003B5DAA"/>
    <w:rsid w:val="003F2B7E"/>
    <w:rsid w:val="003F2C56"/>
    <w:rsid w:val="003F74E5"/>
    <w:rsid w:val="004111ED"/>
    <w:rsid w:val="00424384"/>
    <w:rsid w:val="00424A09"/>
    <w:rsid w:val="0042523D"/>
    <w:rsid w:val="00432ADF"/>
    <w:rsid w:val="00435F6D"/>
    <w:rsid w:val="004415EC"/>
    <w:rsid w:val="00447273"/>
    <w:rsid w:val="0046659C"/>
    <w:rsid w:val="00466AEA"/>
    <w:rsid w:val="00466F3D"/>
    <w:rsid w:val="004740DD"/>
    <w:rsid w:val="004A1ADF"/>
    <w:rsid w:val="004A411F"/>
    <w:rsid w:val="004A6A43"/>
    <w:rsid w:val="004C022E"/>
    <w:rsid w:val="004C201D"/>
    <w:rsid w:val="004C4868"/>
    <w:rsid w:val="004D79E5"/>
    <w:rsid w:val="00511802"/>
    <w:rsid w:val="005138DB"/>
    <w:rsid w:val="00520260"/>
    <w:rsid w:val="00522894"/>
    <w:rsid w:val="00540DC6"/>
    <w:rsid w:val="00543B7B"/>
    <w:rsid w:val="00547EF1"/>
    <w:rsid w:val="00555652"/>
    <w:rsid w:val="0056430C"/>
    <w:rsid w:val="005852DB"/>
    <w:rsid w:val="00591538"/>
    <w:rsid w:val="005A3316"/>
    <w:rsid w:val="005A3CE4"/>
    <w:rsid w:val="005A5BE9"/>
    <w:rsid w:val="005C5FEE"/>
    <w:rsid w:val="005D44FE"/>
    <w:rsid w:val="005E0CB2"/>
    <w:rsid w:val="00605200"/>
    <w:rsid w:val="00644956"/>
    <w:rsid w:val="00647272"/>
    <w:rsid w:val="00656DCC"/>
    <w:rsid w:val="006772F5"/>
    <w:rsid w:val="006C1F71"/>
    <w:rsid w:val="006D39AC"/>
    <w:rsid w:val="006D77A8"/>
    <w:rsid w:val="006F5718"/>
    <w:rsid w:val="00720D4E"/>
    <w:rsid w:val="00726C00"/>
    <w:rsid w:val="00734ECC"/>
    <w:rsid w:val="00770284"/>
    <w:rsid w:val="00771F29"/>
    <w:rsid w:val="00786C4C"/>
    <w:rsid w:val="00797D1E"/>
    <w:rsid w:val="007A0880"/>
    <w:rsid w:val="007D22F9"/>
    <w:rsid w:val="007D392E"/>
    <w:rsid w:val="007D4D20"/>
    <w:rsid w:val="007D611D"/>
    <w:rsid w:val="007E333C"/>
    <w:rsid w:val="00837B4C"/>
    <w:rsid w:val="008450C7"/>
    <w:rsid w:val="00852087"/>
    <w:rsid w:val="00857CF2"/>
    <w:rsid w:val="00866DA1"/>
    <w:rsid w:val="0087117D"/>
    <w:rsid w:val="00876CC2"/>
    <w:rsid w:val="00884EFD"/>
    <w:rsid w:val="00886775"/>
    <w:rsid w:val="008B6712"/>
    <w:rsid w:val="008C7296"/>
    <w:rsid w:val="008D3054"/>
    <w:rsid w:val="00906B4D"/>
    <w:rsid w:val="009104D7"/>
    <w:rsid w:val="009446C1"/>
    <w:rsid w:val="009447BE"/>
    <w:rsid w:val="009604CB"/>
    <w:rsid w:val="00975764"/>
    <w:rsid w:val="0097679E"/>
    <w:rsid w:val="00982093"/>
    <w:rsid w:val="00982A13"/>
    <w:rsid w:val="00987816"/>
    <w:rsid w:val="00995582"/>
    <w:rsid w:val="009A14A0"/>
    <w:rsid w:val="009C6C50"/>
    <w:rsid w:val="009D3C1F"/>
    <w:rsid w:val="009E0F42"/>
    <w:rsid w:val="009E1028"/>
    <w:rsid w:val="009E777A"/>
    <w:rsid w:val="00A13A5E"/>
    <w:rsid w:val="00A2287D"/>
    <w:rsid w:val="00A32A5D"/>
    <w:rsid w:val="00A375EA"/>
    <w:rsid w:val="00A41D5E"/>
    <w:rsid w:val="00A51111"/>
    <w:rsid w:val="00A91884"/>
    <w:rsid w:val="00A953F5"/>
    <w:rsid w:val="00AA7661"/>
    <w:rsid w:val="00AC256D"/>
    <w:rsid w:val="00AF0002"/>
    <w:rsid w:val="00AF5418"/>
    <w:rsid w:val="00B03124"/>
    <w:rsid w:val="00B11BA2"/>
    <w:rsid w:val="00B14B32"/>
    <w:rsid w:val="00B336A9"/>
    <w:rsid w:val="00B40F23"/>
    <w:rsid w:val="00B42C2E"/>
    <w:rsid w:val="00B81204"/>
    <w:rsid w:val="00B85E48"/>
    <w:rsid w:val="00BC2742"/>
    <w:rsid w:val="00BC52D8"/>
    <w:rsid w:val="00BD28D4"/>
    <w:rsid w:val="00BE2C7F"/>
    <w:rsid w:val="00BF3419"/>
    <w:rsid w:val="00C036B7"/>
    <w:rsid w:val="00C26D5E"/>
    <w:rsid w:val="00C31D39"/>
    <w:rsid w:val="00C42F61"/>
    <w:rsid w:val="00C445D9"/>
    <w:rsid w:val="00C5218D"/>
    <w:rsid w:val="00C53053"/>
    <w:rsid w:val="00C57C01"/>
    <w:rsid w:val="00C673D0"/>
    <w:rsid w:val="00C77D7D"/>
    <w:rsid w:val="00C9348F"/>
    <w:rsid w:val="00C955A0"/>
    <w:rsid w:val="00CC0D23"/>
    <w:rsid w:val="00CD65A8"/>
    <w:rsid w:val="00CE1B4E"/>
    <w:rsid w:val="00CE1E06"/>
    <w:rsid w:val="00D24491"/>
    <w:rsid w:val="00D445A8"/>
    <w:rsid w:val="00D6614C"/>
    <w:rsid w:val="00D7331C"/>
    <w:rsid w:val="00D97418"/>
    <w:rsid w:val="00DB12A0"/>
    <w:rsid w:val="00DC2F51"/>
    <w:rsid w:val="00DC3DED"/>
    <w:rsid w:val="00DD51E8"/>
    <w:rsid w:val="00DD61CC"/>
    <w:rsid w:val="00DE19CF"/>
    <w:rsid w:val="00DE3A37"/>
    <w:rsid w:val="00DF25EA"/>
    <w:rsid w:val="00E07EA4"/>
    <w:rsid w:val="00E142AF"/>
    <w:rsid w:val="00E21D93"/>
    <w:rsid w:val="00E25C80"/>
    <w:rsid w:val="00E51D01"/>
    <w:rsid w:val="00E6526B"/>
    <w:rsid w:val="00E769EF"/>
    <w:rsid w:val="00E901B1"/>
    <w:rsid w:val="00E93ED1"/>
    <w:rsid w:val="00E95919"/>
    <w:rsid w:val="00E9638A"/>
    <w:rsid w:val="00EA7E4A"/>
    <w:rsid w:val="00ED0821"/>
    <w:rsid w:val="00EF15FD"/>
    <w:rsid w:val="00EF63A7"/>
    <w:rsid w:val="00F02B54"/>
    <w:rsid w:val="00F055BD"/>
    <w:rsid w:val="00F23827"/>
    <w:rsid w:val="00F42346"/>
    <w:rsid w:val="00F455D8"/>
    <w:rsid w:val="00F5200B"/>
    <w:rsid w:val="00F63F81"/>
    <w:rsid w:val="00F72CA0"/>
    <w:rsid w:val="00F84E6A"/>
    <w:rsid w:val="00F8780D"/>
    <w:rsid w:val="00F92393"/>
    <w:rsid w:val="00FA6D72"/>
    <w:rsid w:val="00FB03F2"/>
    <w:rsid w:val="00FB0EF1"/>
    <w:rsid w:val="00FB51BE"/>
    <w:rsid w:val="00FB581A"/>
    <w:rsid w:val="00FC3744"/>
    <w:rsid w:val="00FD1141"/>
    <w:rsid w:val="00FE463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8AA97AF-99A7-459F-AA6C-526A47C82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F29"/>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5111"/>
    <w:rPr>
      <w:rFonts w:ascii="Arial" w:hAnsi="Arial"/>
      <w:b/>
      <w:kern w:val="28"/>
      <w:sz w:val="28"/>
    </w:rPr>
  </w:style>
  <w:style w:type="character" w:customStyle="1" w:styleId="Heading2Char">
    <w:name w:val="Heading 2 Char"/>
    <w:basedOn w:val="DefaultParagraphFont"/>
    <w:link w:val="Heading2"/>
    <w:semiHidden/>
    <w:rsid w:val="001A5111"/>
    <w:rPr>
      <w:rFonts w:ascii="Arial" w:hAnsi="Arial"/>
      <w:b/>
      <w:i/>
      <w:sz w:val="24"/>
    </w:rPr>
  </w:style>
  <w:style w:type="character" w:customStyle="1" w:styleId="Heading3Char">
    <w:name w:val="Heading 3 Char"/>
    <w:basedOn w:val="DefaultParagraphFont"/>
    <w:link w:val="Heading3"/>
    <w:semiHidden/>
    <w:rsid w:val="001A5111"/>
    <w:rPr>
      <w:rFonts w:ascii="Arial" w:hAnsi="Arial"/>
      <w:sz w:val="24"/>
    </w:rPr>
  </w:style>
  <w:style w:type="character" w:customStyle="1" w:styleId="Heading4Char">
    <w:name w:val="Heading 4 Char"/>
    <w:basedOn w:val="DefaultParagraphFont"/>
    <w:link w:val="Heading4"/>
    <w:semiHidden/>
    <w:rsid w:val="001A5111"/>
    <w:rPr>
      <w:rFonts w:ascii="Arial" w:hAnsi="Arial"/>
      <w:b/>
      <w:sz w:val="24"/>
    </w:rPr>
  </w:style>
  <w:style w:type="character" w:customStyle="1" w:styleId="Heading5Char">
    <w:name w:val="Heading 5 Char"/>
    <w:basedOn w:val="DefaultParagraphFont"/>
    <w:link w:val="Heading5"/>
    <w:semiHidden/>
    <w:rsid w:val="001A5111"/>
    <w:rPr>
      <w:sz w:val="22"/>
    </w:rPr>
  </w:style>
  <w:style w:type="character" w:customStyle="1" w:styleId="Heading6Char">
    <w:name w:val="Heading 6 Char"/>
    <w:basedOn w:val="DefaultParagraphFont"/>
    <w:link w:val="Heading6"/>
    <w:semiHidden/>
    <w:rsid w:val="001A5111"/>
    <w:rPr>
      <w:i/>
      <w:sz w:val="22"/>
    </w:rPr>
  </w:style>
  <w:style w:type="character" w:customStyle="1" w:styleId="Heading7Char">
    <w:name w:val="Heading 7 Char"/>
    <w:basedOn w:val="DefaultParagraphFont"/>
    <w:link w:val="Heading7"/>
    <w:semiHidden/>
    <w:rsid w:val="001A5111"/>
    <w:rPr>
      <w:rFonts w:ascii="Arial" w:hAnsi="Arial"/>
      <w:sz w:val="24"/>
    </w:rPr>
  </w:style>
  <w:style w:type="character" w:customStyle="1" w:styleId="Heading8Char">
    <w:name w:val="Heading 8 Char"/>
    <w:basedOn w:val="DefaultParagraphFont"/>
    <w:link w:val="Heading8"/>
    <w:semiHidden/>
    <w:rsid w:val="001A5111"/>
    <w:rPr>
      <w:rFonts w:ascii="Arial" w:hAnsi="Arial"/>
      <w:i/>
      <w:sz w:val="24"/>
    </w:rPr>
  </w:style>
  <w:style w:type="character" w:customStyle="1" w:styleId="Heading9Char">
    <w:name w:val="Heading 9 Char"/>
    <w:basedOn w:val="DefaultParagraphFont"/>
    <w:link w:val="Heading9"/>
    <w:semiHidden/>
    <w:rsid w:val="001A5111"/>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PageHeading">
    <w:name w:val="PageHeading"/>
    <w:basedOn w:val="Normal"/>
    <w:rsid w:val="00647272"/>
    <w:pPr>
      <w:keepNext/>
      <w:spacing w:after="480"/>
      <w:jc w:val="center"/>
    </w:pPr>
    <w:rPr>
      <w:rFonts w:ascii="Arial" w:hAnsi="Arial" w:cs="Arial"/>
      <w: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B031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rsid w:val="00644956"/>
    <w:pPr>
      <w:spacing w:after="120"/>
    </w:pPr>
  </w:style>
  <w:style w:type="paragraph" w:customStyle="1" w:styleId="NormalBold">
    <w:name w:val="NormalBold"/>
    <w:basedOn w:val="Normal"/>
    <w:link w:val="NormalBoldChar"/>
    <w:rsid w:val="00644956"/>
    <w:rPr>
      <w:b/>
    </w:rPr>
  </w:style>
  <w:style w:type="character" w:customStyle="1" w:styleId="NormalBoldChar">
    <w:name w:val="NormalBold Char"/>
    <w:basedOn w:val="DefaultParagraphFont"/>
    <w:link w:val="NormalBold"/>
    <w:locked/>
    <w:rsid w:val="001A5111"/>
    <w:rPr>
      <w:b/>
      <w:sz w:val="24"/>
    </w:rPr>
  </w:style>
  <w:style w:type="paragraph" w:customStyle="1" w:styleId="NormalBold12a">
    <w:name w:val="NormalBold12a"/>
    <w:basedOn w:val="Normal"/>
    <w:rsid w:val="00797D1E"/>
    <w:pPr>
      <w:spacing w:after="240"/>
    </w:pPr>
    <w:rPr>
      <w:b/>
    </w:rPr>
  </w:style>
  <w:style w:type="paragraph" w:customStyle="1" w:styleId="NormalHanging12a">
    <w:name w:val="NormalHanging12a"/>
    <w:basedOn w:val="Normal"/>
    <w:rsid w:val="00797D1E"/>
    <w:pPr>
      <w:spacing w:after="240"/>
      <w:ind w:left="567" w:hanging="567"/>
    </w:pPr>
  </w:style>
  <w:style w:type="paragraph" w:customStyle="1" w:styleId="EPName">
    <w:name w:val="EPName"/>
    <w:basedOn w:val="Normal"/>
    <w:rsid w:val="005A3CE4"/>
    <w:pPr>
      <w:spacing w:before="80" w:after="80"/>
    </w:pPr>
    <w:rPr>
      <w:rFonts w:ascii="Arial Narrow" w:hAnsi="Arial Narrow" w:cs="Arial"/>
      <w:b/>
      <w:sz w:val="32"/>
      <w:szCs w:val="22"/>
    </w:rPr>
  </w:style>
  <w:style w:type="paragraph" w:customStyle="1" w:styleId="CoverNormal24a">
    <w:name w:val="CoverNormal24a"/>
    <w:basedOn w:val="Normal"/>
    <w:rsid w:val="00644956"/>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446C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644956"/>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3F2B7E"/>
    <w:pPr>
      <w:tabs>
        <w:tab w:val="center" w:pos="4513"/>
        <w:tab w:val="right" w:pos="9026"/>
      </w:tabs>
    </w:pPr>
  </w:style>
  <w:style w:type="character" w:customStyle="1" w:styleId="HeaderChar">
    <w:name w:val="Header Char"/>
    <w:basedOn w:val="DefaultParagraphFont"/>
    <w:link w:val="Header"/>
    <w:semiHidden/>
    <w:rsid w:val="003F2B7E"/>
    <w:rPr>
      <w:sz w:val="24"/>
    </w:rPr>
  </w:style>
  <w:style w:type="paragraph" w:customStyle="1" w:styleId="AnnexWPTabs">
    <w:name w:val="AnnexWPTabs"/>
    <w:basedOn w:val="Normal"/>
    <w:rsid w:val="00065B5C"/>
    <w:pPr>
      <w:tabs>
        <w:tab w:val="right" w:pos="3686"/>
        <w:tab w:val="left" w:pos="3827"/>
      </w:tabs>
    </w:pPr>
    <w:rPr>
      <w:b/>
    </w:rPr>
  </w:style>
  <w:style w:type="paragraph" w:customStyle="1" w:styleId="AnnexWPDate">
    <w:name w:val="AnnexWPDate"/>
    <w:basedOn w:val="Normal"/>
    <w:rsid w:val="005C5FEE"/>
    <w:pPr>
      <w:spacing w:before="240" w:after="480"/>
      <w:jc w:val="right"/>
    </w:pPr>
  </w:style>
  <w:style w:type="paragraph" w:customStyle="1" w:styleId="AnnexWPSmall">
    <w:name w:val="AnnexWPSmall"/>
    <w:basedOn w:val="Normal"/>
    <w:rsid w:val="00F72CA0"/>
    <w:rPr>
      <w:smallCaps/>
      <w:sz w:val="20"/>
    </w:rPr>
  </w:style>
  <w:style w:type="paragraph" w:customStyle="1" w:styleId="AnnexWPDocType">
    <w:name w:val="AnnexWPDocType"/>
    <w:basedOn w:val="Normal"/>
    <w:rsid w:val="00647272"/>
    <w:pPr>
      <w:spacing w:after="240"/>
      <w:jc w:val="center"/>
    </w:pPr>
    <w:rPr>
      <w:b/>
    </w:rPr>
  </w:style>
  <w:style w:type="paragraph" w:customStyle="1" w:styleId="AnnexWPTitle">
    <w:name w:val="AnnexWPTitle"/>
    <w:basedOn w:val="Normal"/>
    <w:rsid w:val="00605200"/>
    <w:pPr>
      <w:spacing w:before="480"/>
    </w:pPr>
    <w:rPr>
      <w:b/>
    </w:rPr>
  </w:style>
  <w:style w:type="paragraph" w:customStyle="1" w:styleId="AmJustText">
    <w:name w:val="AmJustText"/>
    <w:basedOn w:val="Normal"/>
    <w:rsid w:val="00C5218D"/>
    <w:pPr>
      <w:spacing w:after="240"/>
    </w:pPr>
    <w:rPr>
      <w:i/>
    </w:rPr>
  </w:style>
  <w:style w:type="paragraph" w:customStyle="1" w:styleId="AmCrossRef">
    <w:name w:val="AmCrossRef"/>
    <w:basedOn w:val="Normal"/>
    <w:rsid w:val="00C5218D"/>
    <w:pPr>
      <w:spacing w:before="240" w:after="240"/>
      <w:jc w:val="center"/>
    </w:pPr>
    <w:rPr>
      <w:i/>
    </w:rPr>
  </w:style>
  <w:style w:type="paragraph" w:customStyle="1" w:styleId="AmJustTitle">
    <w:name w:val="AmJustTitle"/>
    <w:basedOn w:val="Normal"/>
    <w:next w:val="AmJustText"/>
    <w:rsid w:val="00C5218D"/>
    <w:pPr>
      <w:keepNext/>
      <w:spacing w:before="240" w:after="240"/>
      <w:jc w:val="center"/>
    </w:pPr>
    <w:rPr>
      <w:i/>
    </w:rPr>
  </w:style>
  <w:style w:type="paragraph" w:customStyle="1" w:styleId="AmOrLang">
    <w:name w:val="AmOrLang"/>
    <w:basedOn w:val="Normal"/>
    <w:rsid w:val="00C5218D"/>
    <w:pPr>
      <w:spacing w:before="240" w:after="240"/>
      <w:jc w:val="right"/>
    </w:pPr>
  </w:style>
  <w:style w:type="paragraph" w:customStyle="1" w:styleId="AmColumnHeading">
    <w:name w:val="Am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866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66DA1"/>
    <w:pPr>
      <w:jc w:val="center"/>
    </w:pPr>
    <w:rPr>
      <w:rFonts w:ascii="Arial" w:hAnsi="Arial" w:cs="Arial"/>
      <w:i/>
      <w:sz w:val="22"/>
      <w:szCs w:val="22"/>
    </w:rPr>
  </w:style>
  <w:style w:type="paragraph" w:customStyle="1" w:styleId="LineTop">
    <w:name w:val="LineTop"/>
    <w:basedOn w:val="Normal"/>
    <w:next w:val="Normal"/>
    <w:rsid w:val="00866DA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866DA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A3CE4"/>
    <w:pPr>
      <w:spacing w:after="80"/>
    </w:pPr>
    <w:rPr>
      <w:rFonts w:ascii="Arial" w:hAnsi="Arial" w:cs="Arial"/>
      <w:sz w:val="20"/>
      <w:szCs w:val="22"/>
    </w:rPr>
  </w:style>
  <w:style w:type="paragraph" w:customStyle="1" w:styleId="EPLogo">
    <w:name w:val="EPLogo"/>
    <w:basedOn w:val="Normal"/>
    <w:qFormat/>
    <w:rsid w:val="005A3CE4"/>
    <w:pPr>
      <w:jc w:val="right"/>
    </w:pPr>
  </w:style>
  <w:style w:type="paragraph" w:customStyle="1" w:styleId="AnnexWPLogo">
    <w:name w:val="AnnexWPLogo"/>
    <w:basedOn w:val="Normal"/>
    <w:rsid w:val="00AA7661"/>
    <w:pPr>
      <w:spacing w:before="120" w:after="120"/>
    </w:pPr>
  </w:style>
  <w:style w:type="paragraph" w:customStyle="1" w:styleId="EPFooter">
    <w:name w:val="EPFooter"/>
    <w:basedOn w:val="Normal"/>
    <w:rsid w:val="00012807"/>
    <w:pPr>
      <w:tabs>
        <w:tab w:val="center" w:pos="4535"/>
        <w:tab w:val="right" w:pos="9071"/>
      </w:tabs>
      <w:spacing w:before="240" w:after="240"/>
    </w:pPr>
    <w:rPr>
      <w:color w:val="010000"/>
      <w:sz w:val="22"/>
    </w:rPr>
  </w:style>
  <w:style w:type="character" w:styleId="PageNumber">
    <w:name w:val="page number"/>
    <w:basedOn w:val="DefaultParagraphFont"/>
    <w:semiHidden/>
    <w:rsid w:val="00F42346"/>
  </w:style>
  <w:style w:type="paragraph" w:customStyle="1" w:styleId="EPComma">
    <w:name w:val="EPComma"/>
    <w:basedOn w:val="Normal"/>
    <w:rsid w:val="00BE2C7F"/>
    <w:pPr>
      <w:spacing w:before="480" w:after="240"/>
    </w:pPr>
  </w:style>
  <w:style w:type="paragraph" w:customStyle="1" w:styleId="Lgendesigne">
    <w:name w:val="Légende signe"/>
    <w:basedOn w:val="Normal"/>
    <w:rsid w:val="00837B4C"/>
    <w:pPr>
      <w:tabs>
        <w:tab w:val="right" w:pos="454"/>
        <w:tab w:val="left" w:pos="737"/>
      </w:tabs>
      <w:ind w:left="737" w:hanging="737"/>
    </w:pPr>
    <w:rPr>
      <w:snapToGrid w:val="0"/>
      <w:sz w:val="18"/>
      <w:lang w:eastAsia="en-US"/>
    </w:rPr>
  </w:style>
  <w:style w:type="paragraph" w:customStyle="1" w:styleId="Lgendetitre">
    <w:name w:val="Légende titre"/>
    <w:basedOn w:val="Normal"/>
    <w:rsid w:val="00837B4C"/>
    <w:pPr>
      <w:spacing w:before="240" w:after="240"/>
    </w:pPr>
    <w:rPr>
      <w:b/>
      <w:i/>
      <w:snapToGrid w:val="0"/>
      <w:lang w:eastAsia="en-US"/>
    </w:rPr>
  </w:style>
  <w:style w:type="paragraph" w:customStyle="1" w:styleId="Lgendestandard">
    <w:name w:val="Légende standard"/>
    <w:basedOn w:val="Normal"/>
    <w:rsid w:val="00837B4C"/>
    <w:rPr>
      <w:sz w:val="18"/>
    </w:rPr>
  </w:style>
  <w:style w:type="paragraph" w:styleId="FootnoteText">
    <w:name w:val="footnote text"/>
    <w:basedOn w:val="Normal"/>
    <w:link w:val="FootnoteTextChar"/>
    <w:rsid w:val="00837B4C"/>
    <w:rPr>
      <w:sz w:val="20"/>
    </w:rPr>
  </w:style>
  <w:style w:type="character" w:customStyle="1" w:styleId="FootnoteTextChar">
    <w:name w:val="Footnote Text Char"/>
    <w:basedOn w:val="DefaultParagraphFont"/>
    <w:link w:val="FootnoteText"/>
    <w:rsid w:val="00837B4C"/>
  </w:style>
  <w:style w:type="character" w:styleId="FootnoteReference">
    <w:name w:val="footnote reference"/>
    <w:basedOn w:val="DefaultParagraphFont"/>
    <w:rsid w:val="00837B4C"/>
    <w:rPr>
      <w:vertAlign w:val="superscript"/>
    </w:rPr>
  </w:style>
  <w:style w:type="paragraph" w:customStyle="1" w:styleId="msonormal0">
    <w:name w:val="msonormal"/>
    <w:basedOn w:val="Normal"/>
    <w:rsid w:val="001A5111"/>
    <w:pPr>
      <w:widowControl/>
      <w:spacing w:before="100" w:beforeAutospacing="1" w:after="100" w:afterAutospacing="1"/>
    </w:pPr>
    <w:rPr>
      <w:szCs w:val="24"/>
    </w:rPr>
  </w:style>
  <w:style w:type="character" w:customStyle="1" w:styleId="FooterChar">
    <w:name w:val="Footer Char"/>
    <w:basedOn w:val="DefaultParagraphFont"/>
    <w:link w:val="Footer"/>
    <w:rsid w:val="001A5111"/>
    <w:rPr>
      <w:sz w:val="22"/>
    </w:rPr>
  </w:style>
  <w:style w:type="paragraph" w:styleId="Footer">
    <w:name w:val="footer"/>
    <w:link w:val="FooterChar"/>
    <w:unhideWhenUsed/>
    <w:rsid w:val="001A5111"/>
    <w:pPr>
      <w:tabs>
        <w:tab w:val="center" w:pos="4536"/>
        <w:tab w:val="right" w:pos="9072"/>
      </w:tabs>
      <w:spacing w:before="240" w:after="240" w:line="218" w:lineRule="auto"/>
    </w:pPr>
    <w:rPr>
      <w:sz w:val="22"/>
    </w:rPr>
  </w:style>
  <w:style w:type="character" w:customStyle="1" w:styleId="Normal12Char">
    <w:name w:val="Normal12 Char"/>
    <w:basedOn w:val="DefaultParagraphFont"/>
    <w:link w:val="Normal12"/>
    <w:locked/>
    <w:rsid w:val="001A5111"/>
    <w:rPr>
      <w:noProof/>
      <w:sz w:val="24"/>
    </w:rPr>
  </w:style>
  <w:style w:type="paragraph" w:customStyle="1" w:styleId="Normal12">
    <w:name w:val="Normal12"/>
    <w:basedOn w:val="Normal"/>
    <w:link w:val="Normal12Char"/>
    <w:rsid w:val="001A5111"/>
    <w:pPr>
      <w:spacing w:after="240"/>
    </w:pPr>
    <w:rPr>
      <w:noProof/>
    </w:rPr>
  </w:style>
  <w:style w:type="paragraph" w:customStyle="1" w:styleId="CommitteeAM">
    <w:name w:val="CommitteeAM"/>
    <w:basedOn w:val="Normal"/>
    <w:rsid w:val="001A5111"/>
    <w:pPr>
      <w:spacing w:before="240" w:after="600"/>
      <w:jc w:val="center"/>
    </w:pPr>
    <w:rPr>
      <w:i/>
    </w:rPr>
  </w:style>
  <w:style w:type="paragraph" w:customStyle="1" w:styleId="ZDateAM">
    <w:name w:val="ZDateAM"/>
    <w:basedOn w:val="Normal"/>
    <w:rsid w:val="001A5111"/>
    <w:pPr>
      <w:tabs>
        <w:tab w:val="right" w:pos="9356"/>
      </w:tabs>
      <w:spacing w:after="480"/>
    </w:pPr>
    <w:rPr>
      <w:noProof/>
    </w:rPr>
  </w:style>
  <w:style w:type="paragraph" w:customStyle="1" w:styleId="ProjRap">
    <w:name w:val="ProjRap"/>
    <w:basedOn w:val="Normal"/>
    <w:rsid w:val="001A5111"/>
    <w:pPr>
      <w:tabs>
        <w:tab w:val="right" w:pos="9356"/>
      </w:tabs>
    </w:pPr>
    <w:rPr>
      <w:b/>
      <w:noProof/>
    </w:rPr>
  </w:style>
  <w:style w:type="paragraph" w:customStyle="1" w:styleId="PELeft">
    <w:name w:val="PELeft"/>
    <w:basedOn w:val="Normal"/>
    <w:rsid w:val="001A5111"/>
    <w:pPr>
      <w:spacing w:before="40" w:after="40"/>
    </w:pPr>
    <w:rPr>
      <w:rFonts w:ascii="Arial" w:hAnsi="Arial" w:cs="Arial"/>
      <w:sz w:val="22"/>
      <w:szCs w:val="22"/>
    </w:rPr>
  </w:style>
  <w:style w:type="paragraph" w:customStyle="1" w:styleId="PERight">
    <w:name w:val="PERight"/>
    <w:basedOn w:val="Normal"/>
    <w:next w:val="Normal"/>
    <w:rsid w:val="001A5111"/>
    <w:pPr>
      <w:jc w:val="right"/>
    </w:pPr>
    <w:rPr>
      <w:rFonts w:ascii="Arial" w:hAnsi="Arial" w:cs="Arial"/>
      <w:sz w:val="22"/>
      <w:szCs w:val="22"/>
    </w:rPr>
  </w:style>
  <w:style w:type="character" w:customStyle="1" w:styleId="Normal6Char">
    <w:name w:val="Normal6 Char"/>
    <w:basedOn w:val="DefaultParagraphFont"/>
    <w:link w:val="Normal6"/>
    <w:locked/>
    <w:rsid w:val="001A5111"/>
    <w:rPr>
      <w:sz w:val="24"/>
      <w:lang w:val="pl-PL"/>
    </w:rPr>
  </w:style>
  <w:style w:type="paragraph" w:customStyle="1" w:styleId="Normal6">
    <w:name w:val="Normal6"/>
    <w:basedOn w:val="Normal"/>
    <w:link w:val="Normal6Char"/>
    <w:rsid w:val="001A5111"/>
    <w:pPr>
      <w:spacing w:after="120"/>
    </w:pPr>
  </w:style>
  <w:style w:type="paragraph" w:customStyle="1" w:styleId="Normal12Italic">
    <w:name w:val="Normal12Italic"/>
    <w:basedOn w:val="Normal12"/>
    <w:rsid w:val="001A5111"/>
    <w:rPr>
      <w:i/>
    </w:rPr>
  </w:style>
  <w:style w:type="paragraph" w:customStyle="1" w:styleId="JustificationTitle">
    <w:name w:val="JustificationTitle"/>
    <w:basedOn w:val="Normal"/>
    <w:next w:val="Normal12"/>
    <w:rsid w:val="001A5111"/>
    <w:pPr>
      <w:keepNext/>
      <w:spacing w:before="240" w:after="240"/>
      <w:jc w:val="center"/>
    </w:pPr>
    <w:rPr>
      <w:i/>
      <w:noProof/>
    </w:rPr>
  </w:style>
  <w:style w:type="paragraph" w:customStyle="1" w:styleId="Olang">
    <w:name w:val="Olang"/>
    <w:basedOn w:val="Normal"/>
    <w:rsid w:val="001A5111"/>
    <w:pPr>
      <w:spacing w:before="240" w:after="240"/>
      <w:jc w:val="right"/>
    </w:pPr>
    <w:rPr>
      <w:noProof/>
      <w:szCs w:val="24"/>
    </w:rPr>
  </w:style>
  <w:style w:type="paragraph" w:customStyle="1" w:styleId="ColumnHeading">
    <w:name w:val="ColumnHeading"/>
    <w:basedOn w:val="Normal"/>
    <w:rsid w:val="001A5111"/>
    <w:pPr>
      <w:spacing w:after="240"/>
      <w:jc w:val="center"/>
    </w:pPr>
    <w:rPr>
      <w:i/>
    </w:rPr>
  </w:style>
  <w:style w:type="paragraph" w:customStyle="1" w:styleId="AMNumberTabs0">
    <w:name w:val="AMNumberTabs"/>
    <w:basedOn w:val="Normal"/>
    <w:rsid w:val="001A51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A5111"/>
    <w:pPr>
      <w:spacing w:before="240"/>
      <w:jc w:val="center"/>
    </w:pPr>
    <w:rPr>
      <w:i/>
    </w:rPr>
  </w:style>
  <w:style w:type="paragraph" w:customStyle="1" w:styleId="Footer2">
    <w:name w:val="Footer2"/>
    <w:basedOn w:val="Normal12"/>
    <w:rsid w:val="001A5111"/>
    <w:pPr>
      <w:tabs>
        <w:tab w:val="center" w:pos="4535"/>
        <w:tab w:val="right" w:pos="9923"/>
      </w:tabs>
      <w:spacing w:line="480" w:lineRule="auto"/>
      <w:ind w:left="-851"/>
    </w:pPr>
    <w:rPr>
      <w:rFonts w:ascii="Arial" w:cs="Arial"/>
      <w:b/>
      <w:sz w:val="48"/>
    </w:rPr>
  </w:style>
  <w:style w:type="paragraph" w:customStyle="1" w:styleId="EntPE">
    <w:name w:val="EntPE"/>
    <w:basedOn w:val="Normal12"/>
    <w:rsid w:val="001A5111"/>
    <w:pPr>
      <w:jc w:val="center"/>
    </w:pPr>
    <w:rPr>
      <w:noProof w:val="0"/>
      <w:sz w:val="56"/>
    </w:rPr>
  </w:style>
  <w:style w:type="paragraph" w:styleId="BalloonText">
    <w:name w:val="Balloon Text"/>
    <w:basedOn w:val="Normal"/>
    <w:link w:val="BalloonTextChar"/>
    <w:semiHidden/>
    <w:unhideWhenUsed/>
    <w:rsid w:val="0032777A"/>
    <w:rPr>
      <w:rFonts w:ascii="Segoe UI" w:hAnsi="Segoe UI" w:cs="Segoe UI"/>
      <w:sz w:val="18"/>
      <w:szCs w:val="18"/>
    </w:rPr>
  </w:style>
  <w:style w:type="character" w:customStyle="1" w:styleId="BalloonTextChar">
    <w:name w:val="Balloon Text Char"/>
    <w:basedOn w:val="DefaultParagraphFont"/>
    <w:link w:val="BalloonText"/>
    <w:semiHidden/>
    <w:rsid w:val="0032777A"/>
    <w:rPr>
      <w:rFonts w:ascii="Segoe UI" w:hAnsi="Segoe UI" w:cs="Segoe UI"/>
      <w:sz w:val="18"/>
      <w:szCs w:val="18"/>
    </w:rPr>
  </w:style>
  <w:style w:type="paragraph" w:customStyle="1" w:styleId="Normal12Hanging">
    <w:name w:val="Normal12Hanging"/>
    <w:basedOn w:val="Normal"/>
    <w:rsid w:val="004D79E5"/>
    <w:pPr>
      <w:spacing w:after="240"/>
      <w:ind w:left="357" w:hanging="357"/>
    </w:pPr>
    <w:rPr>
      <w:snapToGrid w:val="0"/>
    </w:rPr>
  </w:style>
  <w:style w:type="character" w:styleId="CommentReference">
    <w:name w:val="annotation reference"/>
    <w:basedOn w:val="DefaultParagraphFont"/>
    <w:rsid w:val="00DE3A37"/>
    <w:rPr>
      <w:sz w:val="16"/>
      <w:szCs w:val="16"/>
    </w:rPr>
  </w:style>
  <w:style w:type="paragraph" w:styleId="CommentText">
    <w:name w:val="annotation text"/>
    <w:basedOn w:val="Normal"/>
    <w:link w:val="CommentTextChar"/>
    <w:rsid w:val="00DE3A37"/>
    <w:rPr>
      <w:sz w:val="20"/>
    </w:rPr>
  </w:style>
  <w:style w:type="character" w:customStyle="1" w:styleId="CommentTextChar">
    <w:name w:val="Comment Text Char"/>
    <w:basedOn w:val="DefaultParagraphFont"/>
    <w:link w:val="CommentText"/>
    <w:rsid w:val="00DE3A37"/>
  </w:style>
  <w:style w:type="paragraph" w:styleId="CommentSubject">
    <w:name w:val="annotation subject"/>
    <w:basedOn w:val="CommentText"/>
    <w:next w:val="CommentText"/>
    <w:link w:val="CommentSubjectChar"/>
    <w:semiHidden/>
    <w:unhideWhenUsed/>
    <w:rsid w:val="00DE3A37"/>
    <w:rPr>
      <w:b/>
      <w:bCs/>
    </w:rPr>
  </w:style>
  <w:style w:type="character" w:customStyle="1" w:styleId="CommentSubjectChar">
    <w:name w:val="Comment Subject Char"/>
    <w:basedOn w:val="CommentTextChar"/>
    <w:link w:val="CommentSubject"/>
    <w:semiHidden/>
    <w:rsid w:val="00DE3A37"/>
    <w:rPr>
      <w:b/>
      <w:bCs/>
    </w:rPr>
  </w:style>
  <w:style w:type="paragraph" w:styleId="Revision">
    <w:name w:val="Revision"/>
    <w:hidden/>
    <w:uiPriority w:val="99"/>
    <w:semiHidden/>
    <w:rsid w:val="00CE1B4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18DFD-C4FE-4908-B0B1-1AAAE38FC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9660</Words>
  <Characters>66851</Characters>
  <Application>Microsoft Office Word</Application>
  <DocSecurity>0</DocSecurity>
  <Lines>2387</Lines>
  <Paragraphs>579</Paragraphs>
  <ScaleCrop>false</ScaleCrop>
  <HeadingPairs>
    <vt:vector size="2" baseType="variant">
      <vt:variant>
        <vt:lpstr>Title</vt:lpstr>
      </vt:variant>
      <vt:variant>
        <vt:i4>1</vt:i4>
      </vt:variant>
    </vt:vector>
  </HeadingPairs>
  <TitlesOfParts>
    <vt:vector size="1" baseType="lpstr">
      <vt:lpstr>PR_COD_1recastingam</vt:lpstr>
    </vt:vector>
  </TitlesOfParts>
  <Company/>
  <LinksUpToDate>false</LinksUpToDate>
  <CharactersWithSpaces>75932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PR_COD_1recastingam</dc:title>
  <dc:creator>KOVACS-MALYI Krisztina</dc:creator>
  <cp:lastModifiedBy>WIERTLEWSKA Maria</cp:lastModifiedBy>
  <cp:revision>2</cp:revision>
  <cp:lastPrinted>2004-11-04T10:10:00Z</cp:lastPrinted>
  <dcterms:created xsi:type="dcterms:W3CDTF">2024-05-13T14:18:00Z</dcterms:created>
  <dcterms:modified xsi:type="dcterms:W3CDTF">2024-05-13T14:18:00Z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1301224</vt:lpwstr>
  </property>
  <property fmtid="{D5CDD505-2E9C-101B-9397-08002B2CF9AE}" pid="4" name="&lt;Model&gt;">
    <vt:lpwstr>PR_COD_1recastingam</vt:lpwstr>
  </property>
  <property fmtid="{D5CDD505-2E9C-101B-9397-08002B2CF9AE}" pid="5" name="&lt;ModelCod&gt;">
    <vt:lpwstr>\\eiciBRUpr1\pdocep$\DocEP\DOCS\General\PR\PR_Leg\COD\PR_COD_1recastingam.dotx(17/04/2020 19:27:10)</vt:lpwstr>
  </property>
  <property fmtid="{D5CDD505-2E9C-101B-9397-08002B2CF9AE}" pid="6" name="&lt;ModelTra&gt;">
    <vt:lpwstr>\\eiciBRUpr1\pdocep$\DocEP\TRANSFIL\EN\PR_COD_1recastingam.EN(29/06/2022 10:21:38)</vt:lpwstr>
  </property>
  <property fmtid="{D5CDD505-2E9C-101B-9397-08002B2CF9AE}" pid="7" name="&lt;Type&gt;">
    <vt:lpwstr>PR</vt:lpwstr>
  </property>
  <property fmtid="{D5CDD505-2E9C-101B-9397-08002B2CF9AE}" pid="8" name="Created with">
    <vt:lpwstr>9.17.2 Build [20240301]</vt:lpwstr>
  </property>
  <property fmtid="{D5CDD505-2E9C-101B-9397-08002B2CF9AE}" pid="9" name="FooterPath">
    <vt:lpwstr>PR\1301224PL.docx</vt:lpwstr>
  </property>
  <property fmtid="{D5CDD505-2E9C-101B-9397-08002B2CF9AE}" pid="10" name="LastEdited with">
    <vt:lpwstr>9.17.2 Build [20240301]</vt:lpwstr>
  </property>
  <property fmtid="{D5CDD505-2E9C-101B-9397-08002B2CF9AE}" pid="11" name="PE number">
    <vt:lpwstr>761.022</vt:lpwstr>
  </property>
  <property fmtid="{D5CDD505-2E9C-101B-9397-08002B2CF9AE}" pid="12" name="SDLStudio">
    <vt:lpwstr/>
  </property>
  <property fmtid="{D5CDD505-2E9C-101B-9397-08002B2CF9AE}" pid="13" name="SendToEpades">
    <vt:lpwstr>OK - 2024/04/17 14:29</vt:lpwstr>
  </property>
  <property fmtid="{D5CDD505-2E9C-101B-9397-08002B2CF9AE}" pid="14" name="Bookout">
    <vt:lpwstr>OK - 2024/05/13 16:17</vt:lpwstr>
  </property>
</Properties>
</file>