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56F22" w:rsidRPr="006F1A7E" w:rsidTr="00C85D0F">
        <w:trPr>
          <w:trHeight w:hRule="exact" w:val="1418"/>
        </w:trPr>
        <w:tc>
          <w:tcPr>
            <w:tcW w:w="6804" w:type="dxa"/>
            <w:shd w:val="clear" w:color="auto" w:fill="auto"/>
            <w:vAlign w:val="center"/>
          </w:tcPr>
          <w:p w:rsidR="00356F22" w:rsidRPr="006F1A7E" w:rsidRDefault="00F50CBE" w:rsidP="00C85D0F">
            <w:pPr>
              <w:pStyle w:val="EPName"/>
            </w:pPr>
            <w:r w:rsidRPr="006F1A7E">
              <w:t>Europa-Parlamentet</w:t>
            </w:r>
          </w:p>
          <w:p w:rsidR="00356F22" w:rsidRPr="006F1A7E" w:rsidRDefault="00F31848" w:rsidP="00F31848">
            <w:pPr>
              <w:pStyle w:val="EPTerm"/>
            </w:pPr>
            <w:r w:rsidRPr="006F1A7E">
              <w:t>2024-2029</w:t>
            </w:r>
          </w:p>
        </w:tc>
        <w:tc>
          <w:tcPr>
            <w:tcW w:w="2268" w:type="dxa"/>
            <w:shd w:val="clear" w:color="auto" w:fill="auto"/>
          </w:tcPr>
          <w:p w:rsidR="00356F22" w:rsidRPr="006F1A7E" w:rsidRDefault="00356F22" w:rsidP="00C85D0F">
            <w:pPr>
              <w:pStyle w:val="EPLogo"/>
            </w:pPr>
            <w:r w:rsidRPr="006F1A7E">
              <w:rPr>
                <w:noProof/>
                <w:lang w:eastAsia="da-DK"/>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71A3C" w:rsidRPr="006F1A7E" w:rsidRDefault="00C71A3C" w:rsidP="00C71A3C">
      <w:pPr>
        <w:pStyle w:val="LineTop"/>
      </w:pPr>
    </w:p>
    <w:p w:rsidR="00C71A3C" w:rsidRPr="006F1A7E" w:rsidRDefault="00C71A3C" w:rsidP="00C71A3C">
      <w:pPr>
        <w:pStyle w:val="EPBody"/>
      </w:pPr>
      <w:r w:rsidRPr="006F1A7E">
        <w:rPr>
          <w:rStyle w:val="HideTWBExt"/>
        </w:rPr>
        <w:t>&lt;</w:t>
      </w:r>
      <w:r w:rsidRPr="006F1A7E">
        <w:rPr>
          <w:rStyle w:val="HideTWBExt"/>
          <w:i w:val="0"/>
        </w:rPr>
        <w:t>Commission</w:t>
      </w:r>
      <w:r w:rsidRPr="006F1A7E">
        <w:rPr>
          <w:rStyle w:val="HideTWBExt"/>
        </w:rPr>
        <w:t>&gt;</w:t>
      </w:r>
      <w:r w:rsidRPr="006F1A7E">
        <w:rPr>
          <w:rStyle w:val="HideTWBInt"/>
        </w:rPr>
        <w:t>{LIBE}</w:t>
      </w:r>
      <w:r w:rsidRPr="006F1A7E">
        <w:t>Udvalget om Borgernes Rettigheder og Retlige og Indre Anliggender</w:t>
      </w:r>
      <w:r w:rsidRPr="006F1A7E">
        <w:rPr>
          <w:rStyle w:val="HideTWBExt"/>
        </w:rPr>
        <w:t>&lt;/</w:t>
      </w:r>
      <w:r w:rsidRPr="006F1A7E">
        <w:rPr>
          <w:rStyle w:val="HideTWBExt"/>
          <w:i w:val="0"/>
        </w:rPr>
        <w:t>Commission</w:t>
      </w:r>
      <w:r w:rsidRPr="006F1A7E">
        <w:rPr>
          <w:rStyle w:val="HideTWBExt"/>
        </w:rPr>
        <w:t>&gt;</w:t>
      </w:r>
    </w:p>
    <w:p w:rsidR="00C71A3C" w:rsidRPr="006F1A7E" w:rsidRDefault="00C71A3C" w:rsidP="00C71A3C">
      <w:pPr>
        <w:pStyle w:val="LineBottom"/>
      </w:pPr>
    </w:p>
    <w:p w:rsidR="00ED0821" w:rsidRPr="006F1A7E" w:rsidRDefault="00ED0821">
      <w:pPr>
        <w:pStyle w:val="CoverReference"/>
      </w:pPr>
      <w:r w:rsidRPr="006F1A7E">
        <w:rPr>
          <w:rStyle w:val="HideTWBExt"/>
          <w:b w:val="0"/>
        </w:rPr>
        <w:t>&lt;RefProc&gt;</w:t>
      </w:r>
      <w:r w:rsidRPr="006F1A7E">
        <w:t>2024/0187</w:t>
      </w:r>
      <w:r w:rsidRPr="006F1A7E">
        <w:rPr>
          <w:rStyle w:val="HideTWBExt"/>
          <w:b w:val="0"/>
        </w:rPr>
        <w:t>&lt;/RefProc&gt;&lt;RefTypeProc&gt;</w:t>
      </w:r>
      <w:r w:rsidRPr="006F1A7E">
        <w:t>(CNS)</w:t>
      </w:r>
      <w:r w:rsidRPr="006F1A7E">
        <w:rPr>
          <w:rStyle w:val="HideTWBExt"/>
          <w:b w:val="0"/>
        </w:rPr>
        <w:t>&lt;/RefTypeProc&gt;</w:t>
      </w:r>
    </w:p>
    <w:p w:rsidR="00ED0821" w:rsidRPr="006F1A7E" w:rsidRDefault="00ED0821">
      <w:pPr>
        <w:pStyle w:val="CoverDate"/>
      </w:pPr>
      <w:r w:rsidRPr="006F1A7E">
        <w:rPr>
          <w:rStyle w:val="HideTWBExt"/>
        </w:rPr>
        <w:t>&lt;Date&gt;</w:t>
      </w:r>
      <w:r w:rsidRPr="006F1A7E">
        <w:rPr>
          <w:rStyle w:val="HideTWBInt"/>
        </w:rPr>
        <w:t>{19/11/2024}</w:t>
      </w:r>
      <w:r w:rsidRPr="006F1A7E">
        <w:t>19.11.2024</w:t>
      </w:r>
      <w:r w:rsidRPr="006F1A7E">
        <w:rPr>
          <w:rStyle w:val="HideTWBExt"/>
        </w:rPr>
        <w:t>&lt;/Date&gt;</w:t>
      </w:r>
    </w:p>
    <w:p w:rsidR="00ED0821" w:rsidRPr="006F1A7E" w:rsidRDefault="00ED0821">
      <w:pPr>
        <w:pStyle w:val="CoverDocType"/>
      </w:pPr>
      <w:r w:rsidRPr="006F1A7E">
        <w:rPr>
          <w:rStyle w:val="HideTWBExt"/>
          <w:b w:val="0"/>
        </w:rPr>
        <w:t>&lt;RefProcLect&gt;</w:t>
      </w:r>
      <w:r w:rsidRPr="006F1A7E">
        <w:t>*</w:t>
      </w:r>
      <w:r w:rsidRPr="006F1A7E">
        <w:rPr>
          <w:rStyle w:val="HideTWBExt"/>
          <w:b w:val="0"/>
        </w:rPr>
        <w:t>&lt;/RefProcLect&gt;</w:t>
      </w:r>
    </w:p>
    <w:p w:rsidR="00ED0821" w:rsidRPr="006F1A7E" w:rsidRDefault="00ED0821">
      <w:pPr>
        <w:pStyle w:val="CoverDocType24a"/>
      </w:pPr>
      <w:r w:rsidRPr="006F1A7E">
        <w:rPr>
          <w:rStyle w:val="HideTWBExt"/>
          <w:b w:val="0"/>
        </w:rPr>
        <w:t>&lt;TitreType&gt;</w:t>
      </w:r>
      <w:r w:rsidRPr="006F1A7E">
        <w:t>UDKAST TIL BETÆNKNING</w:t>
      </w:r>
      <w:r w:rsidRPr="006F1A7E">
        <w:rPr>
          <w:rStyle w:val="HideTWBExt"/>
          <w:b w:val="0"/>
        </w:rPr>
        <w:t>&lt;/TitreType&gt;</w:t>
      </w:r>
    </w:p>
    <w:p w:rsidR="00ED0821" w:rsidRPr="006F1A7E" w:rsidRDefault="00ED0821">
      <w:pPr>
        <w:pStyle w:val="CoverNormal"/>
      </w:pPr>
      <w:r w:rsidRPr="006F1A7E">
        <w:rPr>
          <w:rStyle w:val="HideTWBExt"/>
        </w:rPr>
        <w:t>&lt;Titre&gt;</w:t>
      </w:r>
      <w:r w:rsidRPr="006F1A7E">
        <w:t>om forslag til Rådets forordning om styrkelse af sikkerheden af unionsborgeres identitetskort og af opholdsdokumenter, der udstedes til unionsborgere og deres familiemedlemmer, som udøver deres ret til fri bevægelighed</w:t>
      </w:r>
      <w:r w:rsidRPr="006F1A7E">
        <w:rPr>
          <w:rStyle w:val="HideTWBExt"/>
        </w:rPr>
        <w:t>&lt;/Titre&gt;</w:t>
      </w:r>
    </w:p>
    <w:p w:rsidR="00ED0821" w:rsidRPr="006F1A7E" w:rsidRDefault="00ED0821">
      <w:pPr>
        <w:pStyle w:val="CoverNormal24a"/>
      </w:pPr>
      <w:r w:rsidRPr="006F1A7E">
        <w:rPr>
          <w:rStyle w:val="HideTWBExt"/>
        </w:rPr>
        <w:t>&lt;DocRef&gt;</w:t>
      </w:r>
      <w:r w:rsidRPr="006F1A7E">
        <w:t>(COM(2024)0316 – C10</w:t>
      </w:r>
      <w:r w:rsidRPr="006F1A7E">
        <w:noBreakHyphen/>
        <w:t>0112/2024 – 2024/0187(CNS))</w:t>
      </w:r>
      <w:r w:rsidRPr="006F1A7E">
        <w:rPr>
          <w:rStyle w:val="HideTWBExt"/>
        </w:rPr>
        <w:t>&lt;/DocRef&gt;</w:t>
      </w:r>
    </w:p>
    <w:p w:rsidR="00ED0821" w:rsidRPr="006F1A7E" w:rsidRDefault="00ED0821">
      <w:pPr>
        <w:pStyle w:val="CoverNormal24a"/>
      </w:pPr>
      <w:r w:rsidRPr="006F1A7E">
        <w:rPr>
          <w:rStyle w:val="HideTWBExt"/>
        </w:rPr>
        <w:t>&lt;Commission&gt;</w:t>
      </w:r>
      <w:r w:rsidRPr="006F1A7E">
        <w:rPr>
          <w:rStyle w:val="HideTWBInt"/>
        </w:rPr>
        <w:t>{LIBE}</w:t>
      </w:r>
      <w:r w:rsidRPr="006F1A7E">
        <w:t>Udvalget om Borgernes Rettigheder og Retlige og Indre Anliggender</w:t>
      </w:r>
      <w:r w:rsidRPr="006F1A7E">
        <w:rPr>
          <w:rStyle w:val="HideTWBExt"/>
        </w:rPr>
        <w:t>&lt;/Commission&gt;</w:t>
      </w:r>
    </w:p>
    <w:p w:rsidR="00ED0821" w:rsidRPr="006F1A7E" w:rsidRDefault="00F50CBE">
      <w:pPr>
        <w:pStyle w:val="CoverNormal24a"/>
      </w:pPr>
      <w:r w:rsidRPr="006F1A7E">
        <w:t xml:space="preserve">Ordfører: </w:t>
      </w:r>
      <w:r w:rsidRPr="006F1A7E">
        <w:rPr>
          <w:rStyle w:val="HideTWBExt"/>
        </w:rPr>
        <w:t>&lt;Depute&gt;</w:t>
      </w:r>
      <w:r w:rsidRPr="006F1A7E">
        <w:t>Malik Azmani</w:t>
      </w:r>
      <w:r w:rsidRPr="006F1A7E">
        <w:rPr>
          <w:rStyle w:val="HideTWBExt"/>
        </w:rPr>
        <w:t>&lt;/Depute&gt;</w:t>
      </w:r>
    </w:p>
    <w:p w:rsidR="00BE4EC7" w:rsidRPr="006F1A7E" w:rsidRDefault="00BE4EC7" w:rsidP="00BE4EC7">
      <w:pPr>
        <w:pStyle w:val="CoverNormal"/>
      </w:pPr>
    </w:p>
    <w:p w:rsidR="00F31848" w:rsidRPr="006F1A7E" w:rsidRDefault="00ED0821" w:rsidP="00894923">
      <w:r w:rsidRPr="006F1A7E">
        <w:br w:type="page"/>
      </w:r>
      <w:fldSimple w:instr=" TITLE  \* MERGEFORMAT ">
        <w:r w:rsidR="00E43A3E">
          <w:t>PR_CNS_LegAct_app</w:t>
        </w:r>
      </w:fldSimple>
    </w:p>
    <w:p w:rsidR="00F31848" w:rsidRPr="006F1A7E" w:rsidRDefault="00F31848" w:rsidP="00894923"/>
    <w:p w:rsidR="00F31848" w:rsidRPr="006F1A7E" w:rsidRDefault="00F31848"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31848" w:rsidRPr="006F1A7E">
        <w:tc>
          <w:tcPr>
            <w:tcW w:w="5811" w:type="dxa"/>
          </w:tcPr>
          <w:p w:rsidR="00F31848" w:rsidRPr="006F1A7E" w:rsidRDefault="00F31848" w:rsidP="00894923">
            <w:pPr>
              <w:pStyle w:val="Lgendetitre"/>
            </w:pPr>
            <w:r w:rsidRPr="006F1A7E">
              <w:t>Tegnforklaring</w:t>
            </w:r>
          </w:p>
        </w:tc>
      </w:tr>
      <w:tr w:rsidR="00F31848" w:rsidRPr="006F1A7E" w:rsidTr="007452CB">
        <w:trPr>
          <w:cantSplit/>
          <w:trHeight w:val="1807"/>
        </w:trPr>
        <w:tc>
          <w:tcPr>
            <w:tcW w:w="5811" w:type="dxa"/>
            <w:tcBorders>
              <w:bottom w:val="single" w:sz="4" w:space="0" w:color="auto"/>
            </w:tcBorders>
          </w:tcPr>
          <w:p w:rsidR="00F31848" w:rsidRPr="006F1A7E" w:rsidRDefault="00F31848" w:rsidP="003506ED">
            <w:pPr>
              <w:pStyle w:val="Lgendesigne"/>
            </w:pPr>
            <w:r w:rsidRPr="006F1A7E">
              <w:tab/>
              <w:t>*</w:t>
            </w:r>
            <w:r w:rsidRPr="006F1A7E">
              <w:tab/>
              <w:t>Høringsprocedure</w:t>
            </w:r>
          </w:p>
          <w:p w:rsidR="00F31848" w:rsidRPr="006F1A7E" w:rsidRDefault="00F31848" w:rsidP="003506ED">
            <w:pPr>
              <w:pStyle w:val="Lgendesigne"/>
            </w:pPr>
            <w:r w:rsidRPr="006F1A7E">
              <w:tab/>
              <w:t>***</w:t>
            </w:r>
            <w:r w:rsidRPr="006F1A7E">
              <w:tab/>
              <w:t>Godkendelsesprocedure</w:t>
            </w:r>
          </w:p>
          <w:p w:rsidR="00F31848" w:rsidRPr="006F1A7E" w:rsidRDefault="00F31848" w:rsidP="003506ED">
            <w:pPr>
              <w:pStyle w:val="Lgendesigne"/>
            </w:pPr>
            <w:r w:rsidRPr="006F1A7E">
              <w:tab/>
              <w:t>***I</w:t>
            </w:r>
            <w:r w:rsidRPr="006F1A7E">
              <w:tab/>
              <w:t>Almindelig lovgivningsprocedure (førstebehandling)</w:t>
            </w:r>
          </w:p>
          <w:p w:rsidR="00F31848" w:rsidRPr="006F1A7E" w:rsidRDefault="00F31848" w:rsidP="003506ED">
            <w:pPr>
              <w:pStyle w:val="Lgendesigne"/>
            </w:pPr>
            <w:r w:rsidRPr="006F1A7E">
              <w:tab/>
              <w:t>***II</w:t>
            </w:r>
            <w:r w:rsidRPr="006F1A7E">
              <w:tab/>
              <w:t>Almindelig lovgivningsprocedure (andenbehandling)</w:t>
            </w:r>
          </w:p>
          <w:p w:rsidR="00F31848" w:rsidRPr="006F1A7E" w:rsidRDefault="00F31848" w:rsidP="003506ED">
            <w:pPr>
              <w:pStyle w:val="Lgendesigne"/>
            </w:pPr>
            <w:r w:rsidRPr="006F1A7E">
              <w:tab/>
              <w:t>***III</w:t>
            </w:r>
            <w:r w:rsidRPr="006F1A7E">
              <w:tab/>
              <w:t>Almindelig lovgivningsprocedure (tredjebehandling)</w:t>
            </w:r>
          </w:p>
          <w:p w:rsidR="00F31848" w:rsidRPr="006F1A7E" w:rsidRDefault="00F31848" w:rsidP="003506ED">
            <w:pPr>
              <w:pStyle w:val="Lgendestandard"/>
            </w:pPr>
          </w:p>
          <w:p w:rsidR="00F31848" w:rsidRPr="006F1A7E" w:rsidRDefault="00F31848" w:rsidP="003506ED">
            <w:pPr>
              <w:pStyle w:val="Lgendestandard"/>
            </w:pPr>
            <w:r w:rsidRPr="006F1A7E">
              <w:t>(Proceduren afhænger af, hvilket retsgrundlag der er valgt i udkastet til retsakt)</w:t>
            </w:r>
          </w:p>
          <w:p w:rsidR="00F31848" w:rsidRPr="006F1A7E" w:rsidRDefault="00F31848" w:rsidP="00B54EAF">
            <w:pPr>
              <w:pStyle w:val="Lgendestandard"/>
            </w:pPr>
          </w:p>
        </w:tc>
      </w:tr>
    </w:tbl>
    <w:p w:rsidR="00F31848" w:rsidRPr="006F1A7E" w:rsidRDefault="00F31848" w:rsidP="00894923"/>
    <w:p w:rsidR="00F31848" w:rsidRPr="006F1A7E" w:rsidRDefault="00F31848" w:rsidP="00894923"/>
    <w:p w:rsidR="00F31848" w:rsidRPr="006F1A7E" w:rsidRDefault="00F31848" w:rsidP="00894923"/>
    <w:p w:rsidR="00F31848" w:rsidRPr="006F1A7E" w:rsidRDefault="00F31848"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F31848" w:rsidRPr="006F1A7E">
        <w:tc>
          <w:tcPr>
            <w:tcW w:w="5811" w:type="dxa"/>
          </w:tcPr>
          <w:p w:rsidR="00F31848" w:rsidRPr="006F1A7E" w:rsidRDefault="00F31848" w:rsidP="00894923">
            <w:pPr>
              <w:pStyle w:val="Lgendetitre"/>
            </w:pPr>
            <w:r w:rsidRPr="006F1A7E">
              <w:t>Ændringsforslag til et udkast til retsakt</w:t>
            </w:r>
          </w:p>
        </w:tc>
      </w:tr>
      <w:tr w:rsidR="00F31848" w:rsidRPr="006F1A7E" w:rsidTr="00554250">
        <w:trPr>
          <w:trHeight w:val="4496"/>
        </w:trPr>
        <w:tc>
          <w:tcPr>
            <w:tcW w:w="5811" w:type="dxa"/>
          </w:tcPr>
          <w:p w:rsidR="00F31848" w:rsidRPr="006F1A7E" w:rsidRDefault="00F31848" w:rsidP="003506ED">
            <w:pPr>
              <w:pStyle w:val="Lgendestandard"/>
              <w:rPr>
                <w:szCs w:val="24"/>
              </w:rPr>
            </w:pPr>
            <w:r w:rsidRPr="006F1A7E">
              <w:rPr>
                <w:b/>
              </w:rPr>
              <w:t>Ændringsforslag fra Parlamentet opstillet i to kolonner</w:t>
            </w:r>
          </w:p>
          <w:p w:rsidR="00F31848" w:rsidRPr="006F1A7E" w:rsidRDefault="00F31848" w:rsidP="003506ED">
            <w:pPr>
              <w:pStyle w:val="Lgendestandard"/>
              <w:rPr>
                <w:szCs w:val="24"/>
              </w:rPr>
            </w:pPr>
          </w:p>
          <w:p w:rsidR="00F31848" w:rsidRPr="006F1A7E" w:rsidRDefault="00F31848" w:rsidP="003506ED">
            <w:pPr>
              <w:pStyle w:val="Lgendestandard"/>
              <w:rPr>
                <w:szCs w:val="24"/>
              </w:rPr>
            </w:pPr>
            <w:r w:rsidRPr="006F1A7E">
              <w:t xml:space="preserve">Tekst, der udgår, er markeret med </w:t>
            </w:r>
            <w:r w:rsidRPr="006F1A7E">
              <w:rPr>
                <w:b/>
                <w:i/>
              </w:rPr>
              <w:t>fede typer og kursiv</w:t>
            </w:r>
            <w:r w:rsidRPr="006F1A7E">
              <w:t xml:space="preserve"> i venstre kolonne. Tekst, der udskiftes, er markeret med </w:t>
            </w:r>
            <w:r w:rsidRPr="006F1A7E">
              <w:rPr>
                <w:b/>
                <w:i/>
              </w:rPr>
              <w:t>fede typer og kursiv</w:t>
            </w:r>
            <w:r w:rsidRPr="006F1A7E">
              <w:t xml:space="preserve"> i begge kolonner. Ny tekst er markeret med </w:t>
            </w:r>
            <w:r w:rsidRPr="006F1A7E">
              <w:rPr>
                <w:b/>
                <w:i/>
              </w:rPr>
              <w:t>fede typer og kursiv</w:t>
            </w:r>
            <w:r w:rsidRPr="006F1A7E">
              <w:t xml:space="preserve"> i højre kolonne.</w:t>
            </w:r>
          </w:p>
          <w:p w:rsidR="00F31848" w:rsidRPr="006F1A7E" w:rsidRDefault="00F31848" w:rsidP="003506ED">
            <w:pPr>
              <w:pStyle w:val="Lgendestandard"/>
              <w:rPr>
                <w:szCs w:val="24"/>
              </w:rPr>
            </w:pPr>
          </w:p>
          <w:p w:rsidR="00F31848" w:rsidRPr="006F1A7E" w:rsidRDefault="00F31848" w:rsidP="003506ED">
            <w:pPr>
              <w:pStyle w:val="Lgendestandard"/>
              <w:rPr>
                <w:szCs w:val="24"/>
              </w:rPr>
            </w:pPr>
            <w:r w:rsidRPr="006F1A7E">
              <w:t>Den første og den anden linje i informationsblokken til hvert ændringsforslag angiver den relevante passage i det pågældende udkast til retsakt. Hvis et ændringsforslag vedrører en eksisterende retsakt, som udkastet til retsakt har til formål at ændre, indeholder informationsblokken tillige en tredje og en fjerde linje, hvori det er anført, hvilken eksisterende retsakt og hvilken bestemmelse heri der er berørt.</w:t>
            </w:r>
          </w:p>
          <w:p w:rsidR="00F31848" w:rsidRPr="006F1A7E" w:rsidRDefault="00F31848" w:rsidP="003506ED">
            <w:pPr>
              <w:pStyle w:val="Lgendestandard"/>
              <w:rPr>
                <w:szCs w:val="24"/>
              </w:rPr>
            </w:pPr>
          </w:p>
          <w:p w:rsidR="00F31848" w:rsidRPr="006F1A7E" w:rsidRDefault="00F31848" w:rsidP="003506ED">
            <w:pPr>
              <w:pStyle w:val="Lgendestandard"/>
              <w:rPr>
                <w:b/>
                <w:szCs w:val="24"/>
              </w:rPr>
            </w:pPr>
            <w:r w:rsidRPr="006F1A7E">
              <w:rPr>
                <w:b/>
              </w:rPr>
              <w:t>Ændringsforslag fra Parlamentet i form af en konsolideret tekst</w:t>
            </w:r>
          </w:p>
          <w:p w:rsidR="00F31848" w:rsidRPr="006F1A7E" w:rsidRDefault="00F31848" w:rsidP="003506ED">
            <w:pPr>
              <w:pStyle w:val="Lgendestandard"/>
              <w:rPr>
                <w:szCs w:val="24"/>
              </w:rPr>
            </w:pPr>
          </w:p>
          <w:p w:rsidR="00F31848" w:rsidRPr="006F1A7E" w:rsidRDefault="00F31848" w:rsidP="003506ED">
            <w:pPr>
              <w:pStyle w:val="Lgendestandard"/>
              <w:rPr>
                <w:szCs w:val="24"/>
              </w:rPr>
            </w:pPr>
            <w:r w:rsidRPr="006F1A7E">
              <w:t xml:space="preserve">Ny tekst er markeret med </w:t>
            </w:r>
            <w:r w:rsidRPr="006F1A7E">
              <w:rPr>
                <w:b/>
                <w:i/>
              </w:rPr>
              <w:t>fede typer og kursiv</w:t>
            </w:r>
            <w:r w:rsidRPr="006F1A7E">
              <w:t xml:space="preserve">. Tekst, der udgår, er markeret med symbolet ▌eller med overstregning. Ved udskiftninger markeres den nye tekst med </w:t>
            </w:r>
            <w:r w:rsidRPr="006F1A7E">
              <w:rPr>
                <w:b/>
                <w:i/>
              </w:rPr>
              <w:t>fede typer og kursiv</w:t>
            </w:r>
            <w:r w:rsidRPr="006F1A7E">
              <w:t xml:space="preserve">, og den udskiftede tekst slettes eller overstreges. </w:t>
            </w:r>
          </w:p>
          <w:p w:rsidR="00F31848" w:rsidRPr="006F1A7E" w:rsidRDefault="00F31848" w:rsidP="003506ED">
            <w:pPr>
              <w:pStyle w:val="Lgendestandard"/>
            </w:pPr>
            <w:r w:rsidRPr="006F1A7E">
              <w:t>Som en undtagelse bliver rent tekniske justeringer, der er foretaget af de berørte tjenestegrene med henblik på udarbejdelsen af den endelige tekst, ikke markeret.</w:t>
            </w:r>
          </w:p>
          <w:p w:rsidR="00F31848" w:rsidRPr="006F1A7E" w:rsidRDefault="00F31848" w:rsidP="0069092A">
            <w:pPr>
              <w:pStyle w:val="Lgendestandard"/>
            </w:pPr>
          </w:p>
        </w:tc>
      </w:tr>
    </w:tbl>
    <w:p w:rsidR="00F31848" w:rsidRPr="006F1A7E" w:rsidRDefault="00F31848" w:rsidP="00894923"/>
    <w:p w:rsidR="00ED0821" w:rsidRPr="006F1A7E" w:rsidRDefault="00ED0821" w:rsidP="004C4A0B">
      <w:pPr>
        <w:widowControl/>
        <w:tabs>
          <w:tab w:val="center" w:pos="4677"/>
        </w:tabs>
      </w:pPr>
    </w:p>
    <w:p w:rsidR="00ED0821" w:rsidRPr="006F1A7E" w:rsidRDefault="00ED0821">
      <w:pPr>
        <w:pStyle w:val="TOCHeading"/>
      </w:pPr>
      <w:r w:rsidRPr="006F1A7E">
        <w:br w:type="page"/>
      </w:r>
      <w:r w:rsidRPr="006F1A7E">
        <w:lastRenderedPageBreak/>
        <w:t>INDHOLD</w:t>
      </w:r>
    </w:p>
    <w:p w:rsidR="00ED0821" w:rsidRPr="006F1A7E" w:rsidRDefault="00F50CBE">
      <w:pPr>
        <w:pStyle w:val="TOCPage"/>
      </w:pPr>
      <w:r w:rsidRPr="006F1A7E">
        <w:t>Side</w:t>
      </w:r>
    </w:p>
    <w:p w:rsidR="00E43A3E" w:rsidRDefault="004C4A0B">
      <w:pPr>
        <w:pStyle w:val="TOC1"/>
        <w:tabs>
          <w:tab w:val="right" w:leader="dot" w:pos="9060"/>
        </w:tabs>
        <w:rPr>
          <w:rFonts w:asciiTheme="minorHAnsi" w:eastAsiaTheme="minorEastAsia" w:hAnsiTheme="minorHAnsi" w:cstheme="minorBidi"/>
          <w:noProof/>
          <w:sz w:val="22"/>
          <w:szCs w:val="22"/>
          <w:lang w:eastAsia="da-DK"/>
        </w:rPr>
      </w:pPr>
      <w:r w:rsidRPr="006F1A7E">
        <w:rPr>
          <w:b/>
        </w:rPr>
        <w:fldChar w:fldCharType="begin"/>
      </w:r>
      <w:r w:rsidRPr="006F1A7E">
        <w:rPr>
          <w:b/>
        </w:rPr>
        <w:instrText xml:space="preserve"> TOC \t "PageHeading</w:instrText>
      </w:r>
      <w:r w:rsidR="00025BF3" w:rsidRPr="006F1A7E">
        <w:rPr>
          <w:b/>
        </w:rPr>
        <w:instrText>;</w:instrText>
      </w:r>
      <w:r w:rsidRPr="006F1A7E">
        <w:rPr>
          <w:b/>
        </w:rPr>
        <w:instrText xml:space="preserve">1" </w:instrText>
      </w:r>
      <w:r w:rsidRPr="006F1A7E">
        <w:rPr>
          <w:b/>
        </w:rPr>
        <w:fldChar w:fldCharType="separate"/>
      </w:r>
      <w:r w:rsidR="00E43A3E">
        <w:rPr>
          <w:noProof/>
        </w:rPr>
        <w:t>FORSLAG TIL EUROPA-PARLAMENTETS LOVGIVNINGSMÆSSIGE BESLUTNING</w:t>
      </w:r>
      <w:r w:rsidR="00E43A3E">
        <w:rPr>
          <w:noProof/>
        </w:rPr>
        <w:tab/>
      </w:r>
      <w:r w:rsidR="00E43A3E">
        <w:rPr>
          <w:noProof/>
        </w:rPr>
        <w:fldChar w:fldCharType="begin"/>
      </w:r>
      <w:r w:rsidR="00E43A3E">
        <w:rPr>
          <w:noProof/>
        </w:rPr>
        <w:instrText xml:space="preserve"> PAGEREF _Toc183766137 \h </w:instrText>
      </w:r>
      <w:r w:rsidR="00E43A3E">
        <w:rPr>
          <w:noProof/>
        </w:rPr>
      </w:r>
      <w:r w:rsidR="00E43A3E">
        <w:rPr>
          <w:noProof/>
        </w:rPr>
        <w:fldChar w:fldCharType="separate"/>
      </w:r>
      <w:r w:rsidR="00E43A3E">
        <w:rPr>
          <w:noProof/>
        </w:rPr>
        <w:t>5</w:t>
      </w:r>
      <w:r w:rsidR="00E43A3E">
        <w:rPr>
          <w:noProof/>
        </w:rPr>
        <w:fldChar w:fldCharType="end"/>
      </w:r>
    </w:p>
    <w:p w:rsidR="00E43A3E" w:rsidRDefault="00E43A3E">
      <w:pPr>
        <w:pStyle w:val="TOC1"/>
        <w:tabs>
          <w:tab w:val="right" w:leader="dot" w:pos="9060"/>
        </w:tabs>
        <w:rPr>
          <w:rFonts w:asciiTheme="minorHAnsi" w:eastAsiaTheme="minorEastAsia" w:hAnsiTheme="minorHAnsi" w:cstheme="minorBidi"/>
          <w:noProof/>
          <w:sz w:val="22"/>
          <w:szCs w:val="22"/>
          <w:lang w:eastAsia="da-DK"/>
        </w:rPr>
      </w:pPr>
      <w:r>
        <w:rPr>
          <w:noProof/>
        </w:rPr>
        <w:t>BEGRUNDELSE</w:t>
      </w:r>
      <w:r>
        <w:rPr>
          <w:noProof/>
        </w:rPr>
        <w:tab/>
      </w:r>
      <w:r>
        <w:rPr>
          <w:noProof/>
        </w:rPr>
        <w:fldChar w:fldCharType="begin"/>
      </w:r>
      <w:r>
        <w:rPr>
          <w:noProof/>
        </w:rPr>
        <w:instrText xml:space="preserve"> PAGEREF _Toc183766138 \h </w:instrText>
      </w:r>
      <w:r>
        <w:rPr>
          <w:noProof/>
        </w:rPr>
      </w:r>
      <w:r>
        <w:rPr>
          <w:noProof/>
        </w:rPr>
        <w:fldChar w:fldCharType="separate"/>
      </w:r>
      <w:r>
        <w:rPr>
          <w:noProof/>
        </w:rPr>
        <w:t>6</w:t>
      </w:r>
      <w:r>
        <w:rPr>
          <w:noProof/>
        </w:rPr>
        <w:fldChar w:fldCharType="end"/>
      </w:r>
    </w:p>
    <w:p w:rsidR="001A06D8" w:rsidRPr="006F1A7E" w:rsidRDefault="004C4A0B" w:rsidP="007B68B8">
      <w:r w:rsidRPr="006F1A7E">
        <w:rPr>
          <w:b/>
        </w:rPr>
        <w:fldChar w:fldCharType="end"/>
      </w:r>
    </w:p>
    <w:p w:rsidR="00ED0821" w:rsidRPr="006F1A7E" w:rsidRDefault="00ED0821">
      <w:pPr>
        <w:pStyle w:val="PageHeading"/>
      </w:pPr>
      <w:r w:rsidRPr="006F1A7E">
        <w:br w:type="page"/>
      </w:r>
      <w:r w:rsidRPr="006F1A7E">
        <w:lastRenderedPageBreak/>
        <w:br w:type="page"/>
      </w:r>
      <w:bookmarkStart w:id="0" w:name="_Toc183766137"/>
      <w:r w:rsidRPr="006F1A7E">
        <w:lastRenderedPageBreak/>
        <w:t>FORSLAG TIL EUROPA-PARLAMENTETS LOVGIVNINGSMÆSSIGE BESLUTNING</w:t>
      </w:r>
      <w:bookmarkEnd w:id="0"/>
    </w:p>
    <w:p w:rsidR="00ED0821" w:rsidRPr="006F1A7E" w:rsidRDefault="00F50CBE">
      <w:pPr>
        <w:pStyle w:val="NormalBold"/>
      </w:pPr>
      <w:r w:rsidRPr="006F1A7E">
        <w:t>om forslag til Rådets forordning om styrkelse af sikkerheden af unionsborgeres identitetskort og af opholdsdokumenter, der udstedes til unionsborgere og deres familiemedlemmer, som udøver deres ret til fri bevægelighed</w:t>
      </w:r>
    </w:p>
    <w:p w:rsidR="00ED0821" w:rsidRPr="006F1A7E" w:rsidRDefault="00F50CBE">
      <w:pPr>
        <w:pStyle w:val="NormalBold12a"/>
      </w:pPr>
      <w:r w:rsidRPr="006F1A7E">
        <w:t>(COM(2024)0316 – C10</w:t>
      </w:r>
      <w:r w:rsidRPr="006F1A7E">
        <w:noBreakHyphen/>
        <w:t>0112/2024 – 2024/0187(CNS))</w:t>
      </w:r>
    </w:p>
    <w:p w:rsidR="00ED0821" w:rsidRPr="006F1A7E" w:rsidRDefault="00F50CBE" w:rsidP="007B68B8">
      <w:pPr>
        <w:pStyle w:val="NormalBold"/>
      </w:pPr>
      <w:r w:rsidRPr="006F1A7E">
        <w:t>(Særlig lovgivningsprocedure – høring)</w:t>
      </w:r>
    </w:p>
    <w:p w:rsidR="00ED0821" w:rsidRPr="006F1A7E" w:rsidRDefault="00F50CBE">
      <w:pPr>
        <w:pStyle w:val="EPComma"/>
      </w:pPr>
      <w:r w:rsidRPr="006F1A7E">
        <w:rPr>
          <w:i/>
        </w:rPr>
        <w:t>Europa-Parlamentet</w:t>
      </w:r>
      <w:r w:rsidRPr="006F1A7E">
        <w:t>,</w:t>
      </w:r>
    </w:p>
    <w:p w:rsidR="00ED0821" w:rsidRPr="006F1A7E" w:rsidRDefault="00ED0821">
      <w:pPr>
        <w:pStyle w:val="NormalHanging12a"/>
      </w:pPr>
      <w:r w:rsidRPr="006F1A7E">
        <w:t>–</w:t>
      </w:r>
      <w:r w:rsidRPr="006F1A7E">
        <w:tab/>
        <w:t>der henviser til Kommissionens forslag til Rådet (COM(2024)0316),</w:t>
      </w:r>
    </w:p>
    <w:p w:rsidR="00ED0821" w:rsidRPr="006F1A7E" w:rsidRDefault="00ED0821">
      <w:pPr>
        <w:pStyle w:val="NormalHanging12a"/>
      </w:pPr>
      <w:r w:rsidRPr="006F1A7E">
        <w:t>–</w:t>
      </w:r>
      <w:r w:rsidRPr="006F1A7E">
        <w:tab/>
        <w:t>der henviser til artikel 77, stk. 3, i traktaten om Den Europæiske Unions funktionsmåde, der danner grundlag for Rådets høring af Parlamentet (C10</w:t>
      </w:r>
      <w:r w:rsidRPr="006F1A7E">
        <w:noBreakHyphen/>
        <w:t>0112/2024),</w:t>
      </w:r>
    </w:p>
    <w:p w:rsidR="00ED0821" w:rsidRPr="006F1A7E" w:rsidRDefault="00ED0821">
      <w:pPr>
        <w:pStyle w:val="NormalHanging12a"/>
      </w:pPr>
      <w:r w:rsidRPr="006F1A7E">
        <w:t>–</w:t>
      </w:r>
      <w:r w:rsidRPr="006F1A7E">
        <w:tab/>
        <w:t>der henviser til forretningsordenens artikel 84,</w:t>
      </w:r>
    </w:p>
    <w:p w:rsidR="00E822D6" w:rsidRPr="006F1A7E" w:rsidRDefault="00E822D6" w:rsidP="00E822D6">
      <w:pPr>
        <w:pStyle w:val="NormalHanging12a"/>
      </w:pPr>
      <w:r w:rsidRPr="006F1A7E">
        <w:t>–</w:t>
      </w:r>
      <w:r w:rsidRPr="006F1A7E">
        <w:tab/>
        <w:t>der henviser til betænkning fra Udvalget om Borgernes Rettigheder og Retlige og Indre Anliggender (A10</w:t>
      </w:r>
      <w:r w:rsidRPr="006F1A7E">
        <w:noBreakHyphen/>
        <w:t>0000/2024),</w:t>
      </w:r>
    </w:p>
    <w:p w:rsidR="00ED0821" w:rsidRPr="006F1A7E" w:rsidRDefault="00ED0821">
      <w:pPr>
        <w:pStyle w:val="NormalHanging12a"/>
      </w:pPr>
      <w:r w:rsidRPr="006F1A7E">
        <w:t>1.</w:t>
      </w:r>
      <w:r w:rsidRPr="006F1A7E">
        <w:tab/>
        <w:t>godkender Kommissionens forslag;</w:t>
      </w:r>
    </w:p>
    <w:p w:rsidR="002F7000" w:rsidRPr="006F1A7E" w:rsidRDefault="00ED0821">
      <w:pPr>
        <w:pStyle w:val="NormalHanging12a"/>
      </w:pPr>
      <w:r w:rsidRPr="006F1A7E">
        <w:t>2.</w:t>
      </w:r>
      <w:r w:rsidRPr="006F1A7E">
        <w:tab/>
        <w:t>opfordrer Rådet til at underrette Parlamentet, hvis det ikke agter at følge den tekst, Parlamentet har godkendt;</w:t>
      </w:r>
    </w:p>
    <w:p w:rsidR="00ED0821" w:rsidRPr="006F1A7E" w:rsidRDefault="002F7000">
      <w:pPr>
        <w:pStyle w:val="NormalHanging12a"/>
      </w:pPr>
      <w:r w:rsidRPr="006F1A7E">
        <w:t>3.</w:t>
      </w:r>
      <w:r w:rsidRPr="006F1A7E">
        <w:tab/>
        <w:t>anmoder Rådet om fornyet høring, hvis det agter at ændre den tekst, Parlamentet har godkendt, i væsentlig grad;</w:t>
      </w:r>
    </w:p>
    <w:p w:rsidR="00ED0821" w:rsidRPr="006F1A7E" w:rsidRDefault="002F7000">
      <w:pPr>
        <w:pStyle w:val="NormalHanging12a"/>
      </w:pPr>
      <w:r w:rsidRPr="006F1A7E">
        <w:t>4.</w:t>
      </w:r>
      <w:r w:rsidRPr="006F1A7E">
        <w:tab/>
        <w:t>pålægger sin formand at sende Parlamentets holdning til Rådet og Kommissionen samt til de nationale parlamenter.</w:t>
      </w:r>
    </w:p>
    <w:p w:rsidR="00040B6F" w:rsidRPr="006F1A7E" w:rsidRDefault="00040B6F" w:rsidP="002B1B1D">
      <w:pPr>
        <w:sectPr w:rsidR="00040B6F" w:rsidRPr="006F1A7E" w:rsidSect="006F1A7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B1B1D" w:rsidRPr="006F1A7E" w:rsidRDefault="00040B6F" w:rsidP="00040B6F">
      <w:pPr>
        <w:pStyle w:val="PageHeading"/>
      </w:pPr>
      <w:bookmarkStart w:id="1" w:name="_Toc183766138"/>
      <w:r w:rsidRPr="006F1A7E">
        <w:lastRenderedPageBreak/>
        <w:t>BEGRUNDELSE</w:t>
      </w:r>
      <w:bookmarkEnd w:id="1"/>
    </w:p>
    <w:p w:rsidR="00FA486E" w:rsidRPr="006F1A7E" w:rsidRDefault="00FA486E" w:rsidP="00FA486E">
      <w:pPr>
        <w:jc w:val="both"/>
        <w:rPr>
          <w:sz w:val="23"/>
          <w:szCs w:val="23"/>
        </w:rPr>
      </w:pPr>
      <w:r w:rsidRPr="006F1A7E">
        <w:t>Europa-Parlamentets og Rådets forordning (EU) 2019/1157 af 20. juni 2019 om styrkelse af sikkerheden af unionsborgeres identitetskort og af opholdsdokumenter, der udstedes til unionsborgere og deres familiemedlemmer, som udøver deres ret til fri bevægelighed, trådte i kraft den 2. august 2021. Den fastsatte fælles minimumsstandarder for sikkerhedselementerne og formatet for de dokumenter, der er omfattet af dens anvendelsesområde, og var en del af handlingsplanen fra december 2016 om styrkelse af Europas bekæmpelse af svindel med rejsedokumenter som en katalysator for</w:t>
      </w:r>
      <w:bookmarkStart w:id="2" w:name="_GoBack"/>
      <w:bookmarkEnd w:id="2"/>
      <w:r w:rsidRPr="006F1A7E">
        <w:t xml:space="preserve"> terrorisme og organiseret kriminalitet (COM(2016)0790).</w:t>
      </w:r>
      <w:r w:rsidRPr="006F1A7E">
        <w:rPr>
          <w:sz w:val="23"/>
        </w:rPr>
        <w:t xml:space="preserve"> </w:t>
      </w:r>
    </w:p>
    <w:p w:rsidR="00FA486E" w:rsidRPr="006F1A7E" w:rsidRDefault="00FA486E" w:rsidP="00FA486E">
      <w:pPr>
        <w:jc w:val="both"/>
        <w:rPr>
          <w:sz w:val="23"/>
          <w:szCs w:val="23"/>
        </w:rPr>
      </w:pPr>
    </w:p>
    <w:p w:rsidR="00FA486E" w:rsidRPr="006F1A7E" w:rsidRDefault="00FA486E" w:rsidP="00FA486E">
      <w:pPr>
        <w:jc w:val="both"/>
      </w:pPr>
      <w:r w:rsidRPr="006F1A7E">
        <w:rPr>
          <w:sz w:val="23"/>
        </w:rPr>
        <w:t xml:space="preserve">Europa-Parlamentet understregede i sin holdning fra 2018 vigtigheden af forbedrede sikkerhedsstandarderne for sådanne dokumenter, ikke kun med henblik på bekæmpelsen af dokumentfalsk og identitetstyveri, men også for at lette udøvelsen af retten til fri bevægelighed inden for EU. Der blev lagt særlig vægt på indførelsen af de højest mulige standarder for databeskyttelse og datasikkerhed, navnlig med hensyn til biometriske data, samt på beskyttelsen af mindreårige. </w:t>
      </w:r>
      <w:r w:rsidRPr="006F1A7E">
        <w:t xml:space="preserve">Parlamentet insisterede også på at medtage EU-flaget på alle identitetskort og opholdsdokumenter som et synligt symbol på "unionsborgerskabet" i tillæg til borgernes nationale identitet, hvilket giver dem yderligere beskyttelse og rettigheder. </w:t>
      </w:r>
    </w:p>
    <w:p w:rsidR="00FA486E" w:rsidRPr="006F1A7E" w:rsidRDefault="00FA486E" w:rsidP="00FA486E">
      <w:pPr>
        <w:jc w:val="both"/>
      </w:pPr>
    </w:p>
    <w:p w:rsidR="00FA486E" w:rsidRPr="006F1A7E" w:rsidRDefault="00FA486E" w:rsidP="00FA486E">
      <w:pPr>
        <w:jc w:val="both"/>
      </w:pPr>
      <w:r w:rsidRPr="006F1A7E">
        <w:t>I sin dom af 21. marts 2024 (sag C-61/22, Landeshauptstadt Wiesbaden) erklærede EU-Domstolen forordning (EU) 2019/1157 ugyldig som følge af valget af et forkert retsgrundlag.</w:t>
      </w:r>
      <w:r w:rsidRPr="006F1A7E">
        <w:rPr>
          <w:sz w:val="22"/>
          <w:u w:color="000000"/>
          <w:bdr w:val="none" w:sz="0" w:space="0" w:color="auto" w:frame="1"/>
          <w14:textOutline w14:w="0" w14:cap="flat" w14:cmpd="sng" w14:algn="ctr">
            <w14:noFill/>
            <w14:prstDash w14:val="solid"/>
            <w14:bevel/>
          </w14:textOutline>
        </w:rPr>
        <w:t xml:space="preserve"> </w:t>
      </w:r>
      <w:r w:rsidRPr="006F1A7E">
        <w:rPr>
          <w:sz w:val="23"/>
        </w:rPr>
        <w:t xml:space="preserve">Ifølge Domstolen burde forordning (EU) 2019/1157 være blevet vedtaget på grundlag af artikel 77, stk. 3, i traktaten om Den Europæiske Unions funktionsmåde (TEUF), som fastsætter en særlig lovgivningsprocedure, i stedet for på grundlag af artikel 21, stk. 2, i TEUF. </w:t>
      </w:r>
      <w:r w:rsidRPr="006F1A7E">
        <w:t xml:space="preserve">Domstolen fastslog endvidere, at virkningerne af forordning 2019/1157 skulle opretholdes indtil ikrafttrædelsen af en gyldig forordning til erstatning af denne, og fastsatte en periode på to år fra den 1. januar i året efter afsigelsen af dommen som en rimelig frist for vedtagelsen af den nye forordning. </w:t>
      </w:r>
    </w:p>
    <w:p w:rsidR="00FA486E" w:rsidRPr="006F1A7E" w:rsidRDefault="00FA486E" w:rsidP="00FA486E">
      <w:pPr>
        <w:jc w:val="both"/>
      </w:pPr>
    </w:p>
    <w:p w:rsidR="00FA486E" w:rsidRPr="006F1A7E" w:rsidRDefault="00FA486E" w:rsidP="00FA486E">
      <w:pPr>
        <w:jc w:val="both"/>
        <w:rPr>
          <w:sz w:val="23"/>
          <w:szCs w:val="23"/>
        </w:rPr>
      </w:pPr>
      <w:r w:rsidRPr="006F1A7E">
        <w:t>Domstolen afviste andre indgivne mulige grunde til at erklære forordning (EU) 2019/1157 for ugyldig, dvs. den påståede manglende overholdelse af Den Europæiske Unions charter om grundlæggende rettigheder og den generelle forordning om databeskyttelse.</w:t>
      </w:r>
    </w:p>
    <w:p w:rsidR="00FA486E" w:rsidRPr="006F1A7E" w:rsidRDefault="00FA486E" w:rsidP="00FA486E">
      <w:pPr>
        <w:jc w:val="both"/>
        <w:rPr>
          <w:sz w:val="23"/>
          <w:szCs w:val="23"/>
        </w:rPr>
      </w:pPr>
    </w:p>
    <w:p w:rsidR="00FA486E" w:rsidRPr="006F1A7E" w:rsidRDefault="00FA486E" w:rsidP="00FA486E">
      <w:pPr>
        <w:jc w:val="both"/>
      </w:pPr>
      <w:r w:rsidRPr="006F1A7E">
        <w:t>Den 23. juli 2024 fremsatte Europa-Kommissionen et udkast til Rådets forordning om styrkelse af sikkerheden af unionsborgeres identitetskort og af opholdsdokumenter,</w:t>
      </w:r>
    </w:p>
    <w:p w:rsidR="00FA486E" w:rsidRPr="006F1A7E" w:rsidRDefault="00FA486E" w:rsidP="00FA486E">
      <w:pPr>
        <w:jc w:val="both"/>
      </w:pPr>
      <w:r w:rsidRPr="006F1A7E">
        <w:t>der udstedes til unionsborgere og deres familiemedlemmer, som udøver deres ret til</w:t>
      </w:r>
    </w:p>
    <w:p w:rsidR="00FA486E" w:rsidRPr="006F1A7E" w:rsidRDefault="00FA486E" w:rsidP="00FA486E">
      <w:pPr>
        <w:jc w:val="both"/>
        <w:rPr>
          <w:sz w:val="23"/>
          <w:szCs w:val="23"/>
        </w:rPr>
      </w:pPr>
      <w:r w:rsidRPr="006F1A7E">
        <w:t>fri bevægelighed, der som foreskrevet af Domstolen var baseret på artikel 77, stk. 3, i TEUF.</w:t>
      </w:r>
      <w:r w:rsidRPr="006F1A7E">
        <w:rPr>
          <w:sz w:val="23"/>
        </w:rPr>
        <w:t xml:space="preserve"> </w:t>
      </w:r>
      <w:r w:rsidRPr="006F1A7E">
        <w:t>Dette nye forslag gengiver i det store hele teksten i forordning (EU) 2019/1157 som vedtaget af Parlamentet og Rådet.</w:t>
      </w:r>
      <w:r w:rsidRPr="006F1A7E">
        <w:rPr>
          <w:sz w:val="23"/>
        </w:rPr>
        <w:t xml:space="preserve"> </w:t>
      </w:r>
      <w:r w:rsidRPr="006F1A7E">
        <w:t>Som anført i Kommissionens begrundelse til forslaget er der foreslået et begrænset antal ændringer af teksten fra 2019 med henblik på at indarbejde de nødvendige proceduremæssige tilpasninger og gøre status over udviklingen siden vedtagelsen af forordning (EU) 2019/1157.</w:t>
      </w:r>
    </w:p>
    <w:p w:rsidR="00FA486E" w:rsidRPr="006F1A7E" w:rsidRDefault="00FA486E" w:rsidP="00FA486E">
      <w:pPr>
        <w:jc w:val="both"/>
        <w:rPr>
          <w:sz w:val="23"/>
          <w:szCs w:val="23"/>
        </w:rPr>
      </w:pPr>
    </w:p>
    <w:p w:rsidR="00FA486E" w:rsidRPr="006F1A7E" w:rsidRDefault="00FA486E" w:rsidP="00FA486E">
      <w:pPr>
        <w:jc w:val="both"/>
      </w:pPr>
      <w:r w:rsidRPr="006F1A7E">
        <w:t>Ordføreren glæder sig over Kommissionens forslag, idet det i det væsentlige afspejler den tekst, som Parlamentet godkendte i 2019, og hvis tilgang og mål fortsat er gyldige i den nuværende kontekst, og er enig i den vurdering, at der kun bør indføres begrænsede ændringer i den rådsforordning, der er under overvejelse, i forhold til forordning (EU) 2019/1157.</w:t>
      </w:r>
    </w:p>
    <w:p w:rsidR="00040B6F" w:rsidRPr="006F1A7E" w:rsidRDefault="00040B6F" w:rsidP="002B1B1D"/>
    <w:sectPr w:rsidR="00040B6F" w:rsidRPr="006F1A7E" w:rsidSect="00040B6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0CBE" w:rsidRPr="006F1A7E" w:rsidRDefault="00F50CBE">
      <w:r w:rsidRPr="006F1A7E">
        <w:separator/>
      </w:r>
    </w:p>
  </w:endnote>
  <w:endnote w:type="continuationSeparator" w:id="0">
    <w:p w:rsidR="00F50CBE" w:rsidRPr="006F1A7E" w:rsidRDefault="00F50CBE">
      <w:r w:rsidRPr="006F1A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A7E" w:rsidRPr="006F1A7E" w:rsidRDefault="006F1A7E" w:rsidP="006F1A7E">
    <w:pPr>
      <w:pStyle w:val="EPFooter"/>
    </w:pPr>
    <w:r w:rsidRPr="006F1A7E">
      <w:t>PE</w:t>
    </w:r>
    <w:r w:rsidRPr="006F1A7E">
      <w:rPr>
        <w:rStyle w:val="HideTWBExt"/>
      </w:rPr>
      <w:t>&lt;NoPE&gt;</w:t>
    </w:r>
    <w:r w:rsidRPr="006F1A7E">
      <w:t>766.606</w:t>
    </w:r>
    <w:r w:rsidRPr="006F1A7E">
      <w:rPr>
        <w:rStyle w:val="HideTWBExt"/>
      </w:rPr>
      <w:t>&lt;/NoPE&gt;&lt;Version&gt;</w:t>
    </w:r>
    <w:r w:rsidRPr="006F1A7E">
      <w:t>v01-00</w:t>
    </w:r>
    <w:r w:rsidRPr="006F1A7E">
      <w:rPr>
        <w:rStyle w:val="HideTWBExt"/>
      </w:rPr>
      <w:t>&lt;/Version&gt;</w:t>
    </w:r>
    <w:r w:rsidRPr="006F1A7E">
      <w:tab/>
    </w:r>
    <w:r w:rsidRPr="006F1A7E">
      <w:fldChar w:fldCharType="begin"/>
    </w:r>
    <w:r w:rsidRPr="006F1A7E">
      <w:instrText xml:space="preserve"> PAGE  \* MERGEFORMAT </w:instrText>
    </w:r>
    <w:r w:rsidRPr="006F1A7E">
      <w:fldChar w:fldCharType="separate"/>
    </w:r>
    <w:r w:rsidR="00E43A3E">
      <w:rPr>
        <w:noProof/>
      </w:rPr>
      <w:t>6</w:t>
    </w:r>
    <w:r w:rsidRPr="006F1A7E">
      <w:fldChar w:fldCharType="end"/>
    </w:r>
    <w:r w:rsidRPr="006F1A7E">
      <w:t>/</w:t>
    </w:r>
    <w:fldSimple w:instr=" NUMPAGES  \* MERGEFORMAT ">
      <w:r w:rsidR="00E43A3E">
        <w:rPr>
          <w:noProof/>
        </w:rPr>
        <w:t>6</w:t>
      </w:r>
    </w:fldSimple>
    <w:r w:rsidRPr="006F1A7E">
      <w:tab/>
    </w:r>
    <w:r w:rsidRPr="006F1A7E">
      <w:rPr>
        <w:rStyle w:val="HideTWBExt"/>
      </w:rPr>
      <w:t>&lt;PathFdR&gt;</w:t>
    </w:r>
    <w:r w:rsidRPr="006F1A7E">
      <w:t>PR\1310446DA.docx</w:t>
    </w:r>
    <w:r w:rsidRPr="006F1A7E">
      <w:rPr>
        <w:rStyle w:val="HideTWBExt"/>
      </w:rPr>
      <w:t>&lt;/PathFdR&gt;</w:t>
    </w:r>
  </w:p>
  <w:p w:rsidR="002F7000" w:rsidRPr="006F1A7E" w:rsidRDefault="006F1A7E" w:rsidP="006F1A7E">
    <w:pPr>
      <w:pStyle w:val="EPFooter2"/>
    </w:pPr>
    <w:r w:rsidRPr="006F1A7E">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A7E" w:rsidRPr="006F1A7E" w:rsidRDefault="006F1A7E" w:rsidP="006F1A7E">
    <w:pPr>
      <w:pStyle w:val="EPFooter"/>
    </w:pPr>
    <w:r w:rsidRPr="006F1A7E">
      <w:rPr>
        <w:rStyle w:val="HideTWBExt"/>
      </w:rPr>
      <w:t>&lt;PathFdR&gt;</w:t>
    </w:r>
    <w:r w:rsidRPr="006F1A7E">
      <w:t>PR\1310446DA.docx</w:t>
    </w:r>
    <w:r w:rsidRPr="006F1A7E">
      <w:rPr>
        <w:rStyle w:val="HideTWBExt"/>
      </w:rPr>
      <w:t>&lt;/PathFdR&gt;</w:t>
    </w:r>
    <w:r w:rsidRPr="006F1A7E">
      <w:tab/>
    </w:r>
    <w:r w:rsidRPr="006F1A7E">
      <w:fldChar w:fldCharType="begin"/>
    </w:r>
    <w:r w:rsidRPr="006F1A7E">
      <w:instrText xml:space="preserve"> PAGE  \* MERGEFORMAT </w:instrText>
    </w:r>
    <w:r w:rsidRPr="006F1A7E">
      <w:fldChar w:fldCharType="separate"/>
    </w:r>
    <w:r w:rsidR="00E43A3E">
      <w:rPr>
        <w:noProof/>
      </w:rPr>
      <w:t>5</w:t>
    </w:r>
    <w:r w:rsidRPr="006F1A7E">
      <w:fldChar w:fldCharType="end"/>
    </w:r>
    <w:r w:rsidRPr="006F1A7E">
      <w:t>/</w:t>
    </w:r>
    <w:fldSimple w:instr=" NUMPAGES  \* MERGEFORMAT ">
      <w:r w:rsidR="00E43A3E">
        <w:rPr>
          <w:noProof/>
        </w:rPr>
        <w:t>6</w:t>
      </w:r>
    </w:fldSimple>
    <w:r w:rsidRPr="006F1A7E">
      <w:tab/>
      <w:t>PE</w:t>
    </w:r>
    <w:r w:rsidRPr="006F1A7E">
      <w:rPr>
        <w:rStyle w:val="HideTWBExt"/>
      </w:rPr>
      <w:t>&lt;NoPE&gt;</w:t>
    </w:r>
    <w:r w:rsidRPr="006F1A7E">
      <w:t>766.606</w:t>
    </w:r>
    <w:r w:rsidRPr="006F1A7E">
      <w:rPr>
        <w:rStyle w:val="HideTWBExt"/>
      </w:rPr>
      <w:t>&lt;/NoPE&gt;&lt;Version&gt;</w:t>
    </w:r>
    <w:r w:rsidRPr="006F1A7E">
      <w:t>v01-00</w:t>
    </w:r>
    <w:r w:rsidRPr="006F1A7E">
      <w:rPr>
        <w:rStyle w:val="HideTWBExt"/>
      </w:rPr>
      <w:t>&lt;/Version&gt;</w:t>
    </w:r>
  </w:p>
  <w:p w:rsidR="002F7000" w:rsidRPr="006F1A7E" w:rsidRDefault="006F1A7E" w:rsidP="006F1A7E">
    <w:pPr>
      <w:pStyle w:val="EPFooter2"/>
    </w:pPr>
    <w:r w:rsidRPr="006F1A7E">
      <w:tab/>
    </w:r>
    <w:r w:rsidRPr="006F1A7E">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A7E" w:rsidRPr="006F1A7E" w:rsidRDefault="006F1A7E" w:rsidP="006F1A7E">
    <w:pPr>
      <w:pStyle w:val="EPFooter"/>
    </w:pPr>
    <w:r w:rsidRPr="006F1A7E">
      <w:rPr>
        <w:rStyle w:val="HideTWBExt"/>
      </w:rPr>
      <w:t>&lt;PathFdR&gt;</w:t>
    </w:r>
    <w:r w:rsidRPr="006F1A7E">
      <w:t>PR\1310446DA.docx</w:t>
    </w:r>
    <w:r w:rsidRPr="006F1A7E">
      <w:rPr>
        <w:rStyle w:val="HideTWBExt"/>
      </w:rPr>
      <w:t>&lt;/PathFdR&gt;</w:t>
    </w:r>
    <w:r w:rsidRPr="006F1A7E">
      <w:tab/>
    </w:r>
    <w:r w:rsidRPr="006F1A7E">
      <w:tab/>
      <w:t>PE</w:t>
    </w:r>
    <w:r w:rsidRPr="006F1A7E">
      <w:rPr>
        <w:rStyle w:val="HideTWBExt"/>
      </w:rPr>
      <w:t>&lt;NoPE&gt;</w:t>
    </w:r>
    <w:r w:rsidRPr="006F1A7E">
      <w:t>766.606</w:t>
    </w:r>
    <w:r w:rsidRPr="006F1A7E">
      <w:rPr>
        <w:rStyle w:val="HideTWBExt"/>
      </w:rPr>
      <w:t>&lt;/NoPE&gt;&lt;Version&gt;</w:t>
    </w:r>
    <w:r w:rsidRPr="006F1A7E">
      <w:t>v01-00</w:t>
    </w:r>
    <w:r w:rsidRPr="006F1A7E">
      <w:rPr>
        <w:rStyle w:val="HideTWBExt"/>
      </w:rPr>
      <w:t>&lt;/Version&gt;</w:t>
    </w:r>
  </w:p>
  <w:p w:rsidR="002F7000" w:rsidRPr="006F1A7E" w:rsidRDefault="006F1A7E" w:rsidP="006F1A7E">
    <w:pPr>
      <w:pStyle w:val="EPFooter2"/>
    </w:pPr>
    <w:r w:rsidRPr="006F1A7E">
      <w:t>DA</w:t>
    </w:r>
    <w:r w:rsidRPr="006F1A7E">
      <w:tab/>
    </w:r>
    <w:r w:rsidRPr="006F1A7E">
      <w:rPr>
        <w:b w:val="0"/>
        <w:i/>
        <w:color w:val="C0C0C0"/>
        <w:sz w:val="22"/>
      </w:rPr>
      <w:t>Forenet i mangfoldighed</w:t>
    </w:r>
    <w:r w:rsidRPr="006F1A7E">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0CBE" w:rsidRPr="006F1A7E" w:rsidRDefault="00F50CBE">
      <w:r w:rsidRPr="006F1A7E">
        <w:separator/>
      </w:r>
    </w:p>
  </w:footnote>
  <w:footnote w:type="continuationSeparator" w:id="0">
    <w:p w:rsidR="00F50CBE" w:rsidRPr="006F1A7E" w:rsidRDefault="00F50CBE">
      <w:r w:rsidRPr="006F1A7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A3E" w:rsidRDefault="00E43A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A3E" w:rsidRDefault="00E43A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A3E" w:rsidRDefault="00E43A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RTEURATOMMNU" w:val=" 3"/>
    <w:docVar w:name="ARTFEUMNU" w:val=" 1"/>
    <w:docVar w:name="COMKEY" w:val="LIBE"/>
    <w:docVar w:name="DOCMNU" w:val=" 1"/>
    <w:docVar w:name="EVABUDGMNU" w:val=" 2"/>
    <w:docVar w:name="JURI1MNU" w:val=" 2"/>
    <w:docVar w:name="JURI2MNU" w:val=" 2"/>
    <w:docVar w:name="LastEditedSection" w:val=" 1"/>
    <w:docVar w:name="PARLIAMENTSMNU" w:val=" 2"/>
    <w:docVar w:name="strDocTypeID" w:val="PR_CNS_LegAct_app"/>
    <w:docVar w:name="strSubDir" w:val="1310"/>
    <w:docVar w:name="TITLEMNU" w:val=" 1"/>
    <w:docVar w:name="TXTLANGUE" w:val="EN"/>
    <w:docVar w:name="TXTLANGUEMIN" w:val="en"/>
    <w:docVar w:name="TXTNRC" w:val="0112/2024"/>
    <w:docVar w:name="TXTNRCNS" w:val="2024/0187"/>
    <w:docVar w:name="TXTNRCOM" w:val="(2024)0316"/>
    <w:docVar w:name="TXTNRPE" w:val="766.606"/>
    <w:docVar w:name="TXTPEorAP" w:val="PE"/>
    <w:docVar w:name="TXTROUTE" w:val="PR\1310446EN.docx"/>
    <w:docVar w:name="TXTTITLE" w:val="on strengthening the security of identity cards of Union citizens and of residence documents issued to Union citizens and their family members exercising their right of free movement"/>
    <w:docVar w:name="TXTVERSION" w:val="01-00"/>
  </w:docVars>
  <w:rsids>
    <w:rsidRoot w:val="00F50CBE"/>
    <w:rsid w:val="00025BF3"/>
    <w:rsid w:val="00040B6F"/>
    <w:rsid w:val="00056EA7"/>
    <w:rsid w:val="000753AB"/>
    <w:rsid w:val="000C7D46"/>
    <w:rsid w:val="000E1B0C"/>
    <w:rsid w:val="00104AEE"/>
    <w:rsid w:val="001157F2"/>
    <w:rsid w:val="00126AE1"/>
    <w:rsid w:val="001907B9"/>
    <w:rsid w:val="001A06D8"/>
    <w:rsid w:val="001E5A80"/>
    <w:rsid w:val="001E735C"/>
    <w:rsid w:val="0027008F"/>
    <w:rsid w:val="002817C0"/>
    <w:rsid w:val="002B058A"/>
    <w:rsid w:val="002B0E9D"/>
    <w:rsid w:val="002B1B1D"/>
    <w:rsid w:val="002B272A"/>
    <w:rsid w:val="002D6A8E"/>
    <w:rsid w:val="002E5810"/>
    <w:rsid w:val="002F7000"/>
    <w:rsid w:val="00302A66"/>
    <w:rsid w:val="00356F22"/>
    <w:rsid w:val="003656D5"/>
    <w:rsid w:val="00385C3B"/>
    <w:rsid w:val="00470D5E"/>
    <w:rsid w:val="00487BC1"/>
    <w:rsid w:val="004C4A0B"/>
    <w:rsid w:val="004D7B3B"/>
    <w:rsid w:val="004F549A"/>
    <w:rsid w:val="0050486E"/>
    <w:rsid w:val="005048AD"/>
    <w:rsid w:val="00543B7B"/>
    <w:rsid w:val="00566C5B"/>
    <w:rsid w:val="005C0789"/>
    <w:rsid w:val="005F4E2B"/>
    <w:rsid w:val="00681C69"/>
    <w:rsid w:val="006860EE"/>
    <w:rsid w:val="006C3928"/>
    <w:rsid w:val="006D7DDB"/>
    <w:rsid w:val="006F1A7E"/>
    <w:rsid w:val="00796EB5"/>
    <w:rsid w:val="007B68B8"/>
    <w:rsid w:val="007D611D"/>
    <w:rsid w:val="00865B2B"/>
    <w:rsid w:val="00874129"/>
    <w:rsid w:val="008E1C2D"/>
    <w:rsid w:val="008E22DF"/>
    <w:rsid w:val="00911DF1"/>
    <w:rsid w:val="00972620"/>
    <w:rsid w:val="009C7A06"/>
    <w:rsid w:val="009D0C99"/>
    <w:rsid w:val="00A07789"/>
    <w:rsid w:val="00A11805"/>
    <w:rsid w:val="00A32023"/>
    <w:rsid w:val="00A43E6A"/>
    <w:rsid w:val="00A64B09"/>
    <w:rsid w:val="00AD26AD"/>
    <w:rsid w:val="00AF7573"/>
    <w:rsid w:val="00B37926"/>
    <w:rsid w:val="00B37B16"/>
    <w:rsid w:val="00B8590D"/>
    <w:rsid w:val="00B8794C"/>
    <w:rsid w:val="00BB2027"/>
    <w:rsid w:val="00BD28D4"/>
    <w:rsid w:val="00BE4EC7"/>
    <w:rsid w:val="00C22C1C"/>
    <w:rsid w:val="00C54859"/>
    <w:rsid w:val="00C71A3C"/>
    <w:rsid w:val="00C82EBC"/>
    <w:rsid w:val="00C95F4F"/>
    <w:rsid w:val="00D33288"/>
    <w:rsid w:val="00D4037E"/>
    <w:rsid w:val="00DC3DED"/>
    <w:rsid w:val="00E41E3B"/>
    <w:rsid w:val="00E43A3E"/>
    <w:rsid w:val="00E45E53"/>
    <w:rsid w:val="00E822D6"/>
    <w:rsid w:val="00E97119"/>
    <w:rsid w:val="00EA374F"/>
    <w:rsid w:val="00EA5B1E"/>
    <w:rsid w:val="00ED0609"/>
    <w:rsid w:val="00ED0821"/>
    <w:rsid w:val="00F10FED"/>
    <w:rsid w:val="00F31848"/>
    <w:rsid w:val="00F4597B"/>
    <w:rsid w:val="00F50CBE"/>
    <w:rsid w:val="00F574BB"/>
    <w:rsid w:val="00F803E3"/>
    <w:rsid w:val="00F924C1"/>
    <w:rsid w:val="00F978D3"/>
    <w:rsid w:val="00FA486E"/>
    <w:rsid w:val="00FC479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C2478F"/>
  <w15:chartTrackingRefBased/>
  <w15:docId w15:val="{1328F09D-4159-457A-8B33-8ED2D2D53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03E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B68B8"/>
    <w:pPr>
      <w:spacing w:before="480" w:after="240"/>
    </w:pPr>
  </w:style>
  <w:style w:type="paragraph" w:styleId="TOC1">
    <w:name w:val="toc 1"/>
    <w:basedOn w:val="Normal"/>
    <w:next w:val="Normal"/>
    <w:autoRedefine/>
    <w:uiPriority w:val="39"/>
    <w:rsid w:val="00470D5E"/>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4C4A0B"/>
    <w:pPr>
      <w:spacing w:before="80" w:after="80"/>
    </w:pPr>
    <w:rPr>
      <w:rFonts w:ascii="Arial Narrow" w:hAnsi="Arial Narrow" w:cs="Arial"/>
      <w:b/>
      <w:sz w:val="32"/>
      <w:szCs w:val="22"/>
    </w:rPr>
  </w:style>
  <w:style w:type="paragraph" w:customStyle="1" w:styleId="CoverNormal24a">
    <w:name w:val="CoverNormal24a"/>
    <w:basedOn w:val="Normal"/>
    <w:rsid w:val="005C0789"/>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4F549A"/>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5C0789"/>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4597B"/>
    <w:pPr>
      <w:tabs>
        <w:tab w:val="center" w:pos="4513"/>
        <w:tab w:val="right" w:pos="9026"/>
      </w:tabs>
    </w:pPr>
  </w:style>
  <w:style w:type="table" w:styleId="TableGrid">
    <w:name w:val="Table Grid"/>
    <w:basedOn w:val="TableNormal"/>
    <w:rsid w:val="00C71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1A3C"/>
    <w:pPr>
      <w:jc w:val="center"/>
    </w:pPr>
    <w:rPr>
      <w:rFonts w:ascii="Arial" w:hAnsi="Arial" w:cs="Arial"/>
      <w:i/>
      <w:sz w:val="22"/>
      <w:szCs w:val="22"/>
    </w:rPr>
  </w:style>
  <w:style w:type="paragraph" w:customStyle="1" w:styleId="LineTop">
    <w:name w:val="LineTop"/>
    <w:basedOn w:val="Normal"/>
    <w:next w:val="Normal"/>
    <w:rsid w:val="00C71A3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1A3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4C4A0B"/>
    <w:pPr>
      <w:spacing w:after="80"/>
    </w:pPr>
    <w:rPr>
      <w:rFonts w:ascii="Arial" w:hAnsi="Arial" w:cs="Arial"/>
      <w:sz w:val="20"/>
      <w:szCs w:val="22"/>
    </w:rPr>
  </w:style>
  <w:style w:type="paragraph" w:customStyle="1" w:styleId="EPLogo">
    <w:name w:val="EPLogo"/>
    <w:basedOn w:val="Normal"/>
    <w:qFormat/>
    <w:rsid w:val="004C4A0B"/>
    <w:pPr>
      <w:jc w:val="right"/>
    </w:pPr>
  </w:style>
  <w:style w:type="paragraph" w:customStyle="1" w:styleId="EPFooter">
    <w:name w:val="EPFooter"/>
    <w:basedOn w:val="Normal"/>
    <w:rsid w:val="005C0789"/>
    <w:pPr>
      <w:tabs>
        <w:tab w:val="center" w:pos="4535"/>
        <w:tab w:val="right" w:pos="9071"/>
      </w:tabs>
      <w:spacing w:before="240" w:after="240"/>
    </w:pPr>
    <w:rPr>
      <w:color w:val="010000"/>
      <w:sz w:val="22"/>
    </w:rPr>
  </w:style>
  <w:style w:type="character" w:styleId="PageNumber">
    <w:name w:val="page number"/>
    <w:basedOn w:val="DefaultParagraphFont"/>
    <w:semiHidden/>
    <w:rsid w:val="00865B2B"/>
  </w:style>
  <w:style w:type="character" w:customStyle="1" w:styleId="HeaderChar">
    <w:name w:val="Header Char"/>
    <w:basedOn w:val="DefaultParagraphFont"/>
    <w:link w:val="Header"/>
    <w:semiHidden/>
    <w:rsid w:val="00F4597B"/>
    <w:rPr>
      <w:sz w:val="24"/>
    </w:rPr>
  </w:style>
  <w:style w:type="paragraph" w:customStyle="1" w:styleId="Lgendesigne">
    <w:name w:val="Légende signe"/>
    <w:basedOn w:val="Normal"/>
    <w:rsid w:val="00F31848"/>
    <w:pPr>
      <w:tabs>
        <w:tab w:val="right" w:pos="454"/>
        <w:tab w:val="left" w:pos="737"/>
      </w:tabs>
      <w:ind w:left="737" w:hanging="737"/>
    </w:pPr>
    <w:rPr>
      <w:snapToGrid w:val="0"/>
      <w:sz w:val="18"/>
      <w:lang w:eastAsia="en-US"/>
    </w:rPr>
  </w:style>
  <w:style w:type="paragraph" w:customStyle="1" w:styleId="Lgendetitre">
    <w:name w:val="Légende titre"/>
    <w:basedOn w:val="Normal"/>
    <w:rsid w:val="00F31848"/>
    <w:pPr>
      <w:spacing w:before="240" w:after="240"/>
    </w:pPr>
    <w:rPr>
      <w:b/>
      <w:i/>
      <w:snapToGrid w:val="0"/>
      <w:lang w:eastAsia="en-US"/>
    </w:rPr>
  </w:style>
  <w:style w:type="paragraph" w:customStyle="1" w:styleId="Lgendestandard">
    <w:name w:val="Légende standard"/>
    <w:basedOn w:val="Normal"/>
    <w:rsid w:val="00F31848"/>
    <w:rPr>
      <w:sz w:val="18"/>
    </w:rPr>
  </w:style>
  <w:style w:type="paragraph" w:styleId="Footer">
    <w:name w:val="footer"/>
    <w:basedOn w:val="Normal"/>
    <w:link w:val="FooterChar"/>
    <w:semiHidden/>
    <w:rsid w:val="00F574BB"/>
    <w:pPr>
      <w:tabs>
        <w:tab w:val="center" w:pos="4513"/>
        <w:tab w:val="right" w:pos="9026"/>
      </w:tabs>
    </w:pPr>
  </w:style>
  <w:style w:type="character" w:customStyle="1" w:styleId="FooterChar">
    <w:name w:val="Footer Char"/>
    <w:basedOn w:val="DefaultParagraphFont"/>
    <w:link w:val="Footer"/>
    <w:semiHidden/>
    <w:rsid w:val="00F574B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0DA342-E8BB-4FE2-855E-E528C9651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979</Words>
  <Characters>6144</Characters>
  <Application>Microsoft Office Word</Application>
  <DocSecurity>0</DocSecurity>
  <Lines>146</Lines>
  <Paragraphs>63</Paragraphs>
  <ScaleCrop>false</ScaleCrop>
  <HeadingPairs>
    <vt:vector size="2" baseType="variant">
      <vt:variant>
        <vt:lpstr>Title</vt:lpstr>
      </vt:variant>
      <vt:variant>
        <vt:i4>1</vt:i4>
      </vt:variant>
    </vt:vector>
  </HeadingPairs>
  <TitlesOfParts>
    <vt:vector size="1" baseType="lpstr">
      <vt:lpstr>PR_CNS_LegAct_app</vt:lpstr>
    </vt:vector>
  </TitlesOfParts>
  <Company/>
  <LinksUpToDate>false</LinksUpToDate>
  <CharactersWithSpaces>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PR_CNS_LegAct_app</dc:title>
  <dc:subject/>
  <dc:creator>TOADER Maria</dc:creator>
  <cp:keywords/>
  <dc:description/>
  <cp:lastModifiedBy>JOHANNSEN Lena</cp:lastModifiedBy>
  <cp:revision>2</cp:revision>
  <cp:lastPrinted>2004-11-04T10:10:00Z</cp:lastPrinted>
  <dcterms:created xsi:type="dcterms:W3CDTF">2024-11-29T08:48:00Z</dcterms:created>
  <dcterms:modified xsi:type="dcterms:W3CDTF">2024-11-29T08:48:00Z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Created with">
    <vt:lpwstr>10.0.0 Build [20241005]</vt:lpwstr>
  </property>
  <property fmtid="{D5CDD505-2E9C-101B-9397-08002B2CF9AE}" pid="4" name="LastEdited with">
    <vt:lpwstr>10.0.0 Build [20241005]</vt:lpwstr>
  </property>
  <property fmtid="{D5CDD505-2E9C-101B-9397-08002B2CF9AE}" pid="5" name="&lt;FdR&gt;">
    <vt:lpwstr>1310446</vt:lpwstr>
  </property>
  <property fmtid="{D5CDD505-2E9C-101B-9397-08002B2CF9AE}" pid="6" name="&lt;Type&gt;">
    <vt:lpwstr>PR</vt:lpwstr>
  </property>
  <property fmtid="{D5CDD505-2E9C-101B-9397-08002B2CF9AE}" pid="7" name="&lt;ModelCod&gt;">
    <vt:lpwstr>\\eiciBRUpr1\pdocep$\DocEP\DOCS\General\PR\PR_Leg\CNS\CNS_LegAct\PR_CNS_LegAct_app.dotx(24/09/2024 08:47:01)</vt:lpwstr>
  </property>
  <property fmtid="{D5CDD505-2E9C-101B-9397-08002B2CF9AE}" pid="8" name="&lt;ModelTra&gt;">
    <vt:lpwstr>\\eiciBRUpr1\pdocep$\DocEP\TRANSFIL\EN\PR_CNS_LegAct_app.EN(30/09/2024 09:52:01)</vt:lpwstr>
  </property>
  <property fmtid="{D5CDD505-2E9C-101B-9397-08002B2CF9AE}" pid="9" name="&lt;Model&gt;">
    <vt:lpwstr>PR_CNS_LegAct_app</vt:lpwstr>
  </property>
  <property fmtid="{D5CDD505-2E9C-101B-9397-08002B2CF9AE}" pid="10" name="FooterPath">
    <vt:lpwstr>PR\1310446DA.docx</vt:lpwstr>
  </property>
  <property fmtid="{D5CDD505-2E9C-101B-9397-08002B2CF9AE}" pid="11" name="PE number">
    <vt:lpwstr>766.606</vt:lpwstr>
  </property>
  <property fmtid="{D5CDD505-2E9C-101B-9397-08002B2CF9AE}" pid="12" name="SendToEpades">
    <vt:lpwstr>OK - 2024/11/19 17:00</vt:lpwstr>
  </property>
  <property fmtid="{D5CDD505-2E9C-101B-9397-08002B2CF9AE}" pid="13" name="SDLStudio">
    <vt:lpwstr/>
  </property>
  <property fmtid="{D5CDD505-2E9C-101B-9397-08002B2CF9AE}" pid="14" name="Bookout">
    <vt:lpwstr>OK - 2024/11/29 09:48</vt:lpwstr>
  </property>
</Properties>
</file>