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07295" w:rsidTr="00C85D0F">
        <w:trPr>
          <w:trHeight w:hRule="exact" w:val="1418"/>
        </w:trPr>
        <w:tc>
          <w:tcPr>
            <w:tcW w:w="6804" w:type="dxa"/>
            <w:shd w:val="clear" w:color="auto" w:fill="auto"/>
            <w:vAlign w:val="center"/>
          </w:tcPr>
          <w:p w:rsidR="00B13D6F" w:rsidRPr="005E25C4" w:rsidRDefault="006F2F4F" w:rsidP="00C85D0F">
            <w:pPr>
              <w:pStyle w:val="EPName"/>
            </w:pPr>
            <w:bookmarkStart w:id="0" w:name="iStart"/>
            <w:bookmarkEnd w:id="0"/>
            <w:r>
              <w:t>Eiropas Parlaments</w:t>
            </w:r>
          </w:p>
          <w:p w:rsidR="00B13D6F" w:rsidRPr="004B69B0" w:rsidRDefault="006F2F4F" w:rsidP="004B69B0">
            <w:pPr>
              <w:pStyle w:val="EPTerm"/>
            </w:pPr>
            <w:r>
              <w:t>2024-2029</w:t>
            </w:r>
          </w:p>
        </w:tc>
        <w:tc>
          <w:tcPr>
            <w:tcW w:w="2268" w:type="dxa"/>
            <w:shd w:val="clear" w:color="auto" w:fill="auto"/>
          </w:tcPr>
          <w:p w:rsidR="00B13D6F" w:rsidRPr="005E25C4" w:rsidRDefault="006F2F4F" w:rsidP="00C85D0F">
            <w:pPr>
              <w:pStyle w:val="EPLogo"/>
            </w:pPr>
            <w:r w:rsidRPr="005E25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E25C4" w:rsidRDefault="00461601" w:rsidP="00461601">
      <w:pPr>
        <w:pStyle w:val="LineTop"/>
      </w:pPr>
    </w:p>
    <w:p w:rsidR="00461601" w:rsidRPr="005E25C4" w:rsidRDefault="006F2F4F" w:rsidP="00461601">
      <w:pPr>
        <w:pStyle w:val="EPBody"/>
      </w:pPr>
      <w:r>
        <w:rPr>
          <w:rStyle w:val="HideTWBExt"/>
        </w:rPr>
        <w:t>&lt;</w:t>
      </w:r>
      <w:r>
        <w:rPr>
          <w:rStyle w:val="HideTWBExt"/>
          <w:i w:val="0"/>
        </w:rPr>
        <w:t>Commission</w:t>
      </w:r>
      <w:r>
        <w:rPr>
          <w:rStyle w:val="HideTWBExt"/>
        </w:rPr>
        <w:t>&gt;</w:t>
      </w:r>
      <w:r>
        <w:rPr>
          <w:rStyle w:val="HideTWBInt"/>
          <w:color w:val="auto"/>
        </w:rPr>
        <w:t>{LIBE}</w:t>
      </w:r>
      <w:r>
        <w:t>Pilsoņu brīvību, tieslietu un iekšlietu komiteja</w:t>
      </w:r>
      <w:r>
        <w:rPr>
          <w:rStyle w:val="HideTWBExt"/>
        </w:rPr>
        <w:t>&lt;/</w:t>
      </w:r>
      <w:r>
        <w:rPr>
          <w:rStyle w:val="HideTWBExt"/>
          <w:i w:val="0"/>
        </w:rPr>
        <w:t>Commission</w:t>
      </w:r>
      <w:r>
        <w:rPr>
          <w:rStyle w:val="HideTWBExt"/>
        </w:rPr>
        <w:t>&gt;</w:t>
      </w:r>
    </w:p>
    <w:p w:rsidR="00461601" w:rsidRPr="005E25C4" w:rsidRDefault="00461601" w:rsidP="00461601">
      <w:pPr>
        <w:pStyle w:val="LineBottom"/>
      </w:pPr>
    </w:p>
    <w:p w:rsidR="00793EA9" w:rsidRPr="005E25C4" w:rsidRDefault="006F2F4F">
      <w:pPr>
        <w:pStyle w:val="CoverReference"/>
      </w:pPr>
      <w:r>
        <w:rPr>
          <w:rStyle w:val="HideTWBExt"/>
          <w:b w:val="0"/>
        </w:rPr>
        <w:t>&lt;RefProc&gt;</w:t>
      </w:r>
      <w:r>
        <w:t>2023/0404</w:t>
      </w:r>
      <w:r>
        <w:rPr>
          <w:rStyle w:val="HideTWBExt"/>
          <w:b w:val="0"/>
        </w:rPr>
        <w:t>&lt;/RefProc&gt;&lt;RefTypeProc&gt;</w:t>
      </w:r>
      <w:r>
        <w:t>(COD)</w:t>
      </w:r>
      <w:r>
        <w:rPr>
          <w:rStyle w:val="HideTWBExt"/>
          <w:b w:val="0"/>
        </w:rPr>
        <w:t>&lt;/RefTypeProc&gt;</w:t>
      </w:r>
    </w:p>
    <w:p w:rsidR="00793EA9" w:rsidRPr="005E25C4" w:rsidRDefault="006F2F4F">
      <w:pPr>
        <w:pStyle w:val="CoverDate"/>
      </w:pPr>
      <w:r>
        <w:rPr>
          <w:rStyle w:val="HideTWBExt"/>
        </w:rPr>
        <w:t>&lt;Date&gt;</w:t>
      </w:r>
      <w:r>
        <w:rPr>
          <w:rStyle w:val="HideTWBInt"/>
          <w:color w:val="auto"/>
        </w:rPr>
        <w:t>{20/12/2024}</w:t>
      </w:r>
      <w:r>
        <w:t>20.12.2024</w:t>
      </w:r>
      <w:r>
        <w:rPr>
          <w:rStyle w:val="HideTWBExt"/>
        </w:rPr>
        <w:t>&lt;/Date&gt;</w:t>
      </w:r>
    </w:p>
    <w:p w:rsidR="00793EA9" w:rsidRPr="005E25C4" w:rsidRDefault="006F2F4F">
      <w:pPr>
        <w:pStyle w:val="CoverDocType"/>
      </w:pPr>
      <w:r>
        <w:rPr>
          <w:rStyle w:val="HideTWBExt"/>
          <w:b w:val="0"/>
        </w:rPr>
        <w:t>&lt;RefProcLect&gt;</w:t>
      </w:r>
      <w:r>
        <w:t>***I</w:t>
      </w:r>
      <w:r>
        <w:rPr>
          <w:rStyle w:val="HideTWBExt"/>
          <w:b w:val="0"/>
        </w:rPr>
        <w:t>&lt;/RefProcLect&gt;</w:t>
      </w:r>
    </w:p>
    <w:p w:rsidR="00793EA9" w:rsidRPr="005E25C4" w:rsidRDefault="006F2F4F">
      <w:pPr>
        <w:pStyle w:val="CoverDocType24a"/>
      </w:pPr>
      <w:r>
        <w:rPr>
          <w:rStyle w:val="HideTWBExt"/>
          <w:b w:val="0"/>
        </w:rPr>
        <w:t>&lt;TitreType&gt;</w:t>
      </w:r>
      <w:r>
        <w:t>ZIŅOJUMA PROJEKTS</w:t>
      </w:r>
      <w:r>
        <w:rPr>
          <w:rStyle w:val="HideTWBExt"/>
          <w:b w:val="0"/>
        </w:rPr>
        <w:t>&lt;/TitreType&gt;</w:t>
      </w:r>
    </w:p>
    <w:p w:rsidR="00793EA9" w:rsidRPr="005E25C4" w:rsidRDefault="006F2F4F">
      <w:pPr>
        <w:pStyle w:val="CoverNormal"/>
      </w:pPr>
      <w:r>
        <w:rPr>
          <w:rStyle w:val="HideTWBExt"/>
        </w:rPr>
        <w:t>&lt;Titre&gt;</w:t>
      </w:r>
      <w:r>
        <w:t>par priekšlikumu Eiropas Parlamenta un Padomes regulai, ar ko izveido ES talantu fondu</w:t>
      </w:r>
      <w:r>
        <w:rPr>
          <w:rStyle w:val="HideTWBExt"/>
        </w:rPr>
        <w:t>&lt;/Titre&gt;</w:t>
      </w:r>
    </w:p>
    <w:p w:rsidR="00793EA9" w:rsidRPr="005E25C4" w:rsidRDefault="006F2F4F">
      <w:pPr>
        <w:pStyle w:val="CoverNormal24a"/>
      </w:pPr>
      <w:r>
        <w:rPr>
          <w:rStyle w:val="HideTWBExt"/>
        </w:rPr>
        <w:t>&lt;DocRef&gt;</w:t>
      </w:r>
      <w:r>
        <w:t>(COM(2023)0716 – C9</w:t>
      </w:r>
      <w:r>
        <w:noBreakHyphen/>
        <w:t>0413/2023 – 2023/0404(COD))</w:t>
      </w:r>
      <w:r>
        <w:rPr>
          <w:rStyle w:val="HideTWBExt"/>
        </w:rPr>
        <w:t>&lt;/DocRef&gt;</w:t>
      </w:r>
    </w:p>
    <w:p w:rsidR="00793EA9" w:rsidRPr="005E25C4" w:rsidRDefault="006F2F4F">
      <w:pPr>
        <w:pStyle w:val="CoverNormal24a"/>
      </w:pPr>
      <w:r>
        <w:rPr>
          <w:rStyle w:val="HideTWBExt"/>
        </w:rPr>
        <w:t>&lt;Commission&gt;</w:t>
      </w:r>
      <w:r>
        <w:rPr>
          <w:rStyle w:val="HideTWBInt"/>
          <w:color w:val="auto"/>
        </w:rPr>
        <w:t>{LIBE}</w:t>
      </w:r>
      <w:r>
        <w:t>Pilsoņu brīvību, tieslietu un iekšlietu k</w:t>
      </w:r>
      <w:r>
        <w:t>omiteja</w:t>
      </w:r>
      <w:r>
        <w:rPr>
          <w:rStyle w:val="HideTWBExt"/>
        </w:rPr>
        <w:t>&lt;/Commission&gt;</w:t>
      </w:r>
    </w:p>
    <w:p w:rsidR="00793EA9" w:rsidRPr="005E25C4" w:rsidRDefault="006F2F4F">
      <w:pPr>
        <w:pStyle w:val="CoverNormal24a"/>
      </w:pPr>
      <w:r>
        <w:t xml:space="preserve">Referente: </w:t>
      </w:r>
      <w:r>
        <w:rPr>
          <w:rStyle w:val="HideTWBExt"/>
        </w:rPr>
        <w:t>&lt;Depute&gt;</w:t>
      </w:r>
      <w:r>
        <w:rPr>
          <w:i/>
        </w:rPr>
        <w:t>Abir Al</w:t>
      </w:r>
      <w:r>
        <w:rPr>
          <w:i/>
        </w:rPr>
        <w:noBreakHyphen/>
        <w:t>Sahlani</w:t>
      </w:r>
      <w:r>
        <w:rPr>
          <w:rStyle w:val="HideTWBExt"/>
        </w:rPr>
        <w:t>&lt;/Depute&gt;</w:t>
      </w:r>
    </w:p>
    <w:p w:rsidR="001C5B44" w:rsidRPr="005E25C4" w:rsidRDefault="001C5B44" w:rsidP="001C5B44">
      <w:pPr>
        <w:pStyle w:val="CoverNormal"/>
      </w:pPr>
    </w:p>
    <w:p w:rsidR="004B69B0" w:rsidRDefault="006F2F4F" w:rsidP="00894923">
      <w:r>
        <w:br w:type="page"/>
      </w:r>
      <w:r>
        <w:lastRenderedPageBreak/>
        <w:fldChar w:fldCharType="begin"/>
      </w:r>
      <w:r>
        <w:instrText xml:space="preserve"> TITLE  \* MERGEFORMAT </w:instrText>
      </w:r>
      <w:r>
        <w:fldChar w:fldCharType="separate"/>
      </w:r>
      <w:r w:rsidRPr="006F2F4F">
        <w:rPr>
          <w:lang w:val="fr-FR"/>
        </w:rPr>
        <w:t>PR_COD_1amCom</w:t>
      </w:r>
      <w:r>
        <w:rPr>
          <w:lang w:val="fr-FR"/>
        </w:rPr>
        <w:fldChar w:fldCharType="end"/>
      </w:r>
    </w:p>
    <w:p w:rsidR="004B69B0" w:rsidRDefault="004B69B0" w:rsidP="00894923">
      <w:pPr>
        <w:rPr>
          <w:lang w:val="fr-FR"/>
        </w:rPr>
      </w:pPr>
    </w:p>
    <w:p w:rsidR="004B69B0" w:rsidRDefault="004B69B0"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07295">
        <w:tc>
          <w:tcPr>
            <w:tcW w:w="5811" w:type="dxa"/>
          </w:tcPr>
          <w:p w:rsidR="004B69B0" w:rsidRDefault="006F2F4F" w:rsidP="00894923">
            <w:pPr>
              <w:pStyle w:val="Lgendetitre"/>
            </w:pPr>
            <w:r>
              <w:t>Izmantoto apzīmējumu skaidrojums</w:t>
            </w:r>
          </w:p>
        </w:tc>
      </w:tr>
      <w:tr w:rsidR="00707295" w:rsidTr="00D17D7A">
        <w:trPr>
          <w:cantSplit/>
          <w:trHeight w:val="1807"/>
        </w:trPr>
        <w:tc>
          <w:tcPr>
            <w:tcW w:w="5811" w:type="dxa"/>
            <w:tcBorders>
              <w:bottom w:val="single" w:sz="4" w:space="0" w:color="auto"/>
            </w:tcBorders>
          </w:tcPr>
          <w:p w:rsidR="004B69B0" w:rsidRDefault="006F2F4F" w:rsidP="00224E1E">
            <w:pPr>
              <w:pStyle w:val="Lgendesigne"/>
              <w:rPr>
                <w:szCs w:val="24"/>
              </w:rPr>
            </w:pPr>
            <w:r>
              <w:tab/>
              <w:t>*</w:t>
            </w:r>
            <w:r>
              <w:tab/>
              <w:t>Apspriežu procedūra</w:t>
            </w:r>
          </w:p>
          <w:p w:rsidR="004B69B0" w:rsidRDefault="006F2F4F" w:rsidP="00224E1E">
            <w:pPr>
              <w:pStyle w:val="Lgendesigne"/>
              <w:rPr>
                <w:szCs w:val="24"/>
              </w:rPr>
            </w:pPr>
            <w:r>
              <w:tab/>
              <w:t>***</w:t>
            </w:r>
            <w:r>
              <w:tab/>
              <w:t>Piekrišanas procedūra</w:t>
            </w:r>
          </w:p>
          <w:p w:rsidR="004B69B0" w:rsidRDefault="006F2F4F" w:rsidP="00224E1E">
            <w:pPr>
              <w:pStyle w:val="Lgendesigne"/>
              <w:rPr>
                <w:szCs w:val="24"/>
              </w:rPr>
            </w:pPr>
            <w:r>
              <w:tab/>
              <w:t>***I</w:t>
            </w:r>
            <w:r>
              <w:tab/>
              <w:t>Parastā likumdošanas procedūra (pirmais lasījums)</w:t>
            </w:r>
          </w:p>
          <w:p w:rsidR="004B69B0" w:rsidRDefault="006F2F4F" w:rsidP="00224E1E">
            <w:pPr>
              <w:pStyle w:val="Lgendesigne"/>
              <w:rPr>
                <w:szCs w:val="24"/>
              </w:rPr>
            </w:pPr>
            <w:r>
              <w:tab/>
              <w:t>***II</w:t>
            </w:r>
            <w:r>
              <w:tab/>
            </w:r>
            <w:r>
              <w:t>Parastā likumdošanas procedūra (otrais lasījums)</w:t>
            </w:r>
          </w:p>
          <w:p w:rsidR="004B69B0" w:rsidRDefault="006F2F4F" w:rsidP="00224E1E">
            <w:pPr>
              <w:pStyle w:val="Lgendesigne"/>
              <w:rPr>
                <w:szCs w:val="24"/>
              </w:rPr>
            </w:pPr>
            <w:r>
              <w:tab/>
              <w:t>***III</w:t>
            </w:r>
            <w:r>
              <w:tab/>
              <w:t>Parastā likumdošanas procedūra (trešais lasījums)</w:t>
            </w:r>
          </w:p>
          <w:p w:rsidR="004B69B0" w:rsidRDefault="004B69B0" w:rsidP="00224E1E">
            <w:pPr>
              <w:pStyle w:val="Lgendestandard"/>
            </w:pPr>
          </w:p>
          <w:p w:rsidR="004B69B0" w:rsidRDefault="006F2F4F" w:rsidP="00224E1E">
            <w:pPr>
              <w:pStyle w:val="Lgendestandard"/>
            </w:pPr>
            <w:r>
              <w:t>(Norādītā procedūra pamatojas uz akta projektā ierosināto juridisko pamatu.)</w:t>
            </w:r>
          </w:p>
          <w:p w:rsidR="004B69B0" w:rsidRPr="006F2F4F" w:rsidRDefault="004B69B0" w:rsidP="00D17D7A">
            <w:pPr>
              <w:pStyle w:val="Lgendestandard"/>
            </w:pPr>
          </w:p>
        </w:tc>
      </w:tr>
    </w:tbl>
    <w:p w:rsidR="004B69B0" w:rsidRPr="006F2F4F" w:rsidRDefault="004B69B0" w:rsidP="00894923"/>
    <w:p w:rsidR="004B69B0" w:rsidRPr="006F2F4F" w:rsidRDefault="004B69B0" w:rsidP="00894923"/>
    <w:p w:rsidR="004B69B0" w:rsidRPr="006F2F4F" w:rsidRDefault="004B69B0" w:rsidP="00894923"/>
    <w:p w:rsidR="004B69B0" w:rsidRPr="006F2F4F" w:rsidRDefault="004B69B0"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07295">
        <w:tc>
          <w:tcPr>
            <w:tcW w:w="5811" w:type="dxa"/>
          </w:tcPr>
          <w:p w:rsidR="004B69B0" w:rsidRPr="00817843" w:rsidRDefault="006F2F4F" w:rsidP="00894923">
            <w:pPr>
              <w:pStyle w:val="Lgendetitre"/>
            </w:pPr>
            <w:r>
              <w:t>Grozījumi akta projektā</w:t>
            </w:r>
          </w:p>
        </w:tc>
      </w:tr>
      <w:tr w:rsidR="00707295" w:rsidTr="00802191">
        <w:trPr>
          <w:trHeight w:val="4213"/>
        </w:trPr>
        <w:tc>
          <w:tcPr>
            <w:tcW w:w="5811" w:type="dxa"/>
          </w:tcPr>
          <w:p w:rsidR="004B69B0" w:rsidRPr="002905C0" w:rsidRDefault="006F2F4F" w:rsidP="00D17D7A">
            <w:pPr>
              <w:pStyle w:val="Lgendestandard"/>
              <w:rPr>
                <w:szCs w:val="24"/>
              </w:rPr>
            </w:pPr>
            <w:r>
              <w:rPr>
                <w:b/>
              </w:rPr>
              <w:t xml:space="preserve">Parlamenta grozījumi, kas sagatavoti </w:t>
            </w:r>
            <w:r>
              <w:rPr>
                <w:b/>
              </w:rPr>
              <w:t>divās slejās</w:t>
            </w:r>
          </w:p>
          <w:p w:rsidR="004B69B0" w:rsidRDefault="004B69B0" w:rsidP="00D17D7A">
            <w:pPr>
              <w:pStyle w:val="Lgendestandard"/>
              <w:rPr>
                <w:szCs w:val="24"/>
              </w:rPr>
            </w:pPr>
          </w:p>
          <w:p w:rsidR="004B69B0" w:rsidRDefault="006F2F4F" w:rsidP="00D17D7A">
            <w:pPr>
              <w:pStyle w:val="Lgendestandard"/>
              <w:rPr>
                <w:szCs w:val="24"/>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Jauno tekstu iezīmē </w:t>
            </w:r>
            <w:r>
              <w:rPr>
                <w:b/>
                <w:i/>
              </w:rPr>
              <w:t>treknā slīprakstā</w:t>
            </w:r>
            <w:r>
              <w:t xml:space="preserve"> labajā slejā.</w:t>
            </w:r>
          </w:p>
          <w:p w:rsidR="004B69B0" w:rsidRDefault="004B69B0" w:rsidP="00D17D7A">
            <w:pPr>
              <w:pStyle w:val="Lgendestandard"/>
              <w:rPr>
                <w:szCs w:val="24"/>
              </w:rPr>
            </w:pPr>
          </w:p>
          <w:p w:rsidR="004B69B0" w:rsidRDefault="006F2F4F" w:rsidP="00D17D7A">
            <w:pPr>
              <w:pStyle w:val="Lgendestandard"/>
              <w:rPr>
                <w:szCs w:val="24"/>
              </w:rPr>
            </w:pPr>
            <w:r>
              <w:t>Pirms katra grozījuma ievietotā informācijas bloka pirmā un otrā</w:t>
            </w:r>
            <w:r>
              <w:t xml:space="preserve"> rinda norāda uz attiecīgo teksta daļu izskatāmajā akta projektā. Ja grozījums attiecas uz spēkā esošu aktu, ko paredzēts grozīt ar akta projektu, informācijas blokā papildus iekļauj trešo un ceturto rindu, kurās attiecīgi norāda spēkā esošo aktu un atbils</w:t>
            </w:r>
            <w:r>
              <w:t>tīgo teksta vienību tajā.</w:t>
            </w:r>
          </w:p>
          <w:p w:rsidR="004B69B0" w:rsidRDefault="004B69B0" w:rsidP="00D17D7A">
            <w:pPr>
              <w:pStyle w:val="Lgendestandard"/>
              <w:rPr>
                <w:szCs w:val="24"/>
              </w:rPr>
            </w:pPr>
          </w:p>
          <w:p w:rsidR="004B69B0" w:rsidRDefault="006F2F4F" w:rsidP="00D17D7A">
            <w:pPr>
              <w:pStyle w:val="Lgendestandard"/>
              <w:rPr>
                <w:b/>
                <w:szCs w:val="24"/>
              </w:rPr>
            </w:pPr>
            <w:r>
              <w:rPr>
                <w:b/>
              </w:rPr>
              <w:t>Parlamenta grozījumi, kas sagatavoti kā konsolidēts teksts</w:t>
            </w:r>
          </w:p>
          <w:p w:rsidR="004B69B0" w:rsidRDefault="004B69B0" w:rsidP="00D17D7A">
            <w:pPr>
              <w:pStyle w:val="Lgendestandard"/>
              <w:rPr>
                <w:szCs w:val="24"/>
              </w:rPr>
            </w:pPr>
          </w:p>
          <w:p w:rsidR="004B69B0" w:rsidRDefault="006F2F4F" w:rsidP="00D17D7A">
            <w:pPr>
              <w:pStyle w:val="Lgendestandard"/>
              <w:rPr>
                <w:szCs w:val="24"/>
              </w:rPr>
            </w:pPr>
            <w:r>
              <w:t xml:space="preserve">Jaunās teksta daļas iezīmē </w:t>
            </w:r>
            <w:r>
              <w:rPr>
                <w:b/>
                <w:i/>
              </w:rPr>
              <w:t>treknā slīprakstā</w:t>
            </w:r>
            <w:r>
              <w:t xml:space="preserve">. Svītrotās teksta daļas iezīmē ar simbolu ▌ vai pārsvītro. Aizstātās teksta daļas iezīmē, ierakstot jauno tekstu </w:t>
            </w:r>
            <w:r>
              <w:rPr>
                <w:b/>
                <w:i/>
              </w:rPr>
              <w:t>treknā slīp</w:t>
            </w:r>
            <w:r>
              <w:rPr>
                <w:b/>
                <w:i/>
              </w:rPr>
              <w:t>rakstā</w:t>
            </w:r>
            <w:r>
              <w:t xml:space="preserve"> un izdzēšot vai pārsvītrojot aizstāto tekstu.</w:t>
            </w:r>
          </w:p>
          <w:p w:rsidR="004B69B0" w:rsidRDefault="006F2F4F" w:rsidP="00D17D7A">
            <w:pPr>
              <w:pStyle w:val="Lgendestandard"/>
            </w:pPr>
            <w:r>
              <w:t>Tas neattiecas uz tīri tehniska rakstura grozījumiem, kurus izdara attiecīgie dienesti, gatavojot galīgo tekstu. Tie netiek iezīmēti.</w:t>
            </w:r>
          </w:p>
          <w:p w:rsidR="004B69B0" w:rsidRDefault="004B69B0" w:rsidP="0069092A">
            <w:pPr>
              <w:pStyle w:val="Lgendestandard"/>
              <w:rPr>
                <w:lang w:val="fr-FR"/>
              </w:rPr>
            </w:pPr>
          </w:p>
        </w:tc>
      </w:tr>
    </w:tbl>
    <w:p w:rsidR="004B69B0" w:rsidRDefault="004B69B0" w:rsidP="00894923">
      <w:pPr>
        <w:rPr>
          <w:lang w:val="fr-FR"/>
        </w:rPr>
      </w:pPr>
    </w:p>
    <w:p w:rsidR="00793EA9" w:rsidRPr="004B69B0" w:rsidRDefault="00793EA9" w:rsidP="00012351">
      <w:pPr>
        <w:widowControl/>
        <w:tabs>
          <w:tab w:val="center" w:pos="4677"/>
        </w:tabs>
      </w:pPr>
    </w:p>
    <w:p w:rsidR="00793EA9" w:rsidRPr="005E25C4" w:rsidRDefault="006F2F4F">
      <w:pPr>
        <w:pStyle w:val="TOCHeading"/>
      </w:pPr>
      <w:r>
        <w:br w:type="page"/>
      </w:r>
      <w:r>
        <w:lastRenderedPageBreak/>
        <w:t>SATURA RĀDĪTĀJS</w:t>
      </w:r>
    </w:p>
    <w:p w:rsidR="00793EA9" w:rsidRPr="005E25C4" w:rsidRDefault="006F2F4F">
      <w:pPr>
        <w:pStyle w:val="TOCPage"/>
      </w:pPr>
      <w:r>
        <w:t>Lpp.</w:t>
      </w:r>
    </w:p>
    <w:p w:rsidR="006F2F4F" w:rsidRDefault="006F2F4F">
      <w:pPr>
        <w:pStyle w:val="TOC1"/>
        <w:tabs>
          <w:tab w:val="right" w:leader="dot" w:pos="9060"/>
        </w:tabs>
        <w:rPr>
          <w:rFonts w:asciiTheme="minorHAnsi" w:eastAsiaTheme="minorEastAsia" w:hAnsiTheme="minorHAnsi" w:cstheme="minorBidi"/>
          <w:noProof/>
          <w:sz w:val="22"/>
          <w:szCs w:val="22"/>
          <w:lang w:val="en-GB"/>
        </w:rPr>
      </w:pPr>
      <w:r w:rsidRPr="005E25C4">
        <w:rPr>
          <w:b/>
        </w:rPr>
        <w:fldChar w:fldCharType="begin"/>
      </w:r>
      <w:r w:rsidRPr="005E25C4">
        <w:rPr>
          <w:b/>
        </w:rPr>
        <w:instrText xml:space="preserve"> TOC \t "PageHeading</w:instrText>
      </w:r>
      <w:r w:rsidR="004B69B0">
        <w:rPr>
          <w:b/>
        </w:rPr>
        <w:instrText>;</w:instrText>
      </w:r>
      <w:r w:rsidRPr="005E25C4">
        <w:rPr>
          <w:b/>
        </w:rPr>
        <w:instrText xml:space="preserve">1" </w:instrText>
      </w:r>
      <w:r w:rsidRPr="005E25C4">
        <w:rPr>
          <w:b/>
        </w:rPr>
        <w:fldChar w:fldCharType="separate"/>
      </w:r>
      <w:r>
        <w:rPr>
          <w:noProof/>
        </w:rPr>
        <w:t>EIROPAS PARLAMENTA NORMATĪVĀS REZOLŪCIJAS PROJEKTS</w:t>
      </w:r>
      <w:r>
        <w:rPr>
          <w:noProof/>
        </w:rPr>
        <w:tab/>
      </w:r>
      <w:r>
        <w:rPr>
          <w:noProof/>
        </w:rPr>
        <w:fldChar w:fldCharType="begin"/>
      </w:r>
      <w:r>
        <w:rPr>
          <w:noProof/>
        </w:rPr>
        <w:instrText xml:space="preserve"> PAGEREF _Toc188018277 \h </w:instrText>
      </w:r>
      <w:r>
        <w:rPr>
          <w:noProof/>
        </w:rPr>
      </w:r>
      <w:r>
        <w:rPr>
          <w:noProof/>
        </w:rPr>
        <w:fldChar w:fldCharType="separate"/>
      </w:r>
      <w:r>
        <w:rPr>
          <w:noProof/>
        </w:rPr>
        <w:t>5</w:t>
      </w:r>
      <w:r>
        <w:rPr>
          <w:noProof/>
        </w:rPr>
        <w:fldChar w:fldCharType="end"/>
      </w:r>
    </w:p>
    <w:p w:rsidR="006F2F4F" w:rsidRDefault="006F2F4F">
      <w:pPr>
        <w:pStyle w:val="TOC1"/>
        <w:tabs>
          <w:tab w:val="right" w:leader="dot" w:pos="9060"/>
        </w:tabs>
        <w:rPr>
          <w:rFonts w:asciiTheme="minorHAnsi" w:eastAsiaTheme="minorEastAsia" w:hAnsiTheme="minorHAnsi" w:cstheme="minorBidi"/>
          <w:noProof/>
          <w:sz w:val="22"/>
          <w:szCs w:val="22"/>
          <w:lang w:val="en-GB"/>
        </w:rPr>
      </w:pPr>
      <w:r>
        <w:rPr>
          <w:noProof/>
        </w:rPr>
        <w:t>PASKAIDROJUMS</w:t>
      </w:r>
      <w:r>
        <w:rPr>
          <w:noProof/>
        </w:rPr>
        <w:tab/>
      </w:r>
      <w:r>
        <w:rPr>
          <w:noProof/>
        </w:rPr>
        <w:fldChar w:fldCharType="begin"/>
      </w:r>
      <w:r>
        <w:rPr>
          <w:noProof/>
        </w:rPr>
        <w:instrText xml:space="preserve"> PAGEREF _Toc188018278 \h </w:instrText>
      </w:r>
      <w:r>
        <w:rPr>
          <w:noProof/>
        </w:rPr>
      </w:r>
      <w:r>
        <w:rPr>
          <w:noProof/>
        </w:rPr>
        <w:fldChar w:fldCharType="separate"/>
      </w:r>
      <w:r>
        <w:rPr>
          <w:noProof/>
        </w:rPr>
        <w:t>70</w:t>
      </w:r>
      <w:r>
        <w:rPr>
          <w:noProof/>
        </w:rPr>
        <w:fldChar w:fldCharType="end"/>
      </w:r>
    </w:p>
    <w:p w:rsidR="006F2F4F" w:rsidRDefault="006F2F4F">
      <w:pPr>
        <w:pStyle w:val="TOC1"/>
        <w:tabs>
          <w:tab w:val="right" w:leader="dot" w:pos="9060"/>
        </w:tabs>
        <w:rPr>
          <w:rFonts w:asciiTheme="minorHAnsi" w:eastAsiaTheme="minorEastAsia" w:hAnsiTheme="minorHAnsi" w:cstheme="minorBidi"/>
          <w:noProof/>
          <w:sz w:val="22"/>
          <w:szCs w:val="22"/>
          <w:lang w:val="en-GB"/>
        </w:rPr>
      </w:pPr>
      <w:r>
        <w:rPr>
          <w:noProof/>
        </w:rPr>
        <w:t>PIELIKUMS. VIENĪBAS VAI PERSONAS, NO KURĀM REFERENTE IR SAŅĒMUSI PIENESUMU</w:t>
      </w:r>
      <w:r>
        <w:rPr>
          <w:noProof/>
        </w:rPr>
        <w:tab/>
      </w:r>
      <w:r>
        <w:rPr>
          <w:noProof/>
        </w:rPr>
        <w:fldChar w:fldCharType="begin"/>
      </w:r>
      <w:r>
        <w:rPr>
          <w:noProof/>
        </w:rPr>
        <w:instrText xml:space="preserve"> PAGEREF _Toc188018279 \h </w:instrText>
      </w:r>
      <w:r>
        <w:rPr>
          <w:noProof/>
        </w:rPr>
      </w:r>
      <w:r>
        <w:rPr>
          <w:noProof/>
        </w:rPr>
        <w:fldChar w:fldCharType="separate"/>
      </w:r>
      <w:r>
        <w:rPr>
          <w:noProof/>
        </w:rPr>
        <w:t>73</w:t>
      </w:r>
      <w:r>
        <w:rPr>
          <w:noProof/>
        </w:rPr>
        <w:fldChar w:fldCharType="end"/>
      </w:r>
    </w:p>
    <w:p w:rsidR="002346B0" w:rsidRPr="005E25C4" w:rsidRDefault="006F2F4F" w:rsidP="00C23324">
      <w:r w:rsidRPr="005E25C4">
        <w:rPr>
          <w:b/>
        </w:rPr>
        <w:fldChar w:fldCharType="end"/>
      </w:r>
    </w:p>
    <w:p w:rsidR="00793EA9" w:rsidRPr="005E25C4" w:rsidRDefault="006F2F4F">
      <w:pPr>
        <w:pStyle w:val="PageHeading"/>
      </w:pPr>
      <w:r>
        <w:br w:type="page"/>
      </w:r>
      <w:r>
        <w:lastRenderedPageBreak/>
        <w:br w:type="page"/>
      </w:r>
      <w:bookmarkStart w:id="1" w:name="_Toc188018277"/>
      <w:r>
        <w:lastRenderedPageBreak/>
        <w:t>EIROPAS PARLAMENTA NORMATĪVĀS REZOLŪCIJAS PROJEKTS</w:t>
      </w:r>
      <w:bookmarkEnd w:id="1"/>
    </w:p>
    <w:p w:rsidR="00793EA9" w:rsidRPr="005E25C4" w:rsidRDefault="006F2F4F">
      <w:pPr>
        <w:pStyle w:val="NormalBold"/>
      </w:pPr>
      <w:r>
        <w:t>par priekšlikumu Eiropas Parlamenta un Padomes regulai, ar ko izveido ES talantu fondu</w:t>
      </w:r>
    </w:p>
    <w:p w:rsidR="00793EA9" w:rsidRPr="005E25C4" w:rsidRDefault="006F2F4F">
      <w:pPr>
        <w:pStyle w:val="NormalBold12a"/>
      </w:pPr>
      <w:r>
        <w:t>(COM(2023)0716 – C9</w:t>
      </w:r>
      <w:r>
        <w:noBreakHyphen/>
        <w:t>0413/2023 – 2023/0404(COD))</w:t>
      </w:r>
    </w:p>
    <w:p w:rsidR="00793EA9" w:rsidRPr="005E25C4" w:rsidRDefault="006F2F4F" w:rsidP="00A910C9">
      <w:pPr>
        <w:pStyle w:val="NormalBold"/>
      </w:pPr>
      <w:r>
        <w:t>(Parastā likumdošanas procedūra: pirmais lasījums)</w:t>
      </w:r>
    </w:p>
    <w:p w:rsidR="00793EA9" w:rsidRPr="005E25C4" w:rsidRDefault="006F2F4F" w:rsidP="00A910C9">
      <w:pPr>
        <w:pStyle w:val="EPComma"/>
      </w:pPr>
      <w:r>
        <w:rPr>
          <w:i/>
        </w:rPr>
        <w:t>Eiropas Parlaments</w:t>
      </w:r>
      <w:r>
        <w:t>,</w:t>
      </w:r>
    </w:p>
    <w:p w:rsidR="00793EA9" w:rsidRPr="005E25C4" w:rsidRDefault="006F2F4F">
      <w:pPr>
        <w:pStyle w:val="NormalHanging12a"/>
      </w:pPr>
      <w:r>
        <w:t>–</w:t>
      </w:r>
      <w:r>
        <w:tab/>
        <w:t>ņemot vērā Komisijas priekšlikumu Eiropas Parlamentam un Padomei (COM(2023)0716),</w:t>
      </w:r>
    </w:p>
    <w:p w:rsidR="00793EA9" w:rsidRPr="005E25C4" w:rsidRDefault="006F2F4F">
      <w:pPr>
        <w:pStyle w:val="NormalHanging12a"/>
      </w:pPr>
      <w:r>
        <w:t>–</w:t>
      </w:r>
      <w:r>
        <w:tab/>
        <w:t>ņemot vērā Līguma par Eiropas Savienības darbību 294. panta 2. punktu un 79. panta 2. punkta a) ap</w:t>
      </w:r>
      <w:r>
        <w:t>akšpunktu, saskaņā ar kuriem Komisija tam ir iesniegusi priekšlikumu (C10</w:t>
      </w:r>
      <w:r>
        <w:noBreakHyphen/>
        <w:t>0413/2023),</w:t>
      </w:r>
    </w:p>
    <w:p w:rsidR="00A26F46" w:rsidRPr="005E25C4" w:rsidRDefault="006F2F4F" w:rsidP="00A26F46">
      <w:pPr>
        <w:pStyle w:val="NormalHanging12a"/>
      </w:pPr>
      <w:r>
        <w:t>–</w:t>
      </w:r>
      <w:r>
        <w:tab/>
        <w:t>ņemot vērā Līguma par Eiropas Savienības darbību 294. panta 3. punktu,</w:t>
      </w:r>
    </w:p>
    <w:p w:rsidR="004B69B0" w:rsidRDefault="006F2F4F" w:rsidP="00AD7FA6">
      <w:pPr>
        <w:pStyle w:val="NormalHanging12a"/>
      </w:pPr>
      <w:r>
        <w:t>–</w:t>
      </w:r>
      <w:r>
        <w:tab/>
        <w:t>ņemot vērā Eiropas Ekonomikas un sociālo lietu komitejas 2024. gada 25. aprīļa atzinumu</w:t>
      </w:r>
      <w:r>
        <w:rPr>
          <w:rStyle w:val="FootnoteReference"/>
        </w:rPr>
        <w:footnoteReference w:id="1"/>
      </w:r>
      <w:r>
        <w:t>,</w:t>
      </w:r>
    </w:p>
    <w:p w:rsidR="00793EA9" w:rsidRPr="005E25C4" w:rsidRDefault="006F2F4F">
      <w:pPr>
        <w:pStyle w:val="NormalHanging12a"/>
      </w:pPr>
      <w:r>
        <w:t>–</w:t>
      </w:r>
      <w:r>
        <w:tab/>
        <w:t>ņem</w:t>
      </w:r>
      <w:r>
        <w:t>ot vērā Reglamenta 60. pantu,</w:t>
      </w:r>
    </w:p>
    <w:p w:rsidR="006A2F5D" w:rsidRPr="005E25C4" w:rsidRDefault="006F2F4F" w:rsidP="006A2F5D">
      <w:pPr>
        <w:pStyle w:val="NormalHanging12a"/>
      </w:pPr>
      <w:r>
        <w:t>–</w:t>
      </w:r>
      <w:r>
        <w:tab/>
        <w:t>ņemot vērā Attīstības komitejas, Nodarbinātības un sociālo lietu komitejas un Kultūras un izglītības komitejas atzinumus,</w:t>
      </w:r>
    </w:p>
    <w:p w:rsidR="006A2F5D" w:rsidRPr="005E25C4" w:rsidRDefault="006F2F4F" w:rsidP="006A2F5D">
      <w:pPr>
        <w:pStyle w:val="NormalHanging12a"/>
      </w:pPr>
      <w:r>
        <w:t>–</w:t>
      </w:r>
      <w:r>
        <w:tab/>
        <w:t>ņemot vērā Pilsoņu brīvību, tieslietu un iekšlietu komitejas ziņojumu (A10</w:t>
      </w:r>
      <w:r>
        <w:noBreakHyphen/>
        <w:t>0000/2025),</w:t>
      </w:r>
    </w:p>
    <w:p w:rsidR="009F6C2F" w:rsidRPr="005E25C4" w:rsidRDefault="006F2F4F" w:rsidP="009F6C2F">
      <w:pPr>
        <w:pStyle w:val="NormalHanging12a"/>
      </w:pPr>
      <w:r>
        <w:t>1.</w:t>
      </w:r>
      <w:r>
        <w:tab/>
        <w:t>pieņem pir</w:t>
      </w:r>
      <w:r>
        <w:t>majā lasījumā turpmāk izklāstīto nostāju;</w:t>
      </w:r>
    </w:p>
    <w:p w:rsidR="009F6C2F" w:rsidRPr="005E25C4" w:rsidRDefault="006F2F4F" w:rsidP="009F6C2F">
      <w:pPr>
        <w:pStyle w:val="NormalHanging12a"/>
      </w:pPr>
      <w:r>
        <w:t>2.</w:t>
      </w:r>
      <w:r>
        <w:tab/>
        <w:t>prasa Komisijai priekšlikumu Parlamentam iesniegt vēlreiz, ja tā savu priekšlikumu aizstāj, būtiski groza vai ir paredzējusi to būtiski grozīt;</w:t>
      </w:r>
    </w:p>
    <w:p w:rsidR="009F6C2F" w:rsidRPr="005E25C4" w:rsidRDefault="006F2F4F" w:rsidP="009F6C2F">
      <w:pPr>
        <w:pStyle w:val="NormalHanging12a"/>
      </w:pPr>
      <w:r>
        <w:t>3.</w:t>
      </w:r>
      <w:r>
        <w:tab/>
        <w:t>uzdod priekšsēdētājai Parlamenta nostāju nosūtīt Padomei un Komi</w:t>
      </w:r>
      <w:r>
        <w:t>sijai, kā arī dalībvalstu parlamentiem.</w:t>
      </w:r>
    </w:p>
    <w:p w:rsidR="00D30DE2" w:rsidRPr="005E25C4" w:rsidRDefault="00D30DE2" w:rsidP="00D30DE2"/>
    <w:p w:rsidR="002669B6" w:rsidRPr="005E25C4" w:rsidRDefault="006F2F4F" w:rsidP="00212B84">
      <w:pPr>
        <w:pStyle w:val="AmNumberTabs"/>
        <w:keepNext/>
      </w:pPr>
      <w:r>
        <w:rPr>
          <w:rStyle w:val="HideTWBExt"/>
          <w:b w:val="0"/>
        </w:rPr>
        <w:t>&lt;RepeatBlock-Amend&gt;</w:t>
      </w:r>
      <w:bookmarkStart w:id="2" w:name="restart"/>
      <w:r>
        <w:rPr>
          <w:rStyle w:val="HideTWBExt"/>
          <w:b w:val="0"/>
        </w:rPr>
        <w:t>&lt;Amend&gt;</w:t>
      </w:r>
      <w:r>
        <w:t>Grozījums Nr.</w:t>
      </w:r>
      <w:r>
        <w:tab/>
      </w:r>
      <w:r>
        <w:tab/>
      </w:r>
      <w:r>
        <w:rPr>
          <w:rStyle w:val="HideTWBExt"/>
          <w:b w:val="0"/>
        </w:rPr>
        <w:t>&lt;NumAm&gt;</w:t>
      </w:r>
      <w:r>
        <w:t>1</w:t>
      </w:r>
      <w:r>
        <w:rPr>
          <w:rStyle w:val="HideTWBExt"/>
          <w:b w:val="0"/>
        </w:rPr>
        <w:t>&lt;/NumAm&gt;</w:t>
      </w:r>
    </w:p>
    <w:p w:rsidR="002669B6" w:rsidRPr="005E25C4" w:rsidRDefault="006F2F4F" w:rsidP="00212B84">
      <w:pPr>
        <w:pStyle w:val="NormalBold12b"/>
        <w:keepNext/>
      </w:pPr>
      <w:r>
        <w:rPr>
          <w:rStyle w:val="HideTWBExt"/>
          <w:b w:val="0"/>
        </w:rPr>
        <w:t>&lt;DocAmend&gt;</w:t>
      </w:r>
      <w:r>
        <w:t>Regulas priekšlikums</w:t>
      </w:r>
      <w:r>
        <w:rPr>
          <w:rStyle w:val="HideTWBExt"/>
          <w:b w:val="0"/>
        </w:rPr>
        <w:t>&lt;/DocAmend&gt;</w:t>
      </w:r>
    </w:p>
    <w:bookmarkEnd w:id="2"/>
    <w:p w:rsidR="004B69B0" w:rsidRPr="00823585" w:rsidRDefault="006F2F4F" w:rsidP="004B69B0">
      <w:pPr>
        <w:pStyle w:val="NormalBold"/>
      </w:pPr>
      <w:r>
        <w:rPr>
          <w:rStyle w:val="HideTWBExt"/>
        </w:rPr>
        <w:t>&lt;Article&gt;</w:t>
      </w:r>
      <w:r>
        <w:t>1.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t>Savienība un atsevišķas dalībvalstis</w:t>
            </w:r>
            <w:r>
              <w:t xml:space="preserve"> </w:t>
            </w:r>
            <w:r>
              <w:lastRenderedPageBreak/>
              <w:t>saskaras ar darbinieku trūkumu daudzās nozarēs un profesijās, ieskaitot tajās, kas saistītas ar zaļo un digitālo pārkārtošanos. Ievērojams darbinieku trūkums būvniecības, veselības aprūpes, viesmīlības, transporta, informācijas un komunikācijas tehnoloģij</w:t>
            </w:r>
            <w:r>
              <w:t>u un zinātnes tehnoloģiju, inženierzinātņu un matemātikas nozarēs ir jau ilgstošs, un to ir saasinājusi Covid-19 pandēmija un zaļās un digitālās pārkārtošanās procesu paātrināšanās. Paredzams, ka darbaspēka trūkums turpināsies un, iespējams, saasināsies, ņ</w:t>
            </w:r>
            <w:r>
              <w:t>emot vērā demogrāfiskās problēmas.</w:t>
            </w:r>
          </w:p>
        </w:tc>
        <w:tc>
          <w:tcPr>
            <w:tcW w:w="4876" w:type="dxa"/>
            <w:hideMark/>
          </w:tcPr>
          <w:p w:rsidR="004B69B0" w:rsidRPr="00823585" w:rsidRDefault="006F2F4F" w:rsidP="00F175A1">
            <w:pPr>
              <w:pStyle w:val="Normal6"/>
              <w:rPr>
                <w:szCs w:val="24"/>
              </w:rPr>
            </w:pPr>
            <w:r>
              <w:lastRenderedPageBreak/>
              <w:t>(1)</w:t>
            </w:r>
            <w:r>
              <w:tab/>
              <w:t xml:space="preserve">Savienība un atsevišķas dalībvalstis </w:t>
            </w:r>
            <w:r>
              <w:lastRenderedPageBreak/>
              <w:t>saskaras ar darbinieku trūkumu daudzās nozarēs un profesijās, ieskaitot tajās, kas saistītas ar zaļo un digitālo pārkārtošanos.</w:t>
            </w:r>
            <w:r>
              <w:rPr>
                <w:b/>
                <w:i/>
              </w:rPr>
              <w:t xml:space="preserve"> Ir acīmredzams, ka darbaspēka trūkuma novēršanai ir </w:t>
            </w:r>
            <w:r>
              <w:rPr>
                <w:b/>
                <w:i/>
              </w:rPr>
              <w:t>vajadzīgas visu līmeņu prasmes.</w:t>
            </w:r>
            <w:r>
              <w:t xml:space="preserve"> Ievērojams darbinieku trūkums būvniecības, veselības aprūpes, viesmīlības, transporta, informācijas un komunikācijas tehnoloģiju un zinātnes tehnoloģiju, inženierzinātņu un matemātikas nozarēs ir jau ilgstošs, un to ir saasi</w:t>
            </w:r>
            <w:r>
              <w:t>nājusi Covid-19 pandēmija un zaļās un digitālās pārkārtošanās procesu paātrināšanās. Paredzams</w:t>
            </w:r>
            <w:r>
              <w:rPr>
                <w:b/>
                <w:i/>
              </w:rPr>
              <w:t xml:space="preserve"> arī</w:t>
            </w:r>
            <w:r>
              <w:t xml:space="preserve">, ka darbaspēka trūkums turpināsies un, iespējams, saasināsies, ņemot vērā demogrāfiskās problēmas. </w:t>
            </w:r>
            <w:r>
              <w:rPr>
                <w:b/>
                <w:i/>
              </w:rPr>
              <w:t xml:space="preserve">Turklāt klimata pārmaiņas ietekmē migrācijas tendences un </w:t>
            </w:r>
            <w:r>
              <w:rPr>
                <w:b/>
                <w:i/>
              </w:rPr>
              <w:t>stimulē dzinējfaktorus. Tā kā migrācija ir dabisks fenomens, kas pastāvēs vienmēr, ir nepieciešama kopēja Eiropas pieeja darbaspēka migrācijai, lai nodrošinātu lielāku skaitu likumīgu kanālu uz Eiropu. Savienības pievilcība un atvērtība noteiks to, kādā mē</w:t>
            </w:r>
            <w:r>
              <w:rPr>
                <w:b/>
                <w:i/>
              </w:rPr>
              <w:t>rā Savienība spēs globāli konkurēt talantu piesaistē, vienlaikus veicinot un uzturot starptautiskus darba standartus.</w:t>
            </w:r>
          </w:p>
        </w:tc>
      </w:tr>
    </w:tbl>
    <w:p w:rsidR="004B69B0" w:rsidRPr="006F2F4F" w:rsidRDefault="006F2F4F" w:rsidP="004B69B0">
      <w:pPr>
        <w:pStyle w:val="Olang"/>
      </w:pPr>
      <w:r w:rsidRPr="006F2F4F">
        <w:rPr>
          <w:noProof w:val="0"/>
        </w:rPr>
        <w:lastRenderedPageBreak/>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2</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 xml:space="preserve">2. </w:t>
      </w:r>
      <w:r>
        <w:t>apsvērums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t xml:space="preserve">Lai risinātu darbaspēka trūkuma problēmu, ir vajadzīga visaptveroša pieeja Savienības un valstu līmenī, kas prioritāri nodrošina to darbaspēka grupu potenciāla labāku izmantošanu, kurām ir </w:t>
            </w:r>
            <w:r>
              <w:t xml:space="preserve">mazāka iesaiste darba tirgū, esošā darbaspēka pārkvalifikāciju un kvalifikācijas celšanu, darbaspēka mobilitātes veicināšanu ES iekšienē, kā arī darba apstākļu un noteiktu </w:t>
            </w:r>
            <w:r>
              <w:lastRenderedPageBreak/>
              <w:t>profesiju pievilcības uzlabošanu. Ņemot vērā pašreizējo darbaspēka trūkumu darba tir</w:t>
            </w:r>
            <w:r>
              <w:t xml:space="preserve">gū un demogrāfiskās tendences, ar pasākumiem, kas vērsti tikai uz iekšzemes un Savienības darbaspēku, </w:t>
            </w:r>
            <w:r>
              <w:rPr>
                <w:b/>
                <w:i/>
              </w:rPr>
              <w:t xml:space="preserve">visticamāk, </w:t>
            </w:r>
            <w:r>
              <w:t xml:space="preserve">nepietiks, lai risinātu pašreizējo un turpmāko darbaspēka un prasmju trūkumu. Tāpēc likumīga migrācija ir </w:t>
            </w:r>
            <w:r>
              <w:rPr>
                <w:b/>
                <w:i/>
              </w:rPr>
              <w:t>galvenais</w:t>
            </w:r>
            <w:r>
              <w:t xml:space="preserve"> priekšnoteikums šo darbību</w:t>
            </w:r>
            <w:r>
              <w:t xml:space="preserve"> papildināšanai, un tai ir jābūt daļai no risinājuma divējādās pārkārtošanās pilnīgam atbalstam.</w:t>
            </w:r>
          </w:p>
        </w:tc>
        <w:tc>
          <w:tcPr>
            <w:tcW w:w="4876" w:type="dxa"/>
            <w:hideMark/>
          </w:tcPr>
          <w:p w:rsidR="004B69B0" w:rsidRPr="00823585" w:rsidRDefault="006F2F4F" w:rsidP="00F175A1">
            <w:pPr>
              <w:pStyle w:val="Normal6"/>
              <w:rPr>
                <w:szCs w:val="24"/>
              </w:rPr>
            </w:pPr>
            <w:r>
              <w:lastRenderedPageBreak/>
              <w:t>(2)</w:t>
            </w:r>
            <w:r>
              <w:tab/>
              <w:t>Lai risinātu darbaspēka trūkuma problēmu, ir vajadzīga visaptveroša pieeja Savienības un valstu līmenī, kas prioritāri nodrošina to darbaspēka grupu potenc</w:t>
            </w:r>
            <w:r>
              <w:t xml:space="preserve">iāla labāku izmantošanu, kurām ir mazāka iesaiste darba tirgū, esošā darbaspēka pārkvalifikāciju un kvalifikācijas celšanu, darbaspēka mobilitātes veicināšanu ES iekšienē, kā arī darba apstākļu un noteiktu </w:t>
            </w:r>
            <w:r>
              <w:lastRenderedPageBreak/>
              <w:t xml:space="preserve">profesiju pievilcības uzlabošanu. </w:t>
            </w:r>
            <w:r>
              <w:rPr>
                <w:b/>
                <w:i/>
              </w:rPr>
              <w:t xml:space="preserve">Tomēr, </w:t>
            </w:r>
            <w:r>
              <w:t>ņemot vēr</w:t>
            </w:r>
            <w:r>
              <w:t>ā pašreizējo darbaspēka trūkumu darba tirgū un demogrāfiskās tendences, ar pasākumiem, kas vērsti tikai uz iekšzemes un Savienības darbaspēku, nepietiks, lai risinātu pašreizējo un turpmāko darbaspēka un prasmju trūkumu.</w:t>
            </w:r>
            <w:r>
              <w:rPr>
                <w:b/>
                <w:i/>
              </w:rPr>
              <w:t xml:space="preserve"> Komisija lēš, ka darbspējīgā vecumā</w:t>
            </w:r>
            <w:r>
              <w:rPr>
                <w:b/>
                <w:i/>
              </w:rPr>
              <w:t xml:space="preserve"> esošo iedzīvotāju skaita samazināšanās dēļ Eiropā, pienākot 2030. gadam, būs nepieciešami vēl vismaz 7 miljoni cilvēku.</w:t>
            </w:r>
            <w:r>
              <w:t xml:space="preserve"> Tāpēc likumīga migrācija ir </w:t>
            </w:r>
            <w:r>
              <w:rPr>
                <w:b/>
                <w:i/>
              </w:rPr>
              <w:t>svarīgs</w:t>
            </w:r>
            <w:r>
              <w:t xml:space="preserve"> priekšnoteikums šo darbību papildināšanai, un tai ir jābūt daļai no risinājuma divējādās pārkārtoša</w:t>
            </w:r>
            <w:r>
              <w:t>nās pilnīgam atbalstam</w:t>
            </w:r>
            <w:r>
              <w:rPr>
                <w:b/>
                <w:i/>
              </w:rPr>
              <w:t>, kā arī jānodrošina pastāvīga sociālās drošības sistēmu kvalitāte un ekonomikas izaugsme</w:t>
            </w:r>
            <w:r>
              <w:t>.</w:t>
            </w:r>
          </w:p>
        </w:tc>
      </w:tr>
    </w:tbl>
    <w:p w:rsidR="004B69B0" w:rsidRPr="006F2F4F" w:rsidRDefault="006F2F4F" w:rsidP="004B69B0">
      <w:pPr>
        <w:pStyle w:val="Olang"/>
      </w:pPr>
      <w:r w:rsidRPr="006F2F4F">
        <w:rPr>
          <w:noProof w:val="0"/>
        </w:rPr>
        <w:lastRenderedPageBreak/>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3</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 xml:space="preserve">3. </w:t>
      </w:r>
      <w:r>
        <w:t>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w:t>
            </w:r>
            <w:r>
              <w:tab/>
              <w:t xml:space="preserve">Lai atvieglotu darbā pieņemšanu starptautiskā mērogā un nodrošinātu trešo valstu valstspiederīgajiem iespējas strādāt profesijās, kurās ES trūkst darbaspēka, </w:t>
            </w:r>
            <w:r>
              <w:rPr>
                <w:b/>
                <w:i/>
              </w:rPr>
              <w:t>būtu jāizveido ES talantu fonds</w:t>
            </w:r>
            <w:r>
              <w:t xml:space="preserve"> kā Savienības mēroga platforma</w:t>
            </w:r>
            <w:r>
              <w:rPr>
                <w:b/>
                <w:i/>
              </w:rPr>
              <w:t>, kas apvieno</w:t>
            </w:r>
            <w:r>
              <w:t xml:space="preserve"> un </w:t>
            </w:r>
            <w:r>
              <w:rPr>
                <w:b/>
                <w:i/>
              </w:rPr>
              <w:t>atbalsta</w:t>
            </w:r>
            <w:r>
              <w:t xml:space="preserve"> reģistrēto trešo valstu darba meklētāju, kuri uzturas ārpus Savienības, profilu piemeklēšanu </w:t>
            </w:r>
            <w:r>
              <w:rPr>
                <w:b/>
                <w:i/>
              </w:rPr>
              <w:t xml:space="preserve">iesaistītajās </w:t>
            </w:r>
            <w:r>
              <w:t xml:space="preserve">dalībvalstīs </w:t>
            </w:r>
            <w:r>
              <w:rPr>
                <w:b/>
                <w:i/>
              </w:rPr>
              <w:t>reģistrēto</w:t>
            </w:r>
            <w:r>
              <w:t xml:space="preserve"> darba devēju vakancēm.</w:t>
            </w:r>
          </w:p>
        </w:tc>
        <w:tc>
          <w:tcPr>
            <w:tcW w:w="4876" w:type="dxa"/>
            <w:hideMark/>
          </w:tcPr>
          <w:p w:rsidR="004B69B0" w:rsidRPr="00823585" w:rsidRDefault="006F2F4F" w:rsidP="00F175A1">
            <w:pPr>
              <w:pStyle w:val="Normal6"/>
              <w:rPr>
                <w:szCs w:val="24"/>
              </w:rPr>
            </w:pPr>
            <w:r>
              <w:t>(3)</w:t>
            </w:r>
            <w:r>
              <w:tab/>
              <w:t>Lai atvieglotu darbā pieņemšanu starptaut</w:t>
            </w:r>
            <w:r>
              <w:t xml:space="preserve">iskā mērogā un nodrošinātu trešo valstu valstspiederīgajiem iespējas strādāt profesijās, kurās ES trūkst darbaspēka, </w:t>
            </w:r>
            <w:r>
              <w:rPr>
                <w:b/>
                <w:i/>
              </w:rPr>
              <w:t>ir kritiski svarīgi nodrošināt labvēlīgu vidi un atvērtību darba migrantiem kā iekšzemes darbaspēka papildinošam un savstarpēji izdevīgam p</w:t>
            </w:r>
            <w:r>
              <w:rPr>
                <w:b/>
                <w:i/>
              </w:rPr>
              <w:t>ienesumam. Tas prasa pilnīgu piedāvājumu potenciālajiem darba migrantiem, proti, pakalpojumus pēc ierašanās, piemēram, integrēšanās atbalstu, prasmju pilnveidi, infrastruktūru, ģimenes atkalapvienošanos, bērnu aprūpi un veselības aprūpi, kā arī patiesus da</w:t>
            </w:r>
            <w:r>
              <w:rPr>
                <w:b/>
                <w:i/>
              </w:rPr>
              <w:t xml:space="preserve">lībvalstu centienus apkarot ksenofobijas izpausmes. Tas ietver arī taisnīgas darbā pieņemšanas prakses veicināšanu saskaņā ar Starptautiskās </w:t>
            </w:r>
            <w:r>
              <w:rPr>
                <w:b/>
                <w:i/>
              </w:rPr>
              <w:lastRenderedPageBreak/>
              <w:t>Darba organizācijas (SDO) Vispārīgajiem taisnīgas darbā pieņemšanas principiem un darbības vadlīnijām un darbā pieņ</w:t>
            </w:r>
            <w:r>
              <w:rPr>
                <w:b/>
                <w:i/>
              </w:rPr>
              <w:t>emšanas maksu un saistīto izmaksu noteikšanu (SDO Vispārīgie taisnīgas darbā pieņemšanas principi un darbības vadlīnijas). Minētajā paketē, kuras mērķis ir sekmēt darba piemeklēšanu starptautiskā mērogā, veicināt taisnīgas darbā pieņemšanas praksi un stipr</w:t>
            </w:r>
            <w:r>
              <w:rPr>
                <w:b/>
                <w:i/>
              </w:rPr>
              <w:t>ināt migrējošu darba ņēmēju aizsardzību,</w:t>
            </w:r>
            <w:r>
              <w:t xml:space="preserve"> kā Savienības mēroga platforma</w:t>
            </w:r>
            <w:r>
              <w:rPr>
                <w:b/>
                <w:i/>
              </w:rPr>
              <w:t xml:space="preserve"> būtu jāizveido ES Talantu fonds. Dalībai platformā dalībvalstīm vajadzētu būt obligātai, bet tās izmantošanai darba devējiem un trešo valstu valstspiederīgajiem — brīvprātīgai. Platfor</w:t>
            </w:r>
            <w:r>
              <w:rPr>
                <w:b/>
                <w:i/>
              </w:rPr>
              <w:t>ma varētu palīdzēt apvienot</w:t>
            </w:r>
            <w:r>
              <w:t xml:space="preserve"> un </w:t>
            </w:r>
            <w:r>
              <w:rPr>
                <w:b/>
                <w:i/>
              </w:rPr>
              <w:t>atbalstīt</w:t>
            </w:r>
            <w:r>
              <w:t xml:space="preserve"> reģistrēto trešo valstu darba meklētāju, kuri uzturas ārpus Savienības, profilu piemeklēšanu dalībvalstīs </w:t>
            </w:r>
            <w:r>
              <w:rPr>
                <w:b/>
                <w:i/>
              </w:rPr>
              <w:t>iedibinātu</w:t>
            </w:r>
            <w:r>
              <w:t xml:space="preserve"> darba devēju </w:t>
            </w:r>
            <w:r>
              <w:rPr>
                <w:b/>
                <w:i/>
              </w:rPr>
              <w:t xml:space="preserve">darba </w:t>
            </w:r>
            <w:r>
              <w:t>vakancēm</w:t>
            </w:r>
            <w:r>
              <w:rPr>
                <w:b/>
                <w:i/>
              </w:rPr>
              <w:t>, prakses vakancēm un stažēšanās vakancēm (“vakancēm”)</w:t>
            </w:r>
            <w:r>
              <w:t>.</w:t>
            </w:r>
          </w:p>
        </w:tc>
      </w:tr>
    </w:tbl>
    <w:p w:rsidR="004B69B0" w:rsidRPr="006F2F4F" w:rsidRDefault="006F2F4F" w:rsidP="004B69B0">
      <w:pPr>
        <w:pStyle w:val="Olang"/>
      </w:pPr>
      <w:r w:rsidRPr="006F2F4F">
        <w:rPr>
          <w:noProof w:val="0"/>
        </w:rPr>
        <w:lastRenderedPageBreak/>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4</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4.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(4)</w:t>
            </w:r>
            <w:r>
              <w:tab/>
              <w:t>Komisijas ieteikums par likumīgiem kanāliem aizsardzības iegūšanai ES</w:t>
            </w:r>
            <w:r>
              <w:rPr>
                <w:vertAlign w:val="superscript"/>
              </w:rPr>
              <w:t>4</w:t>
            </w:r>
            <w:r>
              <w:t xml:space="preserve"> rosina dalībvalstis ieviest un atbalstīt papildu darbaspēka migrācijas kanālus personām, kurām nepieciešama starptautiskā aizsardzība</w:t>
            </w:r>
            <w:r>
              <w:rPr>
                <w:vertAlign w:val="superscript"/>
              </w:rPr>
              <w:t>5</w:t>
            </w:r>
            <w:r>
              <w:t xml:space="preserve">. ES talantu fonds </w:t>
            </w:r>
            <w:r>
              <w:rPr>
                <w:b/>
                <w:i/>
              </w:rPr>
              <w:t>varētu arī atbalstīt papildu kanālu</w:t>
            </w:r>
            <w:r>
              <w:t xml:space="preserve"> praktisku nodrošināšanu</w:t>
            </w:r>
          </w:p>
        </w:tc>
        <w:tc>
          <w:tcPr>
            <w:tcW w:w="4876" w:type="dxa"/>
            <w:hideMark/>
          </w:tcPr>
          <w:p w:rsidR="004B69B0" w:rsidRPr="00823585" w:rsidRDefault="006F2F4F" w:rsidP="00F175A1">
            <w:pPr>
              <w:pStyle w:val="Normal6"/>
              <w:rPr>
                <w:szCs w:val="24"/>
              </w:rPr>
            </w:pPr>
            <w:r>
              <w:t>(4)</w:t>
            </w:r>
            <w:r>
              <w:tab/>
              <w:t>Komisijas ieteikums par likumīgiem ka</w:t>
            </w:r>
            <w:r>
              <w:t>nāliem aizsardzības iegūšanai ES</w:t>
            </w:r>
            <w:r>
              <w:rPr>
                <w:vertAlign w:val="superscript"/>
              </w:rPr>
              <w:t>4</w:t>
            </w:r>
            <w:r>
              <w:t xml:space="preserve"> rosina dalībvalstis ieviest un atbalstīt papildu darbaspēka migrācijas kanālus personām, kurām nepieciešama starptautiskā aizsardzība</w:t>
            </w:r>
            <w:r>
              <w:rPr>
                <w:vertAlign w:val="superscript"/>
              </w:rPr>
              <w:t>5</w:t>
            </w:r>
            <w:r>
              <w:t xml:space="preserve">. </w:t>
            </w:r>
            <w:r>
              <w:rPr>
                <w:b/>
                <w:i/>
              </w:rPr>
              <w:t>Līdzīgus ieteikumus ir pieņēmis arī Eiropas Parlaments, piemēram, Eiropas Parlamenta 2</w:t>
            </w:r>
            <w:r>
              <w:rPr>
                <w:b/>
                <w:i/>
              </w:rPr>
              <w:t>021. gada 20. maija rezolūcijā par jaunām pieejām likumīgai darbaspēka migrācijai</w:t>
            </w:r>
            <w:r>
              <w:rPr>
                <w:b/>
                <w:i/>
                <w:vertAlign w:val="superscript"/>
              </w:rPr>
              <w:t>4a</w:t>
            </w:r>
            <w:r>
              <w:rPr>
                <w:b/>
                <w:i/>
              </w:rPr>
              <w:t xml:space="preserve"> un Eiropas Parlamenta 2021. gada 25. novembra rezolūcijā ar ieteikumiem Komisijai par </w:t>
            </w:r>
            <w:r>
              <w:rPr>
                <w:b/>
                <w:i/>
              </w:rPr>
              <w:lastRenderedPageBreak/>
              <w:t>legālās migrācijas politiku un tiesību aktiem</w:t>
            </w:r>
            <w:r>
              <w:rPr>
                <w:b/>
                <w:i/>
                <w:vertAlign w:val="superscript"/>
              </w:rPr>
              <w:t>4b</w:t>
            </w:r>
            <w:r>
              <w:rPr>
                <w:b/>
                <w:i/>
              </w:rPr>
              <w:t>.</w:t>
            </w:r>
            <w:r>
              <w:t xml:space="preserve"> </w:t>
            </w:r>
            <w:r>
              <w:rPr>
                <w:vertAlign w:val="superscript"/>
              </w:rPr>
              <w:t xml:space="preserve"> </w:t>
            </w:r>
            <w:r>
              <w:t xml:space="preserve">ES Talantu fonds </w:t>
            </w:r>
            <w:r>
              <w:rPr>
                <w:b/>
                <w:i/>
              </w:rPr>
              <w:t xml:space="preserve">atbalstītu papildu </w:t>
            </w:r>
            <w:r>
              <w:rPr>
                <w:b/>
                <w:i/>
              </w:rPr>
              <w:t>kanālu un likumīgas darbaspēka migrācijas</w:t>
            </w:r>
            <w:r>
              <w:t xml:space="preserve"> praktisku nodrošināšanu</w:t>
            </w:r>
            <w:r>
              <w:rPr>
                <w:b/>
                <w:i/>
              </w:rPr>
              <w:t>.</w:t>
            </w:r>
            <w:r>
              <w:t xml:space="preserve"> </w:t>
            </w:r>
            <w:r>
              <w:rPr>
                <w:b/>
                <w:i/>
              </w:rPr>
              <w:t>Panākot atbilstību SDO Vispārīgajiem taisnīgas darbā pieņemšanas principiem un darbības vadlīnijām, ES Talantu fonds arī palīdzētu sasniegt ilgtspējīgas attīstības mērķus (IAM), it īpaši 8.</w:t>
            </w:r>
            <w:r>
              <w:rPr>
                <w:b/>
                <w:i/>
              </w:rPr>
              <w:t xml:space="preserve"> IAM par iekļaujošas un ilgtspējīgas ekonomikas izaugsmes, pilnīgas un produktīvas nodarbinātības un pienācīga darba nodrošināšanu ikvienam un 10. IAM par nevienlīdzības starp valstīm un valstu iekšienē samazināšanu. Tas ir īpaši svarīgi tādēļ, ka darba mi</w:t>
            </w:r>
            <w:r>
              <w:rPr>
                <w:b/>
                <w:i/>
              </w:rPr>
              <w:t>granti salīdzinājumā ar Savienības pilsoņiem Savienības darba tirgū ir nedrošākā situācijā. Īpaša uzmanība būtu jāpievērš darba migrantēm, kuras salīdzinājumā ar vīriešiem darba tirgū var būt nepasargātākas. Tādējādi pilnveidoti informācijas un atbalsta pa</w:t>
            </w:r>
            <w:r>
              <w:rPr>
                <w:b/>
                <w:i/>
              </w:rPr>
              <w:t>kalpojumi, kas izmantojami ar ES Talantu fonda starpniecību, varētu palīdzēt uzturēt aizsardzības pasākumus pret migrējošu darba ņēmēju diskriminēšanu Savienībā. Vienlaikus ES Talantu fonds ir būtiska un konkrēta daļa no Eiropas Prasmju gada īstenošanas, k</w:t>
            </w:r>
            <w:r>
              <w:rPr>
                <w:b/>
                <w:i/>
              </w:rPr>
              <w:t>ura ceturtais pīlārs attiecas uz cilvēku ar dalībvalstīm nepieciešamajām prasmēm piesaistīšanu no ārpussavienības valstīm.</w:t>
            </w:r>
          </w:p>
        </w:tc>
      </w:tr>
      <w:tr w:rsidR="00707295" w:rsidTr="00F175A1">
        <w:trPr>
          <w:jc w:val="center"/>
        </w:trPr>
        <w:tc>
          <w:tcPr>
            <w:tcW w:w="4876" w:type="dxa"/>
            <w:hideMark/>
          </w:tcPr>
          <w:p w:rsidR="004B69B0" w:rsidRPr="00823585" w:rsidRDefault="006F2F4F" w:rsidP="00F175A1">
            <w:pPr>
              <w:pStyle w:val="Normal6"/>
            </w:pPr>
            <w:r>
              <w:lastRenderedPageBreak/>
              <w:t>__________________</w:t>
            </w: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hideMark/>
          </w:tcPr>
          <w:p w:rsidR="004B69B0" w:rsidRPr="00823585" w:rsidRDefault="006F2F4F" w:rsidP="00F175A1">
            <w:pPr>
              <w:pStyle w:val="Normal6"/>
            </w:pPr>
            <w:r>
              <w:rPr>
                <w:vertAlign w:val="superscript"/>
              </w:rPr>
              <w:t>4</w:t>
            </w:r>
            <w:r>
              <w:t xml:space="preserve"> Komisijas ieteikums (ES) 2020/1364 (2020. gada 23. septembris) par likumīgiem kanāliem aizsardzības iegūšanai ES: pārmitināšanas, humanitārās uzņemšanas un citu papildu kanālu veicināšana.</w:t>
            </w:r>
          </w:p>
        </w:tc>
        <w:tc>
          <w:tcPr>
            <w:tcW w:w="4876" w:type="dxa"/>
            <w:hideMark/>
          </w:tcPr>
          <w:p w:rsidR="004B69B0" w:rsidRPr="00823585" w:rsidRDefault="006F2F4F" w:rsidP="00F175A1">
            <w:pPr>
              <w:pStyle w:val="Normal6"/>
              <w:rPr>
                <w:szCs w:val="24"/>
              </w:rPr>
            </w:pPr>
            <w:r>
              <w:rPr>
                <w:vertAlign w:val="superscript"/>
              </w:rPr>
              <w:t>4</w:t>
            </w:r>
            <w:r>
              <w:t xml:space="preserve"> Komisijas ieteikums (ES) 2020/1364 (2020. gada 23. septembris) p</w:t>
            </w:r>
            <w:r>
              <w:t>ar likumīgiem kanāliem aizsardzības iegūšanai ES: pārmitināšanas, humanitārās uzņemšanas un citu papildu kanālu veicināšana.</w:t>
            </w:r>
          </w:p>
        </w:tc>
      </w:tr>
      <w:tr w:rsidR="00707295" w:rsidTr="00F175A1">
        <w:trPr>
          <w:jc w:val="center"/>
        </w:trPr>
        <w:tc>
          <w:tcPr>
            <w:tcW w:w="4876" w:type="dxa"/>
          </w:tcPr>
          <w:p w:rsidR="004B69B0" w:rsidRPr="006F2F4F" w:rsidRDefault="004B69B0" w:rsidP="00F175A1">
            <w:pPr>
              <w:pStyle w:val="Normal6"/>
            </w:pPr>
          </w:p>
        </w:tc>
        <w:tc>
          <w:tcPr>
            <w:tcW w:w="4876" w:type="dxa"/>
            <w:hideMark/>
          </w:tcPr>
          <w:p w:rsidR="004B69B0" w:rsidRPr="00823585" w:rsidRDefault="006F2F4F" w:rsidP="00F175A1">
            <w:pPr>
              <w:pStyle w:val="Normal6"/>
              <w:rPr>
                <w:i/>
                <w:szCs w:val="24"/>
              </w:rPr>
            </w:pPr>
            <w:r>
              <w:rPr>
                <w:b/>
                <w:i/>
                <w:vertAlign w:val="superscript"/>
              </w:rPr>
              <w:t>4a</w:t>
            </w:r>
            <w:r>
              <w:rPr>
                <w:b/>
                <w:i/>
              </w:rPr>
              <w:t xml:space="preserve"> OV C 15, 12.1.2022., 196. lpp.</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b/>
                <w:i/>
              </w:rPr>
            </w:pPr>
            <w:r>
              <w:rPr>
                <w:b/>
                <w:i/>
                <w:vertAlign w:val="superscript"/>
              </w:rPr>
              <w:t>4b</w:t>
            </w:r>
            <w:r>
              <w:rPr>
                <w:b/>
                <w:i/>
              </w:rPr>
              <w:t xml:space="preserve"> OV C 224, 8.6.2022., 69. lpp.</w:t>
            </w:r>
          </w:p>
        </w:tc>
      </w:tr>
      <w:tr w:rsidR="00707295" w:rsidTr="00F175A1">
        <w:trPr>
          <w:jc w:val="center"/>
        </w:trPr>
        <w:tc>
          <w:tcPr>
            <w:tcW w:w="4876" w:type="dxa"/>
            <w:hideMark/>
          </w:tcPr>
          <w:p w:rsidR="004B69B0" w:rsidRPr="00823585" w:rsidRDefault="006F2F4F" w:rsidP="00F175A1">
            <w:pPr>
              <w:pStyle w:val="Normal6"/>
            </w:pPr>
            <w:r>
              <w:rPr>
                <w:vertAlign w:val="superscript"/>
              </w:rPr>
              <w:t>5</w:t>
            </w:r>
            <w:r>
              <w:t xml:space="preserve"> "Papildu kanāli" ir drošas un reglamentētas iespējas personām, kurām nepieciešama starptautiskā aizsardzība, un tie papildina pārmitināšanu, nodrošinot likumīgu uzturēšanos trešā valstī, kur tiek </w:t>
            </w:r>
            <w:r>
              <w:lastRenderedPageBreak/>
              <w:t>apmierinātas viņu starptautiskās aizsardzības vajadzības. P</w:t>
            </w:r>
            <w:r>
              <w:t>apildu darbaspēka kanāli ļauj personām, kurām nepieciešama starptautiskā aizsardzība, piekļūt esošajiem darbaspēka migrācijas kanāliem, izmantot savas prasmes un palīdzēt novērst darbaspēka trūkumu uzņēmējvalstīs. Sk. arī: https://www.unhcr.org/complementa</w:t>
            </w:r>
            <w:r>
              <w:t>ry-pathways.html.</w:t>
            </w:r>
          </w:p>
        </w:tc>
        <w:tc>
          <w:tcPr>
            <w:tcW w:w="4876" w:type="dxa"/>
            <w:hideMark/>
          </w:tcPr>
          <w:p w:rsidR="004B69B0" w:rsidRPr="00823585" w:rsidRDefault="006F2F4F" w:rsidP="00F175A1">
            <w:pPr>
              <w:pStyle w:val="Normal6"/>
              <w:rPr>
                <w:szCs w:val="24"/>
              </w:rPr>
            </w:pPr>
            <w:r>
              <w:rPr>
                <w:vertAlign w:val="superscript"/>
              </w:rPr>
              <w:lastRenderedPageBreak/>
              <w:t>5</w:t>
            </w:r>
            <w:r>
              <w:t xml:space="preserve"> "Papildu kanāli" ir drošas un reglamentētas iespējas personām, kurām nepieciešama starptautiskā aizsardzība, un tie papildina pārmitināšanu, nodrošinot likumīgu uzturēšanos trešā valstī, kur tiek </w:t>
            </w:r>
            <w:r>
              <w:lastRenderedPageBreak/>
              <w:t>apmierinātas viņu starptautiskās aizsard</w:t>
            </w:r>
            <w:r>
              <w:t>zības vajadzības. Papildu darbaspēka kanāli ļauj personām, kurām nepieciešama starptautiskā aizsardzība, piekļūt esošajiem darbaspēka migrācijas kanāliem, izmantot savas prasmes un palīdzēt novērst darbaspēka trūkumu uzņēmējvalstīs. Sk. arī: https://www.un</w:t>
            </w:r>
            <w:r>
              <w:t>hcr.org/complementary-pathways.html.</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5.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(5)</w:t>
            </w:r>
            <w:r>
              <w:tab/>
              <w:t>ES talantu fondam</w:t>
            </w:r>
            <w:r>
              <w:t xml:space="preserve"> būtu jātiecas atbalstīt</w:t>
            </w:r>
            <w:r>
              <w:rPr>
                <w:b/>
                <w:i/>
              </w:rPr>
              <w:t xml:space="preserve"> iesaistītās</w:t>
            </w:r>
            <w:r>
              <w:t xml:space="preserve"> dalībvalstis, lai risinātu pašreizējo un turpmāko prasmju un darbaspēka trūkumu, pieņemot darbā trešo valstu valstspiederīgos, ciktāl vietējā darbaspēka aktivizēšana un mobilitāte ES iekšienē nav pietiekama, lai sasnieg</w:t>
            </w:r>
            <w:r>
              <w:t>tu šo mērķi</w:t>
            </w:r>
            <w:r>
              <w:rPr>
                <w:b/>
                <w:i/>
              </w:rPr>
              <w:t>.</w:t>
            </w:r>
            <w:r>
              <w:t xml:space="preserve"> </w:t>
            </w:r>
            <w:r>
              <w:rPr>
                <w:b/>
                <w:i/>
              </w:rPr>
              <w:t>Kā brīvprātīgs rīks, kas paredzēts, lai veicinātu darbā pieņemšanu starptautiskā mērogā, ES talantu fondam būtu jāpiedāvā ieinteresētajām dalībvalstīm papildu atbalsts ES līmenī.</w:t>
            </w:r>
            <w:r>
              <w:t xml:space="preserve"> Šajā nolūkā būtu jānodrošina papildināmība un savietojamība ar e</w:t>
            </w:r>
            <w:r>
              <w:t xml:space="preserve">sošajām valsts iniciatīvām un platformām. Veidojot ES talantu fondu, būtu jāņem vērā dalībvalstu īpašās vajadzības, lai nodrošinātu pēc iespējas </w:t>
            </w:r>
            <w:r>
              <w:rPr>
                <w:b/>
                <w:i/>
              </w:rPr>
              <w:t>plašāku līdzdalību.</w:t>
            </w:r>
            <w:r>
              <w:t xml:space="preserve"> </w:t>
            </w:r>
            <w:r>
              <w:rPr>
                <w:b/>
                <w:i/>
              </w:rPr>
              <w:t>Tādējādi</w:t>
            </w:r>
            <w:r>
              <w:t xml:space="preserve"> “talants” ir visaptverošs termins, </w:t>
            </w:r>
            <w:r>
              <w:rPr>
                <w:b/>
                <w:i/>
              </w:rPr>
              <w:t>kas</w:t>
            </w:r>
            <w:r>
              <w:t xml:space="preserve"> attiecas uz visu prasmju klāstu, kas varētu</w:t>
            </w:r>
            <w:r>
              <w:t xml:space="preserve"> būt nepieciešams dalībvalstu darba tirgiem.</w:t>
            </w:r>
          </w:p>
        </w:tc>
        <w:tc>
          <w:tcPr>
            <w:tcW w:w="4876" w:type="dxa"/>
            <w:hideMark/>
          </w:tcPr>
          <w:p w:rsidR="004B69B0" w:rsidRPr="00823585" w:rsidRDefault="006F2F4F" w:rsidP="00F175A1">
            <w:pPr>
              <w:pStyle w:val="Normal6"/>
              <w:rPr>
                <w:szCs w:val="24"/>
              </w:rPr>
            </w:pPr>
            <w:r>
              <w:t>(5)</w:t>
            </w:r>
            <w:r>
              <w:tab/>
            </w:r>
            <w:r>
              <w:rPr>
                <w:b/>
                <w:i/>
              </w:rPr>
              <w:t>Tā kā darbaspēka trūkums ir Savienības mēroga problēma, tā novēršanai ir vajadzīga stratēģiska un vienota pieeja. Lai izmantotu apjomradītus ietaupījumus un darītu iespējamu paraugprakses apmaiņu, ES Talantu</w:t>
            </w:r>
            <w:r>
              <w:rPr>
                <w:b/>
                <w:i/>
              </w:rPr>
              <w:t xml:space="preserve"> fondā būtu jāpiedalās visām dalībvalstīm. ES mēroga īstenošana arī sekmētu lielāku prognozējamību un juridisko noteiktību gan darba meklētājiem, gan darba devējiem.</w:t>
            </w:r>
            <w:r>
              <w:t xml:space="preserve"> ES Talantu fondam būtu jātiecas atbalstīt dalībvalstis, lai risinātu pašreizējo un turpmāk</w:t>
            </w:r>
            <w:r>
              <w:t xml:space="preserve">o prasmju un darbaspēka trūkumu, pieņemot darbā trešo valstu valstspiederīgos, ciktāl vietējā darbaspēka aktivizēšana un mobilitāte ES iekšienē nav pietiekama, lai sasniegtu šo mērķi. Šajā nolūkā būtu jānodrošina papildināmība un savietojamība ar esošajām </w:t>
            </w:r>
            <w:r>
              <w:t>valsts iniciatīvām un platformām</w:t>
            </w:r>
            <w:r>
              <w:rPr>
                <w:b/>
                <w:i/>
              </w:rPr>
              <w:t>, vienlaikus neaizstājot esošās valstu struktūras</w:t>
            </w:r>
            <w:r>
              <w:t xml:space="preserve">. Veidojot ES Talantu fondu, būtu jāņem vērā dalībvalstu īpašās vajadzības, lai nodrošinātu pēc iespējas </w:t>
            </w:r>
            <w:r>
              <w:rPr>
                <w:b/>
                <w:i/>
              </w:rPr>
              <w:t xml:space="preserve">sekmīgāku īstenošanu, piemēram, neskarot dalībvalstu kompetenci </w:t>
            </w:r>
            <w:r>
              <w:rPr>
                <w:b/>
                <w:i/>
              </w:rPr>
              <w:t xml:space="preserve">noteikt to trešo </w:t>
            </w:r>
            <w:r>
              <w:rPr>
                <w:b/>
                <w:i/>
              </w:rPr>
              <w:lastRenderedPageBreak/>
              <w:t>valstu valstspiederīgo skaitu, kas tiks uzņemti darba nolūkā.</w:t>
            </w:r>
            <w:r>
              <w:t xml:space="preserve"> “Talants” ir visaptverošs termins, </w:t>
            </w:r>
            <w:r>
              <w:rPr>
                <w:b/>
                <w:i/>
              </w:rPr>
              <w:t>kurš</w:t>
            </w:r>
            <w:r>
              <w:t xml:space="preserve"> attiecas uz visu prasmju klāstu, kas varētu būt nepieciešams dalībvalstu darba tirgiem. </w:t>
            </w:r>
            <w:r>
              <w:rPr>
                <w:b/>
                <w:i/>
              </w:rPr>
              <w:t>Tā kā koncentrēšanās uz augsti kvalificētām perso</w:t>
            </w:r>
            <w:r>
              <w:rPr>
                <w:b/>
                <w:i/>
              </w:rPr>
              <w:t>nām var saasināt darbaspēka trūkumu, netiekot ņemtām vērā Savienības un dažādu dalībvalstu faktiskajām vajadzībām, ES Talantu fondam vajadzētu būt atvērtam darba meklētājiem no trešām valstīm neatkarīgi no viņu prasmju līmeņa. Tajā pašā laikā, nosakot prof</w:t>
            </w:r>
            <w:r>
              <w:rPr>
                <w:b/>
                <w:i/>
              </w:rPr>
              <w:t>esijas, kurās jāpieņem darba ņēmēji no trešām valstīm, būtu jāņem vērā arī prasmju trūkums trešās valstīs, lai nesaasinātu intelektuālā darbaspēka emigrāciju tām kritiski nozīmīgās nozarēs.</w:t>
            </w:r>
          </w:p>
        </w:tc>
      </w:tr>
    </w:tbl>
    <w:p w:rsidR="004B69B0" w:rsidRPr="006F2F4F" w:rsidRDefault="006F2F4F" w:rsidP="004B69B0">
      <w:pPr>
        <w:pStyle w:val="Olang"/>
      </w:pPr>
      <w:r w:rsidRPr="006F2F4F">
        <w:rPr>
          <w:noProof w:val="0"/>
        </w:rPr>
        <w:lastRenderedPageBreak/>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6</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6.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(6)</w:t>
            </w:r>
            <w:r>
              <w:tab/>
              <w:t xml:space="preserve">ES talantu fonda mērķis ir sniegt </w:t>
            </w:r>
            <w:r>
              <w:rPr>
                <w:b/>
                <w:i/>
              </w:rPr>
              <w:t>pakalpojumus iesaistītajās</w:t>
            </w:r>
            <w:r>
              <w:t xml:space="preserve"> dalībvalstīs </w:t>
            </w:r>
            <w:r>
              <w:rPr>
                <w:b/>
                <w:i/>
              </w:rPr>
              <w:t>reģistrētajiem</w:t>
            </w:r>
            <w:r>
              <w:t xml:space="preserve"> darba devējiem, tostarp privā</w:t>
            </w:r>
            <w:r>
              <w:t xml:space="preserve">tām nodarbinātības aģentūrām, pagaidu darba aģentūrām un darba tirgus starpniekiem, kā noteikts 1997. gada Starptautiskās Darba organizācijas </w:t>
            </w:r>
            <w:r>
              <w:rPr>
                <w:b/>
                <w:i/>
              </w:rPr>
              <w:t>181</w:t>
            </w:r>
            <w:r>
              <w:t>. </w:t>
            </w:r>
            <w:r>
              <w:rPr>
                <w:b/>
                <w:i/>
              </w:rPr>
              <w:t>konvencijā</w:t>
            </w:r>
            <w:r>
              <w:t>.</w:t>
            </w:r>
          </w:p>
        </w:tc>
        <w:tc>
          <w:tcPr>
            <w:tcW w:w="4876" w:type="dxa"/>
            <w:hideMark/>
          </w:tcPr>
          <w:p w:rsidR="004B69B0" w:rsidRPr="00823585" w:rsidRDefault="006F2F4F" w:rsidP="00F175A1">
            <w:pPr>
              <w:pStyle w:val="Normal6"/>
              <w:rPr>
                <w:szCs w:val="24"/>
              </w:rPr>
            </w:pPr>
            <w:r>
              <w:t>(6)</w:t>
            </w:r>
            <w:r>
              <w:tab/>
              <w:t xml:space="preserve">ES Talantu fonda mērķis ir sniegt </w:t>
            </w:r>
            <w:r>
              <w:rPr>
                <w:b/>
                <w:i/>
              </w:rPr>
              <w:t>bezmaksas pakalpojumus</w:t>
            </w:r>
            <w:r>
              <w:t xml:space="preserve"> dalībvalstīs </w:t>
            </w:r>
            <w:r>
              <w:rPr>
                <w:b/>
                <w:i/>
              </w:rPr>
              <w:t>iedibinātiem</w:t>
            </w:r>
            <w:r>
              <w:t xml:space="preserve"> darba devē</w:t>
            </w:r>
            <w:r>
              <w:t>jiem</w:t>
            </w:r>
            <w:r>
              <w:rPr>
                <w:b/>
                <w:i/>
              </w:rPr>
              <w:t xml:space="preserve"> ar valsts nodarbinātības dienestu un privātu darba tirgu starpnieku palīdzību</w:t>
            </w:r>
            <w:r>
              <w:t xml:space="preserve">, tostarp privātām nodarbinātības aģentūrām, pagaidu darba aģentūrām un darba tirgus starpniekiem, kā noteikts 1997. gada Starptautiskās Darba organizācijas </w:t>
            </w:r>
            <w:r>
              <w:rPr>
                <w:b/>
                <w:i/>
              </w:rPr>
              <w:t>Konvencijā (Nr</w:t>
            </w:r>
            <w:r>
              <w:t>. </w:t>
            </w:r>
            <w:r>
              <w:rPr>
                <w:b/>
                <w:i/>
              </w:rPr>
              <w:t>1</w:t>
            </w:r>
            <w:r>
              <w:rPr>
                <w:b/>
                <w:i/>
              </w:rPr>
              <w:t>81) par privātām nodarbinātības aģentūrām un Eiropas Parlamenta un Padomes Direktīvā 2008/104/EK</w:t>
            </w:r>
            <w:r>
              <w:rPr>
                <w:b/>
                <w:i/>
                <w:vertAlign w:val="superscript"/>
              </w:rPr>
              <w:t>1a</w:t>
            </w:r>
            <w:r>
              <w:t xml:space="preserve">. </w:t>
            </w:r>
            <w:r>
              <w:rPr>
                <w:b/>
                <w:i/>
              </w:rPr>
              <w:t xml:space="preserve">Darba devējiem, kas vēlas reģistrēties ES Talantu fondā, lai publicētu savas vakances, būtu jāievēro SDO Vispārīgie taisnīgas darbā pieņemšanas principi un </w:t>
            </w:r>
            <w:r>
              <w:rPr>
                <w:b/>
                <w:i/>
              </w:rPr>
              <w:t xml:space="preserve">darbības vadlīnijas. Darba meklētājiem nevajadzētu ne tieši, ne netieši un ne </w:t>
            </w:r>
            <w:r>
              <w:rPr>
                <w:b/>
                <w:i/>
              </w:rPr>
              <w:lastRenderedPageBreak/>
              <w:t>pilnībā, ne daļēji piemērot nekādas maksas vai saistītās izmaksas par viņu iekārtošanu darbā. Neraugoties uz to, ka tiek izmantots ES Talantu fonds, darba devējiem būtu jāturpina</w:t>
            </w:r>
            <w:r>
              <w:rPr>
                <w:b/>
                <w:i/>
              </w:rPr>
              <w:t xml:space="preserve"> ieguldīt iekšzemes darbaspēka kvalifikācijas celšanā un pārkvalifikācijā.</w:t>
            </w:r>
          </w:p>
        </w:tc>
      </w:tr>
      <w:tr w:rsidR="00707295" w:rsidTr="00F175A1">
        <w:trPr>
          <w:jc w:val="center"/>
        </w:trPr>
        <w:tc>
          <w:tcPr>
            <w:tcW w:w="4876" w:type="dxa"/>
          </w:tcPr>
          <w:p w:rsidR="004B69B0" w:rsidRPr="006F2F4F" w:rsidRDefault="004B69B0" w:rsidP="00F175A1">
            <w:pPr>
              <w:pStyle w:val="Normal6"/>
            </w:pP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vertAlign w:val="superscript"/>
              </w:rPr>
              <w:t>1a</w:t>
            </w:r>
            <w:r>
              <w:t xml:space="preserve"> </w:t>
            </w:r>
            <w:r>
              <w:rPr>
                <w:b/>
                <w:i/>
              </w:rPr>
              <w:t xml:space="preserve">Eiropas Parlamenta un Padomes Direktīva 2008/104/EK (2008. gada 19. novembris) par pagaidu darba aģentūrām (OV L 327, 5.12.2008., 9.–14. lpp., ELI: </w:t>
            </w:r>
            <w:r>
              <w:rPr>
                <w:b/>
                <w:i/>
              </w:rPr>
              <w:t>http://data.europa.eu/eli/dir/2008/104/oj).</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7</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7.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(7)</w:t>
            </w:r>
            <w:r>
              <w:tab/>
              <w:t xml:space="preserve">Talantu </w:t>
            </w:r>
            <w:r>
              <w:t>fondam būtu</w:t>
            </w:r>
            <w:r>
              <w:rPr>
                <w:b/>
                <w:i/>
              </w:rPr>
              <w:t xml:space="preserve"> arī</w:t>
            </w:r>
            <w:r>
              <w:t xml:space="preserve"> jāatbalsta talantu partnerību īstenošana, jo tās ir viens no Migrācijas un patvēruma pakta</w:t>
            </w:r>
            <w:r>
              <w:rPr>
                <w:vertAlign w:val="superscript"/>
              </w:rPr>
              <w:t>6</w:t>
            </w:r>
            <w:r>
              <w:t xml:space="preserve"> ārējās dimensijas galvenajiem aspektiem un tiek praktiski īstenotas saskaņā ar Komisijas paziņojumu par prasmju un talantu piesaistīšanu ES</w:t>
            </w:r>
            <w:r>
              <w:rPr>
                <w:vertAlign w:val="superscript"/>
              </w:rPr>
              <w:t>7</w:t>
            </w:r>
            <w:r>
              <w:t xml:space="preserve">. </w:t>
            </w:r>
            <w:r>
              <w:rPr>
                <w:b/>
                <w:i/>
              </w:rPr>
              <w:t>Dalībv</w:t>
            </w:r>
            <w:r>
              <w:rPr>
                <w:b/>
                <w:i/>
              </w:rPr>
              <w:t>alsts iesaistei talantu partnerībā nebūtu jāskar tās lēmums par dalību</w:t>
            </w:r>
            <w:r>
              <w:t xml:space="preserve"> ES talantu </w:t>
            </w:r>
            <w:r>
              <w:rPr>
                <w:b/>
                <w:i/>
              </w:rPr>
              <w:t>fondā</w:t>
            </w:r>
            <w:r>
              <w:t>.</w:t>
            </w:r>
          </w:p>
        </w:tc>
        <w:tc>
          <w:tcPr>
            <w:tcW w:w="4876" w:type="dxa"/>
            <w:hideMark/>
          </w:tcPr>
          <w:p w:rsidR="004B69B0" w:rsidRPr="00823585" w:rsidRDefault="006F2F4F" w:rsidP="00F175A1">
            <w:pPr>
              <w:pStyle w:val="Normal6"/>
              <w:rPr>
                <w:szCs w:val="24"/>
              </w:rPr>
            </w:pPr>
            <w:r>
              <w:t>(7)</w:t>
            </w:r>
            <w:r>
              <w:tab/>
            </w:r>
            <w:r>
              <w:rPr>
                <w:b/>
                <w:i/>
              </w:rPr>
              <w:t>Spēcīgas partnerības ar trešām valstīm var sekmēt rezultatīvu attīstības sadarbību atbilstīgi politikas saskaņotības attīstībai principam un veicināt savstarpēju u</w:t>
            </w:r>
            <w:r>
              <w:rPr>
                <w:b/>
                <w:i/>
              </w:rPr>
              <w:t>zticēšanos un ieguvumus trešām valstīm, Savienībai un tās dalībvalstīm.</w:t>
            </w:r>
            <w:r>
              <w:t xml:space="preserve"> </w:t>
            </w:r>
            <w:r>
              <w:rPr>
                <w:b/>
                <w:bCs/>
                <w:i/>
                <w:iCs/>
              </w:rPr>
              <w:t>ES</w:t>
            </w:r>
            <w:r>
              <w:t xml:space="preserve"> Talantu fondam būtu jāatbalsta talantu partnerību īstenošana, jo tās ir viens no Migrācijas un patvēruma pakta</w:t>
            </w:r>
            <w:r>
              <w:rPr>
                <w:vertAlign w:val="superscript"/>
              </w:rPr>
              <w:t>6</w:t>
            </w:r>
            <w:r>
              <w:t xml:space="preserve"> ārējās dimensijas galvenajiem aspektiem un tiek praktiski īstenotas saskaņā ar Komisijas paziņojumu par prasmju un talantu piesaistīšanu ES</w:t>
            </w:r>
            <w:r>
              <w:rPr>
                <w:vertAlign w:val="superscript"/>
              </w:rPr>
              <w:t>7</w:t>
            </w:r>
            <w:r>
              <w:t xml:space="preserve">. </w:t>
            </w:r>
            <w:r>
              <w:rPr>
                <w:b/>
                <w:i/>
              </w:rPr>
              <w:t>Lai talantu partnerības būtu sekmīgas un ilgtspējīgas, tām vienmēr būtu jāatbalsta prasmju pilnveide trešās valst</w:t>
            </w:r>
            <w:r>
              <w:rPr>
                <w:b/>
                <w:i/>
              </w:rPr>
              <w:t>īs un jāmotivē cirkulārā migrācija, lai novērstu intelektuālā darbaspēka emigrācija no izcelsmes valstīm.</w:t>
            </w:r>
            <w:r>
              <w:t xml:space="preserve"> ES Talantu </w:t>
            </w:r>
            <w:r>
              <w:rPr>
                <w:b/>
                <w:i/>
              </w:rPr>
              <w:t xml:space="preserve">fondam būtu arī jābalstās uz mērķiem un noteikumiem, kas saistīti ar Savienības konstruktīvu iesaisti mobilitātē un visos </w:t>
            </w:r>
            <w:r>
              <w:rPr>
                <w:b/>
                <w:i/>
              </w:rPr>
              <w:lastRenderedPageBreak/>
              <w:t>migrācijas aspekt</w:t>
            </w:r>
            <w:r>
              <w:rPr>
                <w:b/>
                <w:i/>
              </w:rPr>
              <w:t>os, kā noteikts Eiropas Parlamenta un Padomes Regulā (ES) 2021/947</w:t>
            </w:r>
            <w:r>
              <w:rPr>
                <w:b/>
                <w:i/>
                <w:vertAlign w:val="superscript"/>
              </w:rPr>
              <w:t>7a</w:t>
            </w:r>
            <w:r>
              <w:t>.</w:t>
            </w:r>
          </w:p>
        </w:tc>
      </w:tr>
      <w:tr w:rsidR="00707295" w:rsidTr="00F175A1">
        <w:trPr>
          <w:jc w:val="center"/>
        </w:trPr>
        <w:tc>
          <w:tcPr>
            <w:tcW w:w="4876" w:type="dxa"/>
            <w:hideMark/>
          </w:tcPr>
          <w:p w:rsidR="004B69B0" w:rsidRPr="00823585" w:rsidRDefault="006F2F4F" w:rsidP="00F175A1">
            <w:pPr>
              <w:pStyle w:val="Normal6"/>
            </w:pPr>
            <w:r>
              <w:lastRenderedPageBreak/>
              <w:t>__________________</w:t>
            </w: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hideMark/>
          </w:tcPr>
          <w:p w:rsidR="004B69B0" w:rsidRPr="00823585" w:rsidRDefault="006F2F4F" w:rsidP="00F175A1">
            <w:pPr>
              <w:pStyle w:val="Normal6"/>
            </w:pPr>
            <w:r>
              <w:rPr>
                <w:vertAlign w:val="superscript"/>
              </w:rPr>
              <w:t>6</w:t>
            </w:r>
            <w:r>
              <w:t xml:space="preserve"> COM/2020/609 final.</w:t>
            </w:r>
          </w:p>
        </w:tc>
        <w:tc>
          <w:tcPr>
            <w:tcW w:w="4876" w:type="dxa"/>
            <w:hideMark/>
          </w:tcPr>
          <w:p w:rsidR="004B69B0" w:rsidRPr="00823585" w:rsidRDefault="006F2F4F" w:rsidP="00F175A1">
            <w:pPr>
              <w:pStyle w:val="Normal6"/>
              <w:rPr>
                <w:szCs w:val="24"/>
              </w:rPr>
            </w:pPr>
            <w:r>
              <w:rPr>
                <w:vertAlign w:val="superscript"/>
              </w:rPr>
              <w:t>6</w:t>
            </w:r>
            <w:r>
              <w:t xml:space="preserve"> COM/2020/609 final.</w:t>
            </w:r>
          </w:p>
        </w:tc>
      </w:tr>
      <w:tr w:rsidR="00707295" w:rsidTr="00F175A1">
        <w:trPr>
          <w:jc w:val="center"/>
        </w:trPr>
        <w:tc>
          <w:tcPr>
            <w:tcW w:w="4876" w:type="dxa"/>
            <w:hideMark/>
          </w:tcPr>
          <w:p w:rsidR="004B69B0" w:rsidRPr="00823585" w:rsidRDefault="006F2F4F" w:rsidP="00F175A1">
            <w:pPr>
              <w:pStyle w:val="Normal6"/>
            </w:pPr>
            <w:r>
              <w:rPr>
                <w:vertAlign w:val="superscript"/>
              </w:rPr>
              <w:t>7</w:t>
            </w:r>
            <w:r>
              <w:t xml:space="preserve"> COM/2022/657 final.</w:t>
            </w:r>
          </w:p>
        </w:tc>
        <w:tc>
          <w:tcPr>
            <w:tcW w:w="4876" w:type="dxa"/>
            <w:hideMark/>
          </w:tcPr>
          <w:p w:rsidR="004B69B0" w:rsidRPr="00823585" w:rsidRDefault="006F2F4F" w:rsidP="00F175A1">
            <w:pPr>
              <w:pStyle w:val="Normal6"/>
              <w:rPr>
                <w:szCs w:val="24"/>
              </w:rPr>
            </w:pPr>
            <w:r>
              <w:rPr>
                <w:vertAlign w:val="superscript"/>
              </w:rPr>
              <w:t>7</w:t>
            </w:r>
            <w:r>
              <w:t xml:space="preserve"> COM/2022/657 final.</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vertAlign w:val="superscript"/>
              </w:rPr>
              <w:t>7a</w:t>
            </w:r>
            <w:r>
              <w:t xml:space="preserve"> </w:t>
            </w:r>
            <w:r>
              <w:rPr>
                <w:b/>
                <w:i/>
              </w:rPr>
              <w:t>Eiropas Parlamenta un Padomes Regula (ES) 2021/947 (</w:t>
            </w:r>
            <w:r>
              <w:rPr>
                <w:b/>
                <w:i/>
              </w:rPr>
              <w:t>2021. gada 9. jūnijs), ar ko izveido Kaimiņattiecību, attīstības sadarbības un starptautiskās sadarbības instrumentu “Eiropa pasaulē”, groza un atceļ Eiropas Parlamenta un Padomes Lēmumu Nr. 466/2014/ES un atceļ Eiropas Parlamenta un Padomes Regulu (ES) 20</w:t>
            </w:r>
            <w:r>
              <w:rPr>
                <w:b/>
                <w:i/>
              </w:rPr>
              <w:t>17/1601 un Padomes Regulu (EK, Euratom) Nr. 480/2009 (OV L 209, 14.6.2021., 1. lpp., ELI: http://data.europa.eu/eli/reg/2021/947/oj).</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8</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8.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(8)</w:t>
            </w:r>
            <w:r>
              <w:tab/>
              <w:t>Lai nodrošinātu, ka dalībvalstu iestādes ir pienācīgi pārstāvētas ES talantu fonda vadības grupā,</w:t>
            </w:r>
            <w:r>
              <w:rPr>
                <w:b/>
                <w:i/>
              </w:rPr>
              <w:t xml:space="preserve"> iesaistītajām</w:t>
            </w:r>
            <w:r>
              <w:t xml:space="preserve"> dalībvalstīm katrai jāieceļ divi pārstāvji — viens no nodarbinātības iestādēm un viens no imigrācijas iestādēm.</w:t>
            </w:r>
          </w:p>
        </w:tc>
        <w:tc>
          <w:tcPr>
            <w:tcW w:w="4876" w:type="dxa"/>
            <w:hideMark/>
          </w:tcPr>
          <w:p w:rsidR="004B69B0" w:rsidRPr="00823585" w:rsidRDefault="006F2F4F" w:rsidP="00F175A1">
            <w:pPr>
              <w:pStyle w:val="Normal6"/>
              <w:rPr>
                <w:szCs w:val="24"/>
              </w:rPr>
            </w:pPr>
            <w:r>
              <w:t>(8)</w:t>
            </w:r>
            <w:r>
              <w:tab/>
              <w:t xml:space="preserve">Lai nodrošinātu, ka </w:t>
            </w:r>
            <w:r>
              <w:rPr>
                <w:b/>
                <w:i/>
              </w:rPr>
              <w:t xml:space="preserve">visu </w:t>
            </w:r>
            <w:r>
              <w:t>dalībvalstu iestādes ir pienācīgi pārstāvētas ES Talantu fonda vadības grupā, dalībvalstīm katrai jāieceļ divi pār</w:t>
            </w:r>
            <w:r>
              <w:t xml:space="preserve">stāvji — viens no nodarbinātības iestādēm un viens no imigrācijas iestādēm. </w:t>
            </w:r>
            <w:r>
              <w:rPr>
                <w:b/>
                <w:i/>
              </w:rPr>
              <w:t>Ir svarīgi atzīt un veicināt sinerģijas starp nodarbinātības un imigrācijas iestādēm, lai uzlabotu ES Talantu fonda darbību un izvairītos no valstu pārvaldes iestāžu pārslogošanas.</w:t>
            </w:r>
            <w:r>
              <w:rPr>
                <w:b/>
                <w:i/>
              </w:rPr>
              <w:t xml:space="preserve"> Sociālo partneru rīcībā ir svarīgas zināšanas un izpratne par Savienības darba tirgus attīstību. Tādēļ Savienības līmeņa dažādu nozaru sociālo partneru organizāciju pārstāvjiem, ES Talantu fondā iesaistīto darba devēju pārstāvjiem </w:t>
            </w:r>
            <w:r>
              <w:rPr>
                <w:b/>
                <w:i/>
              </w:rPr>
              <w:lastRenderedPageBreak/>
              <w:t>un arodbiedrību pārstāvj</w:t>
            </w:r>
            <w:r>
              <w:rPr>
                <w:b/>
                <w:i/>
              </w:rPr>
              <w:t>iem vajadzētu būt tiesībām iecelt trīs pārstāvjus dalībai ES Talantu fonda vadības grupas darbā. Turklāt vajadzētu būt iespējai uz ES Talantu fonda vadības grupas sanāksmēm uzaicināt un tajās uzklausīt ekspertus no Savienības struktūrām, birojiem un aģentū</w:t>
            </w:r>
            <w:r>
              <w:rPr>
                <w:b/>
                <w:i/>
              </w:rPr>
              <w:t>rām, starptautiskām organizācijām un citām ieinteresētajām personām, kas strādā ar trešo valstu valstspiederīgajiem. Šādas organizācijas un ieinteresētās personas varētu būt Eiropas Darba iestāde (ELA), Eiropas Profesionālās izglītības attīstības centrs (C</w:t>
            </w:r>
            <w:r>
              <w:rPr>
                <w:b/>
                <w:i/>
              </w:rPr>
              <w:t>edefop), Eiropas Izglītības fonds (ETF), SDO, Starptautiskā Migrācijas organizācija (IOM), kā arī vietējās un reģionālās dalībvalstu pašvaldības.</w:t>
            </w:r>
          </w:p>
        </w:tc>
      </w:tr>
    </w:tbl>
    <w:p w:rsidR="004B69B0" w:rsidRPr="006F2F4F" w:rsidRDefault="006F2F4F" w:rsidP="004B69B0">
      <w:pPr>
        <w:pStyle w:val="Olang"/>
      </w:pPr>
      <w:r w:rsidRPr="006F2F4F">
        <w:rPr>
          <w:noProof w:val="0"/>
        </w:rPr>
        <w:lastRenderedPageBreak/>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9</w:t>
      </w:r>
      <w:r w:rsidRPr="006F2F4F">
        <w:rPr>
          <w:rStyle w:val="HideTWBExt"/>
        </w:rPr>
        <w:t>&lt;/NumAm&gt;</w:t>
      </w:r>
    </w:p>
    <w:p w:rsidR="004B69B0" w:rsidRPr="00823585" w:rsidRDefault="006F2F4F" w:rsidP="004B69B0">
      <w:pPr>
        <w:pStyle w:val="NormalBold12b"/>
        <w:keepNext/>
      </w:pPr>
      <w:r>
        <w:rPr>
          <w:rStyle w:val="HideTWBExt"/>
        </w:rPr>
        <w:t>&lt;DocAmend&gt;</w:t>
      </w:r>
      <w:r>
        <w:t>Regulas priekšlikum</w:t>
      </w:r>
      <w:r>
        <w:t>s</w:t>
      </w:r>
      <w:r>
        <w:rPr>
          <w:rStyle w:val="HideTWBExt"/>
        </w:rPr>
        <w:t>&lt;/DocAmend&gt;</w:t>
      </w:r>
    </w:p>
    <w:p w:rsidR="004B69B0" w:rsidRPr="00823585" w:rsidRDefault="006F2F4F" w:rsidP="004B69B0">
      <w:pPr>
        <w:pStyle w:val="NormalBold"/>
      </w:pPr>
      <w:r>
        <w:rPr>
          <w:rStyle w:val="HideTWBExt"/>
        </w:rPr>
        <w:t>&lt;Article&gt;</w:t>
      </w:r>
      <w:r>
        <w:t>10.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(10)</w:t>
            </w:r>
            <w:r>
              <w:tab/>
              <w:t xml:space="preserve">Vajadzības gadījumā būtu jānodrošina sinerģija starp ES talantu fonda IT platformu un citiem attiecīgiem instrumentiem un pakalpojumiem Savienības līmenī, tai </w:t>
            </w:r>
            <w:r>
              <w:t xml:space="preserve">skaitā attiecībā uz piekļuvi mācību materiāliem, piem., ES akadēmijai un Sadarbspējīgās Eiropas akadēmijai (Interoperable Europe Academy). ES talantu fonda IT platforma būtu ātri un regulāri jāpielāgo jaunajai tehnoloģiju praksei un jānodrošina mūsdienīgi </w:t>
            </w:r>
            <w:r>
              <w:t>IT pakalpojumi, ieviešot novatoriskus līdzekļus un rīkus.</w:t>
            </w:r>
          </w:p>
        </w:tc>
        <w:tc>
          <w:tcPr>
            <w:tcW w:w="4876" w:type="dxa"/>
            <w:hideMark/>
          </w:tcPr>
          <w:p w:rsidR="004B69B0" w:rsidRPr="00823585" w:rsidRDefault="006F2F4F" w:rsidP="00F175A1">
            <w:pPr>
              <w:pStyle w:val="Normal6"/>
              <w:rPr>
                <w:szCs w:val="24"/>
              </w:rPr>
            </w:pPr>
            <w:r>
              <w:t>(10)</w:t>
            </w:r>
            <w:r>
              <w:tab/>
              <w:t>Vajadzības gadījumā būtu jānodrošina sinerģija starp ES Talantu fonda IT platformu un citiem attiecīgiem instrumentiem un pakalpojumiem Savienības līmenī, tai skaitā attiecībā uz piekļuvi mācīb</w:t>
            </w:r>
            <w:r>
              <w:t>u materiāliem, piem., ES akadēmijai un Sadarbspējīgās Eiropas akadēmijai (Interoperable Europe Academy). ES Talantu fonda IT platforma būtu ātri un regulāri jāpielāgo jaunajai tehnoloģiju praksei un jānodrošina mūsdienīgi IT pakalpojumi, ieviešot novatoris</w:t>
            </w:r>
            <w:r>
              <w:t xml:space="preserve">kus līdzekļus un rīkus. </w:t>
            </w:r>
            <w:r>
              <w:rPr>
                <w:b/>
                <w:i/>
              </w:rPr>
              <w:t xml:space="preserve">Sinerģijas un labāka sadarbspēja sekmētu platformas izmantošanu darba devēju, it īpaši mazu un vidēju uzņēmumu (MVU), vidū. Platformai vajadzētu būt arī viegli piekļūstamai personām ar invaliditāti saskaņā ar Eiropas Parlamenta un </w:t>
            </w:r>
            <w:r>
              <w:rPr>
                <w:b/>
                <w:i/>
              </w:rPr>
              <w:lastRenderedPageBreak/>
              <w:t>P</w:t>
            </w:r>
            <w:r>
              <w:rPr>
                <w:b/>
                <w:i/>
              </w:rPr>
              <w:t>adomes Direktīvu (ES) 2016/2102</w:t>
            </w:r>
            <w:r>
              <w:rPr>
                <w:b/>
                <w:i/>
                <w:vertAlign w:val="superscript"/>
              </w:rPr>
              <w:t>1a</w:t>
            </w:r>
            <w:r>
              <w:rPr>
                <w:b/>
                <w:i/>
              </w:rPr>
              <w:t xml:space="preserve"> un Eiropas Parlamenta un Padomes Direktīvu (ES) 2019/882</w:t>
            </w:r>
            <w:r>
              <w:rPr>
                <w:b/>
                <w:i/>
                <w:vertAlign w:val="superscript"/>
              </w:rPr>
              <w:t>1b</w:t>
            </w:r>
            <w:r>
              <w:rPr>
                <w:b/>
                <w:i/>
              </w:rPr>
              <w:t>.</w:t>
            </w:r>
          </w:p>
        </w:tc>
      </w:tr>
      <w:tr w:rsidR="00707295" w:rsidTr="00F175A1">
        <w:trPr>
          <w:jc w:val="center"/>
        </w:trPr>
        <w:tc>
          <w:tcPr>
            <w:tcW w:w="4876" w:type="dxa"/>
          </w:tcPr>
          <w:p w:rsidR="004B69B0" w:rsidRPr="006F2F4F" w:rsidRDefault="004B69B0" w:rsidP="00F175A1">
            <w:pPr>
              <w:pStyle w:val="Normal6"/>
            </w:pP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vertAlign w:val="superscript"/>
              </w:rPr>
              <w:t>1a</w:t>
            </w:r>
            <w:r>
              <w:t xml:space="preserve"> </w:t>
            </w:r>
            <w:r>
              <w:rPr>
                <w:b/>
                <w:i/>
              </w:rPr>
              <w:t xml:space="preserve">Eiropas Parlamenta un Padomes Direktīva (ES) 2016/2102 (2016. gada 26. oktobris) par publiskā sektora struktūru tīmekļvietņu un mobilo </w:t>
            </w:r>
            <w:r>
              <w:rPr>
                <w:b/>
                <w:i/>
              </w:rPr>
              <w:t>lietotņu piekļūstamību (OV L 327, 2.12.2016., 1. lpp., ELI: http://data.europa.eu/eli/dir/2016/2102/oj).</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vertAlign w:val="superscript"/>
              </w:rPr>
              <w:t>1b</w:t>
            </w:r>
            <w:r>
              <w:t xml:space="preserve"> </w:t>
            </w:r>
            <w:r>
              <w:rPr>
                <w:b/>
                <w:i/>
              </w:rPr>
              <w:t>Eiropas Parlamenta un Padomes Direktīva (ES) 2019/882 (2019. gada 17. aprīlis) par produktu un pakalpojumu piekļūstamības prasībām (OV L 151, 7.6.</w:t>
            </w:r>
            <w:r>
              <w:rPr>
                <w:b/>
                <w:i/>
              </w:rPr>
              <w:t xml:space="preserve">2019., 70. lpp., ELI: http://data.europa.eu/eli/dir/2019/882/oj). </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10</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11.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(11)</w:t>
            </w:r>
            <w:r>
              <w:tab/>
              <w:t>Darba meklētāju profilu un vakanču formāts būtu jānosaka, izmantojot pašreizējo Eiropas profesiju, prasmju, kompetenču, kvalifikāciju un profesiju klasifikāciju (European Classification of Occupations, Skills, Competencies and Qualification</w:t>
            </w:r>
            <w:r>
              <w:t>s, ESCO), kā paredzēts Regulā (ES) 2016/589</w:t>
            </w:r>
            <w:r>
              <w:rPr>
                <w:vertAlign w:val="superscript"/>
              </w:rPr>
              <w:t>8</w:t>
            </w:r>
            <w:r>
              <w:t>, kas nodrošina standartizētu profesiju, prasmju un kompetenču terminoloģiju un veicina prasmju un kvalifikāciju pārredzamību. ESCO klasifikācijai būtu jāatbalsta darba meklētāji no trešām valstīm, darba devēji u</w:t>
            </w:r>
            <w:r>
              <w:t xml:space="preserve">n ES talantu fonda valstu kontaktpunkti, sniedzot salīdzināmu informāciju par darba pieredzi, profesijām, uz kurām attiecas vakance, kā arī darba meklētāju piedāvātajām un darba devēju </w:t>
            </w:r>
            <w:r>
              <w:lastRenderedPageBreak/>
              <w:t>pieprasītajām prasmēm, nodrošinot kvalitatīvu piemeklēšanas procesu. At</w:t>
            </w:r>
            <w:r>
              <w:t>tiecīgā gadījumā ES talantu fonda valstu kontaktpunktiem būtu jāizmanto ESCO formāts, lai pārsūtītu vakances uz ES talantu fonda IT platformu. Dalībvalstīm, kuras nepieņem ESCO klasifikāciju attiecībā uz valsts vakancēm, būtu jāsagatavo apzināšanas tabulas</w:t>
            </w:r>
            <w:r>
              <w:t>, kurās tiek salīdzināta valsts sistēmās izmantotā klasifikācija un ESCO klasifikācija, lai nodrošinātu sadarbspēju. Minētās apzināšanas tabulas izmanto, lai automātiski pārkodētu informāciju par vakancēm vai darba meklētāju profiliem nolūkā veikt automati</w:t>
            </w:r>
            <w:r>
              <w:t>zētu piemeklēšanu, izmantojot kopīgo IT platformu.</w:t>
            </w:r>
          </w:p>
        </w:tc>
        <w:tc>
          <w:tcPr>
            <w:tcW w:w="4876" w:type="dxa"/>
            <w:hideMark/>
          </w:tcPr>
          <w:p w:rsidR="004B69B0" w:rsidRPr="00823585" w:rsidRDefault="006F2F4F" w:rsidP="00F175A1">
            <w:pPr>
              <w:pStyle w:val="Normal6"/>
              <w:rPr>
                <w:szCs w:val="24"/>
              </w:rPr>
            </w:pPr>
            <w:r>
              <w:lastRenderedPageBreak/>
              <w:t>(11)</w:t>
            </w:r>
            <w:r>
              <w:tab/>
              <w:t xml:space="preserve">Darba meklētāju profilu un vakanču formāts būtu jānosaka, izmantojot pašreizējo Eiropas profesiju, prasmju, kompetenču, kvalifikāciju un profesiju klasifikāciju (European Classification of </w:t>
            </w:r>
            <w:r>
              <w:t>Occupations, Skills, Competencies and Qualifications, ESCO), kā paredzēts Regulā (ES) 2016/589</w:t>
            </w:r>
            <w:r>
              <w:rPr>
                <w:vertAlign w:val="superscript"/>
              </w:rPr>
              <w:t>8</w:t>
            </w:r>
            <w:r>
              <w:t>, kas nodrošina standartizētu profesiju, prasmju un kompetenču terminoloģiju un veicina prasmju un kvalifikāciju pārredzamību. ESCO klasifikācijai būtu jāatbalst</w:t>
            </w:r>
            <w:r>
              <w:t xml:space="preserve">a darba meklētāji no trešām valstīm, darba devēji un ES Talantu fonda valstu kontaktpunkti, sniedzot salīdzināmu informāciju par darba pieredzi, profesijām, uz kurām attiecas vakance, kā arī darba meklētāju piedāvātajām un darba devēju </w:t>
            </w:r>
            <w:r>
              <w:lastRenderedPageBreak/>
              <w:t>pieprasītajām prasmē</w:t>
            </w:r>
            <w:r>
              <w:t xml:space="preserve">m, nodrošinot kvalitatīvu piemeklēšanas procesu. </w:t>
            </w:r>
            <w:r>
              <w:rPr>
                <w:b/>
                <w:i/>
              </w:rPr>
              <w:t>Saskaņā ar Komisijas 2023. gada 15. novembra Ieteikumu par trešo valstu piederīgo kvalifikācijas atzīšanu piemeklēšanas procesā būtu jāpiemēro pieeja “prasmes pirmajā vietā”, ņemot vērā visu veidu kvalifikāc</w:t>
            </w:r>
            <w:r>
              <w:rPr>
                <w:b/>
                <w:i/>
              </w:rPr>
              <w:t>ijas un prasmes, piemēram, profesionālo izglītību un apmācību, grādus, prasmju un kompetences sertifikātus, kas saņemti neformālās un ikdienējās mācīšanās kontekstā, vai konkrētus sertifikātus (mikrodiplomi).</w:t>
            </w:r>
            <w:r>
              <w:t xml:space="preserve"> Attiecīgā gadījumā ES Talantu fonda valstu kont</w:t>
            </w:r>
            <w:r>
              <w:t>aktpunktiem būtu jāizmanto ESCO formāts, lai pārsūtītu vakances uz ES Talantu fonda IT platformu. Dalībvalstīm, kuras nepieņem ESCO klasifikāciju attiecībā uz valsts vakancēm, būtu jāsagatavo apzināšanas tabulas, kurās tiek salīdzināta valsts sistēmās izma</w:t>
            </w:r>
            <w:r>
              <w:t>ntotā klasifikācija un ESCO klasifikācija, lai nodrošinātu sadarbspēju. Minētās apzināšanas tabulas izmanto, lai automātiski pārkodētu informāciju par vakancēm vai darba meklētāju profiliem nolūkā veikt automatizētu piemeklēšanu, izmantojot kopīgo IT platf</w:t>
            </w:r>
            <w:r>
              <w:t>ormu.</w:t>
            </w:r>
          </w:p>
        </w:tc>
      </w:tr>
      <w:tr w:rsidR="00707295" w:rsidTr="00F175A1">
        <w:trPr>
          <w:jc w:val="center"/>
        </w:trPr>
        <w:tc>
          <w:tcPr>
            <w:tcW w:w="4876" w:type="dxa"/>
            <w:hideMark/>
          </w:tcPr>
          <w:p w:rsidR="004B69B0" w:rsidRPr="00823585" w:rsidRDefault="006F2F4F" w:rsidP="00F175A1">
            <w:pPr>
              <w:pStyle w:val="Normal6"/>
            </w:pPr>
            <w:r>
              <w:lastRenderedPageBreak/>
              <w:t>__________________</w:t>
            </w: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hideMark/>
          </w:tcPr>
          <w:p w:rsidR="004B69B0" w:rsidRPr="00823585" w:rsidRDefault="006F2F4F" w:rsidP="00F175A1">
            <w:pPr>
              <w:pStyle w:val="Normal6"/>
            </w:pPr>
            <w:r>
              <w:rPr>
                <w:vertAlign w:val="superscript"/>
              </w:rPr>
              <w:t>8</w:t>
            </w:r>
            <w:r>
              <w:t xml:space="preserve"> Eiropas Parlamenta un Padomes Regula (ES) 2016/589 (2016. gada 13. aprīlis) par Eiropas Nodarbinātības dienestu tīklu (EURES), darba ņēmēju piekļuvi mobilitātes pakalpojumiem un turpmāku darba tirgu integrāciju un ar ko groza Regulas (ES) Nr. 492/2011 un </w:t>
            </w:r>
            <w:r>
              <w:t>(ES) Nr. 1296/2013 (OV L 107, 22.4.2016., 1. lpp., ELI: http://data.europa.eu/eli/reg/2016/589/oj).</w:t>
            </w:r>
          </w:p>
        </w:tc>
        <w:tc>
          <w:tcPr>
            <w:tcW w:w="4876" w:type="dxa"/>
            <w:hideMark/>
          </w:tcPr>
          <w:p w:rsidR="004B69B0" w:rsidRPr="00823585" w:rsidRDefault="006F2F4F" w:rsidP="00F175A1">
            <w:pPr>
              <w:pStyle w:val="Normal6"/>
              <w:rPr>
                <w:szCs w:val="24"/>
              </w:rPr>
            </w:pPr>
            <w:r>
              <w:rPr>
                <w:vertAlign w:val="superscript"/>
              </w:rPr>
              <w:t>8</w:t>
            </w:r>
            <w:r>
              <w:t xml:space="preserve"> Eiropas Parlamenta un Padomes Regula (ES) 2016/589 (2016. gada 13. aprīlis) par Eiropas Nodarbinātības dienestu tīklu (EURES), darba ņēmēju piekļuvi mobil</w:t>
            </w:r>
            <w:r>
              <w:t>itātes pakalpojumiem un turpmāku darba tirgu integrāciju un ar ko groza Regulas (ES) Nr. 492/2011 un (ES) Nr. 1296/2013 (OV L 107, 22.4.2016., 1. lpp., ELI: http://data.europa.eu/eli/reg/2016/589/oj).</w:t>
            </w:r>
          </w:p>
        </w:tc>
      </w:tr>
      <w:tr w:rsidR="00707295" w:rsidTr="00F175A1">
        <w:trPr>
          <w:jc w:val="center"/>
        </w:trPr>
        <w:tc>
          <w:tcPr>
            <w:tcW w:w="4876" w:type="dxa"/>
          </w:tcPr>
          <w:p w:rsidR="004B69B0" w:rsidRPr="006F2F4F" w:rsidRDefault="004B69B0" w:rsidP="00F175A1">
            <w:pPr>
              <w:pStyle w:val="Normal6"/>
            </w:pPr>
          </w:p>
        </w:tc>
        <w:tc>
          <w:tcPr>
            <w:tcW w:w="4876" w:type="dxa"/>
            <w:hideMark/>
          </w:tcPr>
          <w:p w:rsidR="004B69B0" w:rsidRPr="00823585" w:rsidRDefault="004B69B0" w:rsidP="00F175A1"/>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lastRenderedPageBreak/>
        <w:t>&lt;Amend&gt;</w:t>
      </w:r>
      <w:r>
        <w:t>Gro</w:t>
      </w:r>
      <w:r>
        <w:t>zījums Nr.</w:t>
      </w:r>
      <w:r>
        <w:tab/>
      </w:r>
      <w:r>
        <w:tab/>
      </w:r>
      <w:r w:rsidRPr="006F2F4F">
        <w:rPr>
          <w:rStyle w:val="HideTWBExt"/>
        </w:rPr>
        <w:t>&lt;NumAm&gt;</w:t>
      </w:r>
      <w:r>
        <w:t>11</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14.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(14)</w:t>
            </w:r>
            <w:r>
              <w:tab/>
              <w:t xml:space="preserve">Reģistrētiem darba meklētājiem no trešām valstīm vajadzētu būt tiesībām izvēlēties kādu no vairākām </w:t>
            </w:r>
            <w:r>
              <w:t xml:space="preserve">tehniskām iespējām, lai ierobežotu piekļuvi saviem personas datiem, piem., ierobežojot piekļuvi viņu kontaktinformācijai. Reģistrēto trešo valstu darba meklētāju un ES talantu fonda IT platformā iesaistīto darba devēju profili, kas nav izmantoti </w:t>
            </w:r>
            <w:r>
              <w:rPr>
                <w:b/>
                <w:i/>
              </w:rPr>
              <w:t>divus gadu</w:t>
            </w:r>
            <w:r>
              <w:rPr>
                <w:b/>
                <w:i/>
              </w:rPr>
              <w:t>s</w:t>
            </w:r>
            <w:r>
              <w:t>, būtu automātiski jāizņem. Veicot profilu izņemšanu, iespējams, tiks turpināta ierobežotas anonimizētu datu kopas glabāšana pētniecības un statistikas nolūkiem, tai skaitā Eiropas statistikas sagatavošanas un tās kvalitātes nodrošināšanai.</w:t>
            </w:r>
          </w:p>
        </w:tc>
        <w:tc>
          <w:tcPr>
            <w:tcW w:w="4876" w:type="dxa"/>
            <w:hideMark/>
          </w:tcPr>
          <w:p w:rsidR="004B69B0" w:rsidRPr="00823585" w:rsidRDefault="006F2F4F" w:rsidP="00F175A1">
            <w:pPr>
              <w:pStyle w:val="Normal6"/>
              <w:rPr>
                <w:szCs w:val="24"/>
              </w:rPr>
            </w:pPr>
            <w:r>
              <w:t>(14)</w:t>
            </w:r>
            <w:r>
              <w:tab/>
            </w:r>
            <w:r>
              <w:rPr>
                <w:b/>
                <w:i/>
              </w:rPr>
              <w:t>Profila r</w:t>
            </w:r>
            <w:r>
              <w:rPr>
                <w:b/>
                <w:i/>
              </w:rPr>
              <w:t>eģistrēšanai, kā arī attiecīgi vakanču meklēšanai un publicēšanai vajadzētu būt bez maksas gan darba meklētājiem no trešām valstīm, gan darba devējiem.</w:t>
            </w:r>
            <w:r>
              <w:t xml:space="preserve"> Reģistrētiem darba meklētājiem no trešām valstīm vajadzētu būt tiesībām izvēlēties kādu no vairākām tehn</w:t>
            </w:r>
            <w:r>
              <w:t xml:space="preserve">iskām iespējām, lai ierobežotu piekļuvi saviem personas datiem, piem., ierobežojot piekļuvi viņu kontaktinformācijai. </w:t>
            </w:r>
            <w:r>
              <w:rPr>
                <w:b/>
                <w:i/>
              </w:rPr>
              <w:t>Informācija par to, kā šīs iespējas izmantot, būtu jādara pieejama skaidrā, vispusīgā, lietotājdraudzīgā veidā un personām ar invaliditāti</w:t>
            </w:r>
            <w:r>
              <w:rPr>
                <w:b/>
                <w:i/>
              </w:rPr>
              <w:t xml:space="preserve"> piekļūstamā formātā, ievērojot attiecīgos piekļūstamības standartus, kas noteikti Direktīvā (ES) 2016/2102, kā arī attiecīgās pakalpojumu piekļūstamības prasības, kas noteiktas Direktīvas (ES) 2019/882 I pielikumā. </w:t>
            </w:r>
            <w:r>
              <w:t xml:space="preserve">Reģistrēto trešo valstu darba meklētāju </w:t>
            </w:r>
            <w:r>
              <w:t xml:space="preserve">un ES Talantu fonda IT platformā iesaistīto darba devēju profili, kas nav izmantoti </w:t>
            </w:r>
            <w:r>
              <w:rPr>
                <w:b/>
                <w:i/>
              </w:rPr>
              <w:t>vienu gadu</w:t>
            </w:r>
            <w:r>
              <w:t>, būtu automātiski jāizņem</w:t>
            </w:r>
            <w:r>
              <w:rPr>
                <w:b/>
                <w:i/>
              </w:rPr>
              <w:t>, lai uzlabotu aizsardzības pasākumus personas datu aizsardzībai un izvairītos no tā, ka IT sistēma ir pārlieku neelastīga</w:t>
            </w:r>
            <w:r>
              <w:t>. Veicot profi</w:t>
            </w:r>
            <w:r>
              <w:t xml:space="preserve">lu izņemšanu, iespējams, tiks turpināta ierobežotas anonimizētu datu kopas glabāšana pētniecības un statistikas nolūkiem, tai skaitā Eiropas statistikas sagatavošanas un tās kvalitātes nodrošināšanai. </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12</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16.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(16)</w:t>
            </w:r>
            <w:r>
              <w:tab/>
              <w:t>ES talantu fondam būtu jāpalīdz sasniegt mērķi atturēt no neatbilstīgas migrācijas, tai skaitā atvie</w:t>
            </w:r>
            <w:r>
              <w:t xml:space="preserve">glojot piekļuvi esošajiem likumīgajiem kanāliem. Darba meklētājiem no trešām valstīm, uz kuriem attiecas tiesas vai administratīvs lēmums, ar </w:t>
            </w:r>
            <w:r>
              <w:rPr>
                <w:b/>
                <w:i/>
              </w:rPr>
              <w:t>kuru</w:t>
            </w:r>
            <w:r>
              <w:t xml:space="preserve"> atteikta ieceļošana vai uzturēšanās dalībvalstī, vai ieceļošanas aizliegums saskaņā ar Eiropas Parlamenta un </w:t>
            </w:r>
            <w:r>
              <w:t>Padomes Direktīvu 2008/115/EK</w:t>
            </w:r>
            <w:r>
              <w:rPr>
                <w:vertAlign w:val="superscript"/>
              </w:rPr>
              <w:t>11</w:t>
            </w:r>
            <w:r>
              <w:t xml:space="preserve">, nevajadzētu ļaut reģistrēt </w:t>
            </w:r>
            <w:r>
              <w:rPr>
                <w:b/>
                <w:i/>
              </w:rPr>
              <w:t>viņu</w:t>
            </w:r>
            <w:r>
              <w:t xml:space="preserve"> profilus ES talantu fonda IT platformā, ņemot vērā, ka viņiem netiks atļauts ieceļot un uzturēties Savienībā. Šajā nolūkā būtu jāpieprasa darba meklētājiem no trešām valstīm </w:t>
            </w:r>
            <w:r>
              <w:rPr>
                <w:b/>
                <w:i/>
              </w:rPr>
              <w:t>pirms viņu</w:t>
            </w:r>
            <w:r>
              <w:t xml:space="preserve"> profil</w:t>
            </w:r>
            <w:r>
              <w:t xml:space="preserve">u reģistrēšanas ES talantu fondā apliecināt, ka uz viņiem pašlaik neattiecas ieceļošanas vai uzturēšanās atteikums kādā dalībvalstī vai ieceļošanas aizliegums Savienības teritorijā. Attiecīgi būtu jāsniedz arī informācija par sekām nepatiesa apliecinājuma </w:t>
            </w:r>
            <w:r>
              <w:t>gadījumā.</w:t>
            </w:r>
          </w:p>
        </w:tc>
        <w:tc>
          <w:tcPr>
            <w:tcW w:w="4876" w:type="dxa"/>
            <w:hideMark/>
          </w:tcPr>
          <w:p w:rsidR="004B69B0" w:rsidRPr="00823585" w:rsidRDefault="006F2F4F" w:rsidP="00F175A1">
            <w:pPr>
              <w:pStyle w:val="Normal6"/>
              <w:rPr>
                <w:szCs w:val="24"/>
              </w:rPr>
            </w:pPr>
            <w:r>
              <w:t>(16)</w:t>
            </w:r>
            <w:r>
              <w:tab/>
              <w:t>ES Talantu fondam būtu jāpalīdz sasniegt mērķi atturēt no neatbilstīgas migrācijas, tai skaitā atvieglojot piekļuvi esošajiem likumīgajiem kanāliem. Darba meklētājiem no trešām valstīm, uz kuriem attiecas tiesas vai administratīvs lēmums, ar</w:t>
            </w:r>
            <w:r>
              <w:t xml:space="preserve"> </w:t>
            </w:r>
            <w:r>
              <w:rPr>
                <w:b/>
                <w:i/>
              </w:rPr>
              <w:t>ko</w:t>
            </w:r>
            <w:r>
              <w:t xml:space="preserve"> atteikta ieceļošana vai uzturēšanās dalībvalstī, vai ieceļošanas aizliegums saskaņā ar Eiropas Parlamenta un Padomes Direktīvu 2008/115/EK</w:t>
            </w:r>
            <w:r>
              <w:rPr>
                <w:vertAlign w:val="superscript"/>
              </w:rPr>
              <w:t>11</w:t>
            </w:r>
            <w:r>
              <w:t xml:space="preserve">, nevajadzētu ļaut reģistrēt </w:t>
            </w:r>
            <w:r>
              <w:rPr>
                <w:b/>
                <w:i/>
              </w:rPr>
              <w:t>savus</w:t>
            </w:r>
            <w:r>
              <w:t xml:space="preserve"> profilus ES Talantu fonda IT platformā, ņemot vērā, ka viņiem netiks </w:t>
            </w:r>
            <w:r>
              <w:rPr>
                <w:b/>
                <w:i/>
              </w:rPr>
              <w:t>uz notei</w:t>
            </w:r>
            <w:r>
              <w:rPr>
                <w:b/>
                <w:i/>
              </w:rPr>
              <w:t xml:space="preserve">ktu laiku </w:t>
            </w:r>
            <w:r>
              <w:t xml:space="preserve">atļauts ieceļot un uzturēties Savienībā. Šajā nolūkā būtu jāpieprasa darba meklētājiem no trešām valstīm </w:t>
            </w:r>
            <w:r>
              <w:rPr>
                <w:b/>
                <w:i/>
              </w:rPr>
              <w:t>savu</w:t>
            </w:r>
            <w:r>
              <w:t xml:space="preserve"> profilu reģistrēšanas</w:t>
            </w:r>
            <w:r>
              <w:rPr>
                <w:b/>
                <w:i/>
              </w:rPr>
              <w:t xml:space="preserve"> brīdī</w:t>
            </w:r>
            <w:r>
              <w:t xml:space="preserve"> ES Talantu fondā apliecināt, ka uz viņiem pašlaik neattiecas ieceļošanas vai uzturēšanās atteikums kādā dalī</w:t>
            </w:r>
            <w:r>
              <w:t xml:space="preserve">bvalstī vai ieceļošanas aizliegums Savienības teritorijā. Attiecīgi būtu jāsniedz arī informācija par sekām nepatiesa apliecinājuma gadījumā. </w:t>
            </w:r>
            <w:r>
              <w:rPr>
                <w:b/>
                <w:i/>
              </w:rPr>
              <w:t>Tiklīdz darba devējam ir piemeklēts darba meklētājs no trešās valsts, attiecīgajam ES Talantu fonda valsts kontakt</w:t>
            </w:r>
            <w:r>
              <w:rPr>
                <w:b/>
                <w:i/>
              </w:rPr>
              <w:t xml:space="preserve">punktam pēc pieprasījuma būtu jāsaņem informācija no Šengenas Informācijas sistēmas, lai pārbaudītu darba meklētāja apliecinājuma pareizību. Ja ir atklāts, ka uz darba meklētāju no trešās valsts attiecas tiesas vai administratīvs lēmums, kas liedz ieceļot </w:t>
            </w:r>
            <w:r>
              <w:rPr>
                <w:b/>
                <w:i/>
              </w:rPr>
              <w:t>vai uzturēties dalībvalstī, vai ieceļošanas aizliegums saskaņā ar Eiropas Parlamenta un Padomes Direktīvu 2008/115/EK</w:t>
            </w:r>
            <w:r>
              <w:rPr>
                <w:b/>
                <w:i/>
                <w:vertAlign w:val="superscript"/>
              </w:rPr>
              <w:t>10a</w:t>
            </w:r>
            <w:r>
              <w:rPr>
                <w:b/>
                <w:i/>
              </w:rPr>
              <w:t>, ES Talantu fonda valsts kontaktpunktam par to būtu jāpaziņo ES Talantu fonda sekretariātam. Savukārt ES Talantu fonda sekretariātam ši</w:t>
            </w:r>
            <w:r>
              <w:rPr>
                <w:b/>
                <w:i/>
              </w:rPr>
              <w:t>s darba meklētāja profils būtu jādzēš no ES Talantu fonda IT platformas. Tomēr saskaņā ar proporcionalitātes principu darba meklētājam no trešās valsts vajadzētu būt iespējai izveidot jaunu profilu, lai reģistrētos ES Talantu fonda IT platformā, kad minēta</w:t>
            </w:r>
            <w:r>
              <w:rPr>
                <w:b/>
                <w:i/>
              </w:rPr>
              <w:t xml:space="preserve">is tiesas vai </w:t>
            </w:r>
            <w:r>
              <w:rPr>
                <w:b/>
                <w:i/>
              </w:rPr>
              <w:lastRenderedPageBreak/>
              <w:t>administratīvais lēmums vai ieceļošanas aizliegums uz viņu vairs neattiecas. Personām, kuras ir notiesātas par noziedzīgiem nodarījumiem, kas rada vai ietver draudus kādas dalībvalsts valsts drošībai, nekad nevajadzētu būt iespējai reģistrēti</w:t>
            </w:r>
            <w:r>
              <w:rPr>
                <w:b/>
                <w:i/>
              </w:rPr>
              <w:t>es kā darba meklētājiem ES Talantu fondā. Ar šādiem noziedzīgiem nodarījumiem būtu jāsaprot nodarījumi, kuru mērķis ir nopietni iebiedēt iedzīvotājus, nepienācīgi piespiest valdību veikt vai neveikt kādu darbību vai būtiski destabilizēt vai graut dalībvals</w:t>
            </w:r>
            <w:r>
              <w:rPr>
                <w:b/>
                <w:i/>
              </w:rPr>
              <w:t>ts politiskās, konstitucionālās, ekonomiskās vai sociālās pamatstruktūras, piemēram, nodevība vai teroristiski nodarījumi, kas minēti Eiropas Parlamenta un Padomes Direktīvā (ES) 2017/541</w:t>
            </w:r>
            <w:r>
              <w:rPr>
                <w:b/>
                <w:i/>
                <w:vertAlign w:val="superscript"/>
              </w:rPr>
              <w:t>11a</w:t>
            </w:r>
            <w:r>
              <w:rPr>
                <w:b/>
                <w:i/>
              </w:rPr>
              <w:t>.</w:t>
            </w:r>
          </w:p>
        </w:tc>
      </w:tr>
      <w:tr w:rsidR="00707295" w:rsidTr="00F175A1">
        <w:trPr>
          <w:jc w:val="center"/>
        </w:trPr>
        <w:tc>
          <w:tcPr>
            <w:tcW w:w="4876" w:type="dxa"/>
            <w:hideMark/>
          </w:tcPr>
          <w:p w:rsidR="004B69B0" w:rsidRPr="00823585" w:rsidRDefault="006F2F4F" w:rsidP="00F175A1">
            <w:pPr>
              <w:pStyle w:val="Normal6"/>
            </w:pPr>
            <w:r>
              <w:lastRenderedPageBreak/>
              <w:t>__________________</w:t>
            </w: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tcPr>
          <w:p w:rsidR="004B69B0" w:rsidRPr="00823585" w:rsidRDefault="004B69B0" w:rsidP="00F175A1">
            <w:pPr>
              <w:pStyle w:val="Normal6"/>
              <w:rPr>
                <w:vertAlign w:val="superscript"/>
                <w:lang w:val="en-GB"/>
              </w:rPr>
            </w:pPr>
          </w:p>
        </w:tc>
        <w:tc>
          <w:tcPr>
            <w:tcW w:w="4876" w:type="dxa"/>
            <w:hideMark/>
          </w:tcPr>
          <w:p w:rsidR="004B69B0" w:rsidRPr="00823585" w:rsidRDefault="006F2F4F" w:rsidP="00F175A1">
            <w:pPr>
              <w:pStyle w:val="Normal6"/>
              <w:rPr>
                <w:i/>
                <w:iCs/>
              </w:rPr>
            </w:pPr>
            <w:r>
              <w:rPr>
                <w:b/>
                <w:i/>
                <w:iCs/>
                <w:vertAlign w:val="superscript"/>
              </w:rPr>
              <w:t>10a</w:t>
            </w:r>
            <w:r>
              <w:rPr>
                <w:b/>
                <w:i/>
                <w:iCs/>
              </w:rPr>
              <w:t xml:space="preserve"> Eiropas Parlamenta un Padomes Direktīva 2008/115/EK (2008. gada 16. decembris) par kopīgiem standartiem un procedūrām dalībvalstīs attiecībā uz to trešo valstu valstspiederīgo atgriešanu, kas dalībvalstī uzturas nelikumīgi (OV L 348, 24.12.2008., 98. lpp.</w:t>
            </w:r>
            <w:r>
              <w:rPr>
                <w:b/>
                <w:i/>
                <w:iCs/>
              </w:rPr>
              <w:t>, ELI:</w:t>
            </w:r>
            <w:r>
              <w:rPr>
                <w:b/>
              </w:rPr>
              <w:t xml:space="preserve"> </w:t>
            </w:r>
            <w:hyperlink r:id="rId9" w:tooltip="Nodrošina piekļuvi šim dokumentam, izmantojot ELI URI." w:history="1">
              <w:r>
                <w:rPr>
                  <w:rStyle w:val="Hyperlink"/>
                  <w:b/>
                  <w:i/>
                  <w:color w:val="auto"/>
                </w:rPr>
                <w:t>http://data.europa.eu/eli/dir/2008/115/oj</w:t>
              </w:r>
            </w:hyperlink>
            <w:r>
              <w:rPr>
                <w:b/>
                <w:i/>
              </w:rPr>
              <w:t>).</w:t>
            </w:r>
          </w:p>
        </w:tc>
      </w:tr>
      <w:tr w:rsidR="00707295" w:rsidTr="00F175A1">
        <w:trPr>
          <w:jc w:val="center"/>
        </w:trPr>
        <w:tc>
          <w:tcPr>
            <w:tcW w:w="4876" w:type="dxa"/>
            <w:hideMark/>
          </w:tcPr>
          <w:p w:rsidR="004B69B0" w:rsidRPr="00823585" w:rsidRDefault="006F2F4F" w:rsidP="00F175A1">
            <w:pPr>
              <w:pStyle w:val="Normal6"/>
            </w:pPr>
            <w:r>
              <w:rPr>
                <w:vertAlign w:val="superscript"/>
              </w:rPr>
              <w:t>11</w:t>
            </w:r>
            <w:r>
              <w:t xml:space="preserve"> Eiropas Parlamenta un Padomes Direktīva 2008/115/EK (2008. gada 16. decembris) par </w:t>
            </w:r>
            <w:r>
              <w:t>kopīgiem standartiem un procedūrām dalībvalstīs attiecībā uz to trešo valstu valstspiederīgo atgriešanu, kas dalībvalstī uzturas nelikumīgi (OV L 348, 24.12.2008., 98. lpp., ELI: http://data.europa.eu/eli/dir/2008/115/oj).</w:t>
            </w:r>
          </w:p>
        </w:tc>
        <w:tc>
          <w:tcPr>
            <w:tcW w:w="4876" w:type="dxa"/>
            <w:hideMark/>
          </w:tcPr>
          <w:p w:rsidR="004B69B0" w:rsidRPr="00823585" w:rsidRDefault="006F2F4F" w:rsidP="00F175A1">
            <w:pPr>
              <w:pStyle w:val="Normal6"/>
              <w:rPr>
                <w:szCs w:val="24"/>
              </w:rPr>
            </w:pPr>
            <w:r>
              <w:rPr>
                <w:vertAlign w:val="superscript"/>
              </w:rPr>
              <w:t>11</w:t>
            </w:r>
            <w:r>
              <w:t xml:space="preserve"> Eiropas Parlamenta un Padomes </w:t>
            </w:r>
            <w:r>
              <w:t>Direktīva 2008/115/EK (2008. gada 16. decembris) par kopīgiem standartiem un procedūrām dalībvalstīs attiecībā uz to trešo valstu valstspiederīgo atgriešanu, kas dalībvalstī uzturas nelikumīgi (OV L 348, 24.12.2008., 98. lpp., ELI: http://data.europa.eu/el</w:t>
            </w:r>
            <w:r>
              <w:t>i/dir/2008/115/oj).</w:t>
            </w:r>
          </w:p>
        </w:tc>
      </w:tr>
      <w:tr w:rsidR="00707295" w:rsidTr="00F175A1">
        <w:trPr>
          <w:jc w:val="center"/>
        </w:trPr>
        <w:tc>
          <w:tcPr>
            <w:tcW w:w="4876" w:type="dxa"/>
          </w:tcPr>
          <w:p w:rsidR="004B69B0" w:rsidRPr="006F2F4F" w:rsidRDefault="004B69B0" w:rsidP="00F175A1">
            <w:pPr>
              <w:pStyle w:val="Normal6"/>
            </w:pPr>
          </w:p>
        </w:tc>
        <w:tc>
          <w:tcPr>
            <w:tcW w:w="4876" w:type="dxa"/>
            <w:hideMark/>
          </w:tcPr>
          <w:p w:rsidR="004B69B0" w:rsidRPr="00823585" w:rsidRDefault="006F2F4F" w:rsidP="00F175A1">
            <w:pPr>
              <w:pStyle w:val="Normal6"/>
              <w:rPr>
                <w:szCs w:val="24"/>
              </w:rPr>
            </w:pPr>
            <w:r>
              <w:rPr>
                <w:b/>
                <w:i/>
                <w:vertAlign w:val="superscript"/>
              </w:rPr>
              <w:t>11a</w:t>
            </w:r>
            <w:r>
              <w:t xml:space="preserve"> </w:t>
            </w:r>
            <w:r>
              <w:rPr>
                <w:b/>
                <w:i/>
              </w:rPr>
              <w:t>Eiropas Parlamenta un Padomes Direktīva (ES) 2017/541 (2017. gada 15. marts) par terorisma apkarošanu un ar ko aizstāj Padomes Pamatlēmumu 2002/475/TI un groza Padomes Lēmumu 2005/671/TI (OV L 88, 31.3.2017., 6. lpp., ELI: http://</w:t>
            </w:r>
            <w:r>
              <w:rPr>
                <w:b/>
                <w:i/>
              </w:rPr>
              <w:t xml:space="preserve">data.europa.eu/eli/dir/2017/541/oj). </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lastRenderedPageBreak/>
        <w:t>&lt;Amend&gt;</w:t>
      </w:r>
      <w:r>
        <w:t>Grozījums Nr.</w:t>
      </w:r>
      <w:r>
        <w:tab/>
      </w:r>
      <w:r>
        <w:tab/>
      </w:r>
      <w:r w:rsidRPr="006F2F4F">
        <w:rPr>
          <w:rStyle w:val="HideTWBExt"/>
        </w:rPr>
        <w:t>&lt;NumAm&gt;</w:t>
      </w:r>
      <w:r>
        <w:t>13</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16.a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(16a)</w:t>
            </w:r>
            <w:r>
              <w:rPr>
                <w:b/>
                <w:i/>
              </w:rPr>
              <w:tab/>
            </w:r>
            <w:r>
              <w:rPr>
                <w:b/>
                <w:i/>
              </w:rPr>
              <w:t>Saskaņā ar proporcionalitātes principu un nolūkā veicināt taisnīgu pieņemšanu darbā uz darba devēju dalību ES Talantu fonda IT platformā būtu jāattiecas arī konkrētiem nosacījumiem. Reģistrējoties darba devējiem vajadzētu prasīt norādīt savu kontaktinformā</w:t>
            </w:r>
            <w:r>
              <w:rPr>
                <w:b/>
                <w:i/>
              </w:rPr>
              <w:t xml:space="preserve">ciju, tostarp uzņēmuma reģistrācijas numuru, un to fizisko personu sodāmības reģistra izrakstus, kuras uzņēmumu vada. Tāpat ES Talantu fonda valsts kontaktpunktam būtu jāprasa darba devējiem piedalīties informācijas sesijā par taisnīgu pieņemšanu darbā un </w:t>
            </w:r>
            <w:r>
              <w:rPr>
                <w:b/>
                <w:i/>
              </w:rPr>
              <w:t>starptautiskajiem darba standartiem. Pēc dalības šajā sesijā būtu jāpiedāvā darba devējam piedalīties papildu informācijas sesijās un semināros par taisnīgu pieņemšanu darbā, ko organizē ES Talantu fonda valsts kontaktpunkts. Darba devējiem vajadzētu būt i</w:t>
            </w:r>
            <w:r>
              <w:rPr>
                <w:b/>
                <w:i/>
              </w:rPr>
              <w:t>espējai savā profilā publicēt informāciju par šādu papildu semināru pabeigšanu, lai potenciālajiem darbiniekiem parādītu savu apņemšanos nodrošināt taisnīgu pieņemšanu darbā un pienācīgus darba apstākļus. Papildu semināru īstenošanai par taisnīgu pieņemšan</w:t>
            </w:r>
            <w:r>
              <w:rPr>
                <w:b/>
                <w:i/>
              </w:rPr>
              <w:t>u darbā būtu arī jāpalīdz darba devējam iegūt plašāku pamanāmību ES Talantu fonda IT platformā, pateicoties automatizētajai piemeklēšanas sistēmai. Pirms profila pieņemšanas sistēmā ES Talantu fonda valstu kontaktpunktiem būtu jāveic iecēlējā dalībvalstī i</w:t>
            </w:r>
            <w:r>
              <w:rPr>
                <w:b/>
                <w:i/>
              </w:rPr>
              <w:t>edibināto darba devēju pārbaudes process, pamatojoties uz visu pieejamo informāciju.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14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16.b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(16b)</w:t>
            </w:r>
            <w:r>
              <w:rPr>
                <w:b/>
                <w:i/>
              </w:rPr>
              <w:tab/>
              <w:t xml:space="preserve">Ja darba devējs pārkāpj attiecīgos šajā regulā minētos tiesību aktus un praksi un attiecīgās valsts iestādes, kas atbild par attiecīgo tiesību aktu un prakses izpildes panākšanu, par to paziņo ES Talantu </w:t>
            </w:r>
            <w:r>
              <w:rPr>
                <w:b/>
                <w:i/>
              </w:rPr>
              <w:t>fonda valsts kontaktpunktiem, darba devēja piekļuve ES Talantu fondam būtu jāaptur un tā darba vakances būtu jāizņem. Apturēšana būtu nekavējoties jāatceļ, tiklīdz attiecīgās valsts iestādes ir paziņojušas ES Talantu fonda valsts kontaktpunktiem, ka attiec</w:t>
            </w:r>
            <w:r>
              <w:rPr>
                <w:b/>
                <w:i/>
              </w:rPr>
              <w:t>īgo tiesību aktu un prakses pārkāpums ir novērsts, vai tiklīdz attiecīgais darba devējs ir pierādījis, ka tas ir novērsts. Ja ir pārkāpta Eiropas Parlamenta un Padomes Direktīva 2009/52/EK</w:t>
            </w:r>
            <w:r>
              <w:rPr>
                <w:b/>
                <w:i/>
                <w:vertAlign w:val="superscript"/>
              </w:rPr>
              <w:t>1a</w:t>
            </w:r>
            <w:r>
              <w:rPr>
                <w:b/>
                <w:i/>
              </w:rPr>
              <w:t xml:space="preserve"> vai (ES) 2024/1712</w:t>
            </w:r>
            <w:r>
              <w:rPr>
                <w:b/>
                <w:i/>
                <w:vertAlign w:val="superscript"/>
              </w:rPr>
              <w:t>1b</w:t>
            </w:r>
            <w:r>
              <w:rPr>
                <w:b/>
                <w:i/>
              </w:rPr>
              <w:t xml:space="preserve">, darba devēja dalību ES Talantu fondā aptur </w:t>
            </w:r>
            <w:r>
              <w:rPr>
                <w:b/>
                <w:i/>
              </w:rPr>
              <w:t>uz nenoteiktu laiku.</w:t>
            </w:r>
          </w:p>
        </w:tc>
      </w:tr>
      <w:tr w:rsidR="00707295" w:rsidTr="00F175A1">
        <w:trPr>
          <w:jc w:val="center"/>
        </w:trPr>
        <w:tc>
          <w:tcPr>
            <w:tcW w:w="4876" w:type="dxa"/>
          </w:tcPr>
          <w:p w:rsidR="004B69B0" w:rsidRPr="006F2F4F" w:rsidRDefault="004B69B0" w:rsidP="00F175A1">
            <w:pPr>
              <w:pStyle w:val="Normal6"/>
            </w:pPr>
          </w:p>
        </w:tc>
        <w:tc>
          <w:tcPr>
            <w:tcW w:w="4876" w:type="dxa"/>
            <w:hideMark/>
          </w:tcPr>
          <w:p w:rsidR="004B69B0" w:rsidRPr="00823585" w:rsidRDefault="006F2F4F" w:rsidP="00F175A1">
            <w:pPr>
              <w:pStyle w:val="Normal6"/>
              <w:rPr>
                <w:b/>
                <w:i/>
              </w:rPr>
            </w:pPr>
            <w:r>
              <w:rPr>
                <w:b/>
                <w:i/>
              </w:rPr>
              <w:t>_______________</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b/>
                <w:i/>
                <w:vertAlign w:val="superscript"/>
              </w:rPr>
            </w:pPr>
            <w:r>
              <w:rPr>
                <w:b/>
                <w:i/>
                <w:vertAlign w:val="superscript"/>
              </w:rPr>
              <w:t>1a</w:t>
            </w:r>
            <w:r>
              <w:rPr>
                <w:b/>
                <w:i/>
              </w:rPr>
              <w:t xml:space="preserve"> Eiropas Parlamenta un Padomes Direktīva 2009/52/EK (2009. gada 18. jūnijs), ar ko nosaka minimālos standartus sankcijām un pasākumiem pret darba devējiem, kas nodarbina trešo valstu valstspiederīgos, kuri dalībva</w:t>
            </w:r>
            <w:r>
              <w:rPr>
                <w:b/>
                <w:i/>
              </w:rPr>
              <w:t xml:space="preserve">lstīs uzturas nelikumīgi (OV L 168, 30.6.2009., 24. lpp., ELI: </w:t>
            </w:r>
            <w:hyperlink r:id="rId10" w:tooltip="Nodrošina piekļuvi šim dokumentam, izmantojot ELI URI." w:history="1">
              <w:r>
                <w:rPr>
                  <w:rStyle w:val="Hyperlink"/>
                  <w:b/>
                  <w:i/>
                  <w:color w:val="auto"/>
                </w:rPr>
                <w:t>http://data.europa.eu/eli/dir/2009/52/oj</w:t>
              </w:r>
            </w:hyperlink>
            <w:r>
              <w:rPr>
                <w:b/>
                <w:i/>
              </w:rPr>
              <w:t>).</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b/>
                <w:i/>
              </w:rPr>
            </w:pPr>
            <w:r>
              <w:rPr>
                <w:b/>
                <w:i/>
                <w:iCs/>
                <w:vertAlign w:val="superscript"/>
              </w:rPr>
              <w:t>1b</w:t>
            </w:r>
            <w:r>
              <w:rPr>
                <w:b/>
                <w:i/>
                <w:iCs/>
              </w:rPr>
              <w:t xml:space="preserve"> Eiropas Parlamenta un Padome</w:t>
            </w:r>
            <w:r>
              <w:rPr>
                <w:b/>
                <w:i/>
                <w:iCs/>
              </w:rPr>
              <w:t>s Direktīva (ES) 2024/1712 (2024. gada 13. jūnijs), ar ko groza Direktīvu 2011/36/ES par cilvēku tirdzniecības novēršanu un apkarošanu un cietušo aizsardzību (OV L, 2024/1712, 24.6.2024, ELI:,</w:t>
            </w:r>
            <w:r>
              <w:rPr>
                <w:b/>
              </w:rPr>
              <w:t> </w:t>
            </w:r>
            <w:hyperlink r:id="rId11" w:tgtFrame="_blank" w:tooltip="Nodrošina piekļuvi šim dokumentam, izmantojot ELI URI." w:history="1">
              <w:r>
                <w:rPr>
                  <w:rStyle w:val="Hyperlink"/>
                  <w:b/>
                  <w:color w:val="auto"/>
                </w:rPr>
                <w:t>http://data.europa.eu/eli/dir/2024/1712/oj</w:t>
              </w:r>
            </w:hyperlink>
            <w:r>
              <w:rPr>
                <w:b/>
              </w:rPr>
              <w:t>).</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lastRenderedPageBreak/>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15</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 xml:space="preserve">17. </w:t>
      </w:r>
      <w:r>
        <w:t>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(17)</w:t>
            </w:r>
            <w:r>
              <w:tab/>
              <w:t>Trešo valstu darba meklētājiem, kuri vēlas reģistrēties ES talantu fondā, jāizveido profils, izmantojot Europass</w:t>
            </w:r>
            <w:r>
              <w:rPr>
                <w:vertAlign w:val="superscript"/>
              </w:rPr>
              <w:t>12</w:t>
            </w:r>
            <w:r>
              <w:t xml:space="preserve"> profilu veidošanas funkcijas, kas ļauj izveidot bezmaksas profilu un ziņot par attiecīgajām prasmēm, kvalifikācijām un citu pieredzi vienā drošā tiešsaistes vidē.</w:t>
            </w:r>
          </w:p>
        </w:tc>
        <w:tc>
          <w:tcPr>
            <w:tcW w:w="4876" w:type="dxa"/>
            <w:hideMark/>
          </w:tcPr>
          <w:p w:rsidR="004B69B0" w:rsidRPr="00823585" w:rsidRDefault="006F2F4F" w:rsidP="00F175A1">
            <w:pPr>
              <w:pStyle w:val="Normal6"/>
              <w:rPr>
                <w:szCs w:val="24"/>
              </w:rPr>
            </w:pPr>
            <w:r>
              <w:t>(17)</w:t>
            </w:r>
            <w:r>
              <w:tab/>
              <w:t>Trešo valstu darba meklētājiem, kuri vēlas reģistrēties ES Talantu fondā, būtu jāspēj i</w:t>
            </w:r>
            <w:r>
              <w:t>zveidot profilu, izmantojot Europass</w:t>
            </w:r>
            <w:r>
              <w:rPr>
                <w:vertAlign w:val="superscript"/>
              </w:rPr>
              <w:t>12</w:t>
            </w:r>
            <w:r>
              <w:t xml:space="preserve"> profilu veidošanas funkcijas, kas ļauj izveidot bezmaksas profilu un ziņot par attiecīgajām prasmēm, kvalifikācijām un citu pieredzi vienā drošā tiešsaistes vidē. </w:t>
            </w:r>
            <w:r>
              <w:rPr>
                <w:b/>
                <w:i/>
              </w:rPr>
              <w:t xml:space="preserve">ES Talantu fondam būtu jāuzlabo piekļuve informācijai </w:t>
            </w:r>
            <w:r>
              <w:rPr>
                <w:b/>
                <w:i/>
              </w:rPr>
              <w:t>par atbilstības un atlases kritērijiem. Šiem kritērijiem vajadzētu būt pārredzamiem, nediskriminējošiem un plašiem, lai varētu uzņemt visu prasmju līmeņu darba meklētājus. ES Talantu fonda automatizētajai piemeklēšanas sistēmā vajadzētu būt integrētiem aiz</w:t>
            </w:r>
            <w:r>
              <w:rPr>
                <w:b/>
                <w:i/>
              </w:rPr>
              <w:t xml:space="preserve">sardzības pasākumiem pret diskrimināciju vai neobjektivitāti. ES Talantu fonda sekretariātam būtu jāsadarbojas ar tādām ieinteresētajām personām kā uzņēmējdarbības organizācijas un organizācijas, kas strādā ar trešo valstu valstspiederīgajiem, lai vairotu </w:t>
            </w:r>
            <w:r>
              <w:rPr>
                <w:b/>
                <w:i/>
              </w:rPr>
              <w:t>informētību un uzlabotu izpratni par Europass un tā funkcijām.</w:t>
            </w:r>
          </w:p>
        </w:tc>
      </w:tr>
      <w:tr w:rsidR="00707295" w:rsidTr="00F175A1">
        <w:trPr>
          <w:jc w:val="center"/>
        </w:trPr>
        <w:tc>
          <w:tcPr>
            <w:tcW w:w="4876" w:type="dxa"/>
            <w:hideMark/>
          </w:tcPr>
          <w:p w:rsidR="004B69B0" w:rsidRPr="00823585" w:rsidRDefault="006F2F4F" w:rsidP="00F175A1">
            <w:pPr>
              <w:pStyle w:val="Normal6"/>
            </w:pPr>
            <w:r>
              <w:t>__________________</w:t>
            </w: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hideMark/>
          </w:tcPr>
          <w:p w:rsidR="004B69B0" w:rsidRPr="00823585" w:rsidRDefault="006F2F4F" w:rsidP="00F175A1">
            <w:pPr>
              <w:pStyle w:val="Normal6"/>
            </w:pPr>
            <w:r>
              <w:rPr>
                <w:vertAlign w:val="superscript"/>
              </w:rPr>
              <w:t>12</w:t>
            </w:r>
            <w:r>
              <w:t xml:space="preserve"> Eiropas Parlamenta un Padomes Lēmums (ES) 2018/646 (2018. gada 18. aprīlis) par kopēju sistēmu labāku pakalpojumu sniegšanai attiecībā uz prasmēm un k</w:t>
            </w:r>
            <w:r>
              <w:t>valifikācijām (Europass) un ar ko atceļ Lēmumu Nr. EK (OV L 112, 2.5.2018., 42. lpp., ELI: http://data.europa.eu/eli/dec/2018/646/oj).</w:t>
            </w:r>
          </w:p>
        </w:tc>
        <w:tc>
          <w:tcPr>
            <w:tcW w:w="4876" w:type="dxa"/>
            <w:hideMark/>
          </w:tcPr>
          <w:p w:rsidR="004B69B0" w:rsidRPr="00823585" w:rsidRDefault="006F2F4F" w:rsidP="00F175A1">
            <w:pPr>
              <w:pStyle w:val="Normal6"/>
              <w:rPr>
                <w:szCs w:val="24"/>
              </w:rPr>
            </w:pPr>
            <w:r>
              <w:rPr>
                <w:vertAlign w:val="superscript"/>
              </w:rPr>
              <w:t>12</w:t>
            </w:r>
            <w:r>
              <w:t xml:space="preserve"> Eiropas Parlamenta un Padomes Lēmums (ES) 2018/646 (2018. gada 18. aprīlis) par kopēju sistēmu labāku pakalpojumu snie</w:t>
            </w:r>
            <w:r>
              <w:t>gšanai attiecībā uz prasmēm un kvalifikācijām (Europass) un ar ko atceļ Lēmumu Nr. EK (OV L 112, 2.5.2018., 42. lpp., ELI: http://data.europa.eu/eli/dec/2018/646/oj).</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lastRenderedPageBreak/>
        <w:t>&lt;Amend&gt;</w:t>
      </w:r>
      <w:r>
        <w:t>Grozījums Nr.</w:t>
      </w:r>
      <w:r>
        <w:tab/>
      </w:r>
      <w:r>
        <w:tab/>
      </w:r>
      <w:r w:rsidRPr="006F2F4F">
        <w:rPr>
          <w:rStyle w:val="HideTWBExt"/>
        </w:rPr>
        <w:t>&lt;NumAm&gt;</w:t>
      </w:r>
      <w:r>
        <w:t>16</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18.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(18)</w:t>
            </w:r>
            <w:r>
              <w:tab/>
              <w:t xml:space="preserve">Nepieciešamības gadījumā reģistrēto trešo valstu darba meklētāju </w:t>
            </w:r>
            <w:r>
              <w:rPr>
                <w:b/>
                <w:i/>
              </w:rPr>
              <w:t>kvalifikāciju</w:t>
            </w:r>
            <w:r>
              <w:t xml:space="preserve"> atzīšana </w:t>
            </w:r>
            <w:r>
              <w:rPr>
                <w:b/>
                <w:i/>
              </w:rPr>
              <w:t xml:space="preserve">un prasmju apstiprināšana </w:t>
            </w:r>
            <w:r>
              <w:t xml:space="preserve">būtu jāveic </w:t>
            </w:r>
            <w:r>
              <w:rPr>
                <w:b/>
                <w:i/>
              </w:rPr>
              <w:t xml:space="preserve">iesaistītajās </w:t>
            </w:r>
            <w:r>
              <w:t>dalībvalstīs pēc darba meklētāja vai darba devēja pieprasījuma saskaņā ar valstu tiesību aktiem un praksi</w:t>
            </w:r>
            <w:r>
              <w:rPr>
                <w:b/>
                <w:i/>
              </w:rPr>
              <w:t>, kā arī</w:t>
            </w:r>
            <w:r>
              <w:t xml:space="preserve"> ar visiem attiecīgiem starptautiskajiem līgumiem, ieskaitot profesionālo kvalifikāciju savstarpējas atzīšanas kārtību. </w:t>
            </w:r>
            <w:r>
              <w:rPr>
                <w:b/>
                <w:i/>
              </w:rPr>
              <w:t>Personali</w:t>
            </w:r>
            <w:r>
              <w:rPr>
                <w:b/>
                <w:i/>
              </w:rPr>
              <w:t>zētai palīdzībai</w:t>
            </w:r>
            <w:r>
              <w:t xml:space="preserve"> un tiešsaistes </w:t>
            </w:r>
            <w:r>
              <w:rPr>
                <w:b/>
                <w:i/>
              </w:rPr>
              <w:t>informācijai</w:t>
            </w:r>
            <w:r>
              <w:t xml:space="preserve"> par esošajām valsts līmeņa atzīšanas un apstiprināšanas procedūrām</w:t>
            </w:r>
            <w:r>
              <w:rPr>
                <w:b/>
                <w:i/>
              </w:rPr>
              <w:t xml:space="preserve"> vajadzētu būt pieejamai</w:t>
            </w:r>
            <w:r>
              <w:t xml:space="preserve"> ES talantu fonda IT platformā, un </w:t>
            </w:r>
            <w:r>
              <w:rPr>
                <w:b/>
                <w:i/>
              </w:rPr>
              <w:t xml:space="preserve">to nodrošināt būtu </w:t>
            </w:r>
            <w:r>
              <w:t>ES</w:t>
            </w:r>
            <w:r>
              <w:rPr>
                <w:b/>
                <w:i/>
              </w:rPr>
              <w:t xml:space="preserve"> talantu fonda valstu kontaktpunktu uzdevums</w:t>
            </w:r>
            <w:r>
              <w:t>.</w:t>
            </w:r>
          </w:p>
        </w:tc>
        <w:tc>
          <w:tcPr>
            <w:tcW w:w="4876" w:type="dxa"/>
            <w:hideMark/>
          </w:tcPr>
          <w:p w:rsidR="004B69B0" w:rsidRPr="00823585" w:rsidRDefault="006F2F4F" w:rsidP="00F175A1">
            <w:pPr>
              <w:pStyle w:val="Normal6"/>
              <w:rPr>
                <w:szCs w:val="24"/>
              </w:rPr>
            </w:pPr>
            <w:r>
              <w:t>(18)</w:t>
            </w:r>
            <w:r>
              <w:tab/>
            </w:r>
            <w:r>
              <w:rPr>
                <w:b/>
                <w:i/>
              </w:rPr>
              <w:t xml:space="preserve">Lai veicinātu </w:t>
            </w:r>
            <w:r>
              <w:rPr>
                <w:b/>
                <w:i/>
              </w:rPr>
              <w:t>darba ņēmēju brīvu pārvietošanos un lai paātrinātu atzīšanas procedūras, ir jāsamazina to reglamentēto profesiju skaits, kas vēl pastāv tikai dažās dalībvalstīs. Tāpat, pieņemot darbā, ir svarīgi piemērot pieeju “prasmes pirmajā vietā”, ņemot vērā visas pe</w:t>
            </w:r>
            <w:r>
              <w:rPr>
                <w:b/>
                <w:i/>
              </w:rPr>
              <w:t>rsonu spējas, kompetences un kvalifikācijas saskaņā ar Komisijas 2023. gada 15. novembra Ieteikumu par trešo valstu piederīgo kvalifikācijas atzīšanu. Tas ir īpaši svarīgi attiecībā uz starptautisku pieņemšanu darbā, jo dati rāda, ka trešo valstu valstspie</w:t>
            </w:r>
            <w:r>
              <w:rPr>
                <w:b/>
                <w:i/>
              </w:rPr>
              <w:t>derīgajiem biežāk nekā Savienības pilsoņiem ir augstāka kvalifikācija, nekā vajadzīgs konkrētajam amatam. Tomēr</w:t>
            </w:r>
            <w:r>
              <w:t xml:space="preserve"> nepieciešamības gadījumā reģistrēto trešo valstu darba meklētāju </w:t>
            </w:r>
            <w:r>
              <w:rPr>
                <w:b/>
                <w:i/>
              </w:rPr>
              <w:t>mikrokvalifikācijas</w:t>
            </w:r>
            <w:r>
              <w:t xml:space="preserve"> atzīšana būtu jāveic dalībvalstīs pēc darba meklētāja vai d</w:t>
            </w:r>
            <w:r>
              <w:t>arba devēja pieprasījuma saskaņā ar valstu tiesību aktiem un praksi</w:t>
            </w:r>
            <w:r>
              <w:rPr>
                <w:b/>
                <w:i/>
              </w:rPr>
              <w:t>. Atzīšanai būtu jāsaskan</w:t>
            </w:r>
            <w:r>
              <w:t xml:space="preserve"> ar visiem attiecīgiem starptautiskajiem līgumiem, ieskaitot profesionālo kvalifikāciju savstarpējas atzīšanas kārtību. </w:t>
            </w:r>
            <w:r>
              <w:rPr>
                <w:b/>
                <w:i/>
              </w:rPr>
              <w:t>ES Talantu fonda valstu kontaktpunktiem būtu</w:t>
            </w:r>
            <w:r>
              <w:rPr>
                <w:b/>
                <w:i/>
              </w:rPr>
              <w:t xml:space="preserve"> jānodrošina personalizēta palīdzība</w:t>
            </w:r>
            <w:r>
              <w:t xml:space="preserve"> un tiešsaistes </w:t>
            </w:r>
            <w:r>
              <w:rPr>
                <w:b/>
                <w:i/>
              </w:rPr>
              <w:t>informācija</w:t>
            </w:r>
            <w:r>
              <w:t xml:space="preserve"> par esošajām valsts līmeņa atzīšanas un apstiprināšanas procedūrām</w:t>
            </w:r>
            <w:r>
              <w:rPr>
                <w:b/>
                <w:i/>
              </w:rPr>
              <w:t>, un tā būtu jādara pieejama</w:t>
            </w:r>
            <w:r>
              <w:t xml:space="preserve"> ES Talantu fonda IT platformā</w:t>
            </w:r>
            <w:r>
              <w:rPr>
                <w:b/>
                <w:i/>
              </w:rPr>
              <w:t xml:space="preserve"> skaidrā</w:t>
            </w:r>
            <w:r>
              <w:t>,</w:t>
            </w:r>
            <w:r>
              <w:rPr>
                <w:b/>
                <w:i/>
              </w:rPr>
              <w:t xml:space="preserve"> vispusīgā</w:t>
            </w:r>
            <w:r>
              <w:t xml:space="preserve"> un </w:t>
            </w:r>
            <w:r>
              <w:rPr>
                <w:b/>
                <w:i/>
              </w:rPr>
              <w:t>lietotājdraudzīga veidā un personām ar invali</w:t>
            </w:r>
            <w:r>
              <w:rPr>
                <w:b/>
                <w:i/>
              </w:rPr>
              <w:t>ditāti piekļūstamā formātā, ievērojot attiecīgos piekļūstamības standartus, kas noteikti Direktīvā (</w:t>
            </w:r>
            <w:r>
              <w:t>ES</w:t>
            </w:r>
            <w:r>
              <w:rPr>
                <w:b/>
                <w:i/>
              </w:rPr>
              <w:t>) 2016/2102, un attiecīgās pakalpojumu piekļūstamības prasības, kas noteiktas Direktīvas (ES) 2019/882 I pielikumā</w:t>
            </w:r>
            <w:r>
              <w:t>.</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lastRenderedPageBreak/>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17</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20.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(20)</w:t>
            </w:r>
            <w:r>
              <w:tab/>
              <w:t xml:space="preserve">Talantu partnerībās iesaistīto trešo valstu un dalībvalstu saraksts būtu jāpublicē </w:t>
            </w:r>
            <w:r>
              <w:t>ES talantu fonda IT platformā kopā ar attiecīgajām profesijām, uz kurām attiecas katra partnerība.</w:t>
            </w:r>
          </w:p>
        </w:tc>
        <w:tc>
          <w:tcPr>
            <w:tcW w:w="4876" w:type="dxa"/>
            <w:hideMark/>
          </w:tcPr>
          <w:p w:rsidR="004B69B0" w:rsidRPr="00823585" w:rsidRDefault="006F2F4F" w:rsidP="00F175A1">
            <w:pPr>
              <w:pStyle w:val="Normal6"/>
              <w:rPr>
                <w:szCs w:val="24"/>
              </w:rPr>
            </w:pPr>
            <w:r>
              <w:t>(20)</w:t>
            </w:r>
            <w:r>
              <w:tab/>
              <w:t>Talantu partnerībās iesaistīto trešo valstu un dalībvalstu saraksts būtu jāpublicē ES Talantu fonda IT platformā kopā ar attiecīgajām profesijām, uz kur</w:t>
            </w:r>
            <w:r>
              <w:t xml:space="preserve">ām attiecas katra partnerība. </w:t>
            </w:r>
            <w:r>
              <w:rPr>
                <w:b/>
                <w:i/>
              </w:rPr>
              <w:t>Talantu partnerībās vienmēr būtu jāievēro taisnīgas pieņemšanas darbā standarti un jāveicina cirkulārā migrācija, lai novērstu intelektuālā darbaspēka emigrāciju.</w:t>
            </w:r>
          </w:p>
        </w:tc>
      </w:tr>
    </w:tbl>
    <w:p w:rsidR="004B69B0" w:rsidRPr="006F2F4F" w:rsidRDefault="006F2F4F" w:rsidP="004B69B0">
      <w:pPr>
        <w:pStyle w:val="Olang"/>
      </w:pPr>
      <w:r w:rsidRPr="006F2F4F">
        <w:rPr>
          <w:noProof w:val="0"/>
        </w:rPr>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18</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21.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(21)</w:t>
            </w:r>
            <w:r>
              <w:tab/>
              <w:t xml:space="preserve">Talantu partnerības ietvaros prasmju pilnveide un apstiprināšana var būt vērsta uz vienas vai vairāku </w:t>
            </w:r>
            <w:r>
              <w:rPr>
                <w:b/>
                <w:i/>
              </w:rPr>
              <w:t xml:space="preserve">iesaistīto </w:t>
            </w:r>
            <w:r>
              <w:t>d</w:t>
            </w:r>
            <w:r>
              <w:t>alībvalstu darba tirgu. Dalībvalstis var sniegt arī finansiālu ieguldījumu, lai izstrādātu un īstenotu atbalstu prasmju pilnveidei un apstiprināšanai, kas tiek piedāvāta talantu partnerības ietvaros. Tāpēc, ja tā nolemj talantu partnerībā iesaistītās dalīb</w:t>
            </w:r>
            <w:r>
              <w:t xml:space="preserve">valstis, tikai darba devējiem, kas </w:t>
            </w:r>
            <w:r>
              <w:rPr>
                <w:b/>
                <w:i/>
              </w:rPr>
              <w:t>reģistrēti</w:t>
            </w:r>
            <w:r>
              <w:t xml:space="preserve"> vienā vai vairākās talantu partnerībā iesaistītajās dalībvalstīs, vajadzētu būt iespējai, ilgākais, </w:t>
            </w:r>
            <w:r>
              <w:rPr>
                <w:b/>
                <w:i/>
              </w:rPr>
              <w:t>gadu</w:t>
            </w:r>
            <w:r>
              <w:t xml:space="preserve"> meklēt reģistrētus darba meklētājus, kuriem ir “ES talantu partnerības apliecība”. Šī iespēja varētu būt </w:t>
            </w:r>
            <w:r>
              <w:t xml:space="preserve">īpaši aktuāla gadījumos, kad prasmju pilnveide ir specifiski vērsta uz dalībvalsts vajadzībām. Informācija par to, vai šī </w:t>
            </w:r>
            <w:r>
              <w:lastRenderedPageBreak/>
              <w:t>iespēja tiek nodrošināta un kādos gadījumos tāda būtu jānodrošina, jāsniedz ES talantu fonda IT platformā, lai informētu reģistrētos d</w:t>
            </w:r>
            <w:r>
              <w:t>arba meklētājus no trešām valstīm un ES talantu fondā iesaistītos darba devējus. Pēc minētā laika perioda beigām visi ES talantu fondā iesaistītie darba devēji var veikt meklēšanu profilos, ko izveidojuši reģistrēti darba meklētāji, kuriem ir “ES talantu p</w:t>
            </w:r>
            <w:r>
              <w:t>artnerības apliecība”. Darba meklētājiem no trešām valstīm, kuri ir saņēmuši atbalstu talantu partnerības ietvaros, vienmēr vajadzētu būt iespējai reģistrēties ES talantu fondā kā jebkuram citas trešās valsts pilsonim bez nepieciešamības norādīt “ES talant</w:t>
            </w:r>
            <w:r>
              <w:t>u partnerības apliecības” esamību un tādējādi pieteikties darbam citās dalībvalstīs.</w:t>
            </w:r>
          </w:p>
        </w:tc>
        <w:tc>
          <w:tcPr>
            <w:tcW w:w="4876" w:type="dxa"/>
            <w:hideMark/>
          </w:tcPr>
          <w:p w:rsidR="004B69B0" w:rsidRPr="00823585" w:rsidRDefault="006F2F4F" w:rsidP="00F175A1">
            <w:pPr>
              <w:pStyle w:val="Normal6"/>
              <w:rPr>
                <w:szCs w:val="24"/>
              </w:rPr>
            </w:pPr>
            <w:r>
              <w:lastRenderedPageBreak/>
              <w:t>(21)</w:t>
            </w:r>
            <w:r>
              <w:tab/>
              <w:t xml:space="preserve">Talantu partnerības ietvaros prasmju pilnveide un apstiprināšana var būt vērsta uz vienas vai vairāku dalībvalstu darba tirgu. Dalībvalstis var sniegt arī finansiālu </w:t>
            </w:r>
            <w:r>
              <w:t xml:space="preserve">ieguldījumu, lai izstrādātu un īstenotu atbalstu prasmju pilnveidei un apstiprināšanai, kas tiek piedāvāta talantu partnerības ietvaros. Tāpēc, ja tā nolemj talantu partnerībā iesaistītās dalībvalstis, tikai darba devējiem, kas </w:t>
            </w:r>
            <w:r>
              <w:rPr>
                <w:b/>
                <w:i/>
              </w:rPr>
              <w:t>iedibināti</w:t>
            </w:r>
            <w:r>
              <w:t xml:space="preserve"> vienā vai vairākā</w:t>
            </w:r>
            <w:r>
              <w:t xml:space="preserve">s talantu partnerībā iesaistītajās dalībvalstīs, vajadzētu būt iespējai, ilgākais, </w:t>
            </w:r>
            <w:r>
              <w:rPr>
                <w:b/>
                <w:i/>
              </w:rPr>
              <w:t>sešus mēnešus</w:t>
            </w:r>
            <w:r>
              <w:t xml:space="preserve"> meklēt reģistrētus darba meklētājus, kuriem ir “ES Talantu partnerības apliecība”. Šī iespēja varētu būt īpaši aktuāla gadījumos, kad prasmju pilnveide ir spec</w:t>
            </w:r>
            <w:r>
              <w:t xml:space="preserve">ifiski vērsta uz dalībvalsts vajadzībām. Informācija par to, vai šī iespēja tiek nodrošināta un kādos </w:t>
            </w:r>
            <w:r>
              <w:lastRenderedPageBreak/>
              <w:t xml:space="preserve">gadījumos tāda būtu jānodrošina, jāsniedz ES Talantu fonda IT platformā, lai informētu reģistrētos darba meklētājus no trešām valstīm un ES talantu fondā </w:t>
            </w:r>
            <w:r>
              <w:t>iesaistītos darba devējus. Pēc minētā laika perioda beigām visi ES Talantu fondā iesaistītie darba devēji var veikt meklēšanu profilos, ko izveidojuši reģistrēti darba meklētāji, kuriem ir “ES Talantu partnerības apliecība”. Darba meklētājiem no trešām val</w:t>
            </w:r>
            <w:r>
              <w:t>stīm, kuri ir saņēmuši atbalstu talantu partnerības ietvaros, vienmēr vajadzētu būt iespējai reģistrēties ES Talantu fondā kā jebkuram citas trešās valsts pilsonim bez nepieciešamības norādīt “ES Talantu partnerības apliecības” esamību un tādējādi pieteikt</w:t>
            </w:r>
            <w:r>
              <w:t>ies darbam citās dalībvalstīs.</w:t>
            </w:r>
          </w:p>
        </w:tc>
      </w:tr>
    </w:tbl>
    <w:p w:rsidR="004B69B0" w:rsidRPr="006F2F4F" w:rsidRDefault="006F2F4F" w:rsidP="004B69B0">
      <w:pPr>
        <w:pStyle w:val="Olang"/>
      </w:pPr>
      <w:r w:rsidRPr="006F2F4F">
        <w:rPr>
          <w:noProof w:val="0"/>
        </w:rPr>
        <w:lastRenderedPageBreak/>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19</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23.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(23)</w:t>
            </w:r>
            <w:r>
              <w:tab/>
            </w:r>
            <w:r>
              <w:rPr>
                <w:b/>
                <w:i/>
              </w:rPr>
              <w:t>Starptautiskās</w:t>
            </w:r>
            <w:r>
              <w:t xml:space="preserve"> Darba </w:t>
            </w:r>
            <w:r>
              <w:rPr>
                <w:b/>
                <w:i/>
              </w:rPr>
              <w:t>organizācijas (SDO) norādījumos “Godīgas</w:t>
            </w:r>
            <w:r>
              <w:t xml:space="preserve"> darbā</w:t>
            </w:r>
            <w:r>
              <w:rPr>
                <w:b/>
                <w:i/>
              </w:rPr>
              <w:t xml:space="preserve"> pieņemšanas vispārīgie principi un darbības pamatnostādnes” ir noteikti vairāki standarti trešo valstu darba meklētāju pietiekamai aizsardzībai pret negodīgu</w:t>
            </w:r>
            <w:r>
              <w:t xml:space="preserve"> pieņemšanu darbā. Darba devējiem būtu jāievē</w:t>
            </w:r>
            <w:r>
              <w:t>ro piemērojamie Savienības tiesību akti un prakse. Darba devējiem būtu arī jānodrošina</w:t>
            </w:r>
            <w:r>
              <w:rPr>
                <w:b/>
                <w:i/>
              </w:rPr>
              <w:t xml:space="preserve"> vienlīdzīga</w:t>
            </w:r>
            <w:r>
              <w:t xml:space="preserve"> attieksme pret darba meklētājiem no trešām valstīm</w:t>
            </w:r>
            <w:r>
              <w:rPr>
                <w:b/>
                <w:i/>
              </w:rPr>
              <w:t>, ņemot vērā iesaistīto dalībvalstu pilsoņus,</w:t>
            </w:r>
            <w:r>
              <w:t xml:space="preserve"> saskaņā ar Direktīvu 2011/98</w:t>
            </w:r>
            <w:r>
              <w:rPr>
                <w:vertAlign w:val="superscript"/>
              </w:rPr>
              <w:t>13</w:t>
            </w:r>
            <w:r>
              <w:t>, Direktīvu 2014/36/ES</w:t>
            </w:r>
            <w:r>
              <w:rPr>
                <w:vertAlign w:val="superscript"/>
              </w:rPr>
              <w:t>14</w:t>
            </w:r>
            <w:r>
              <w:t>, Direk</w:t>
            </w:r>
            <w:r>
              <w:t>tīvu 2021/1883/ES</w:t>
            </w:r>
            <w:r>
              <w:rPr>
                <w:vertAlign w:val="superscript"/>
              </w:rPr>
              <w:t>15</w:t>
            </w:r>
            <w:r>
              <w:t xml:space="preserve"> un Direktīvu 2016/801/ES</w:t>
            </w:r>
            <w:r>
              <w:rPr>
                <w:vertAlign w:val="superscript"/>
              </w:rPr>
              <w:t>16</w:t>
            </w:r>
            <w:r>
              <w:t>. Saskaņā ar Direktīvu 2019/1152/ES</w:t>
            </w:r>
            <w:r>
              <w:rPr>
                <w:vertAlign w:val="superscript"/>
              </w:rPr>
              <w:t>17</w:t>
            </w:r>
            <w:r>
              <w:t xml:space="preserve"> Eiropas Savienības talantu fondā iesaistītajiem darba devējiem </w:t>
            </w:r>
            <w:r>
              <w:rPr>
                <w:b/>
                <w:i/>
              </w:rPr>
              <w:t>, uzsākot</w:t>
            </w:r>
            <w:r>
              <w:t xml:space="preserve"> darba </w:t>
            </w:r>
            <w:r>
              <w:rPr>
                <w:b/>
                <w:i/>
              </w:rPr>
              <w:t>attiecības,</w:t>
            </w:r>
            <w:r>
              <w:t xml:space="preserve"> būtu</w:t>
            </w:r>
            <w:r>
              <w:rPr>
                <w:b/>
                <w:i/>
              </w:rPr>
              <w:t xml:space="preserve"> jāsniedz</w:t>
            </w:r>
            <w:r>
              <w:t xml:space="preserve"> </w:t>
            </w:r>
            <w:r>
              <w:lastRenderedPageBreak/>
              <w:t xml:space="preserve">reģistrētajiem darba </w:t>
            </w:r>
            <w:r>
              <w:rPr>
                <w:b/>
                <w:i/>
              </w:rPr>
              <w:t>meklētājiem</w:t>
            </w:r>
            <w:r>
              <w:t xml:space="preserve"> no trešām valstīm </w:t>
            </w:r>
            <w:r>
              <w:rPr>
                <w:b/>
                <w:i/>
              </w:rPr>
              <w:t>rakstiska inform</w:t>
            </w:r>
            <w:r>
              <w:rPr>
                <w:b/>
                <w:i/>
              </w:rPr>
              <w:t>ācija</w:t>
            </w:r>
            <w:r>
              <w:t xml:space="preserve"> saprotamā valodā par viņu tiesībām un pienākumiem, kas izriet no darba attiecībām. Būtu jāiekļauj vismaz informācija par darba veikšanas vietu un veidu, nodarbinātības ilgumu, atalgojumu, darba laiku, apmaksātā atvaļinājuma ilgumu un</w:t>
            </w:r>
            <w:r>
              <w:rPr>
                <w:b/>
                <w:i/>
              </w:rPr>
              <w:t>,</w:t>
            </w:r>
            <w:r>
              <w:t xml:space="preserve"> attiecīgā gadīj</w:t>
            </w:r>
            <w:r>
              <w:t>umā</w:t>
            </w:r>
            <w:r>
              <w:rPr>
                <w:b/>
                <w:i/>
              </w:rPr>
              <w:t>,</w:t>
            </w:r>
            <w:r>
              <w:t xml:space="preserve"> par citiem saistītiem darba apstākļiem. Darba </w:t>
            </w:r>
            <w:r>
              <w:rPr>
                <w:b/>
                <w:i/>
              </w:rPr>
              <w:t>devējam nevajadzētu iekasēt maksu par iekārtošanu darbā</w:t>
            </w:r>
            <w:r>
              <w:t xml:space="preserve">, </w:t>
            </w:r>
            <w:r>
              <w:rPr>
                <w:b/>
                <w:i/>
              </w:rPr>
              <w:t>nedz</w:t>
            </w:r>
            <w:r>
              <w:t xml:space="preserve"> arī liegt darba ņēmējam strādāt pie citiem darba devējiem ārpus darba grafika, kas izveidots pie minētā darba devēja, vai tādēļ pakļaut darba ņ</w:t>
            </w:r>
            <w:r>
              <w:t>ēmēju nelabvēlīgai attieksmei. ES talantu fondā iesaistītajiem darba devējiem būtu jāievēro Direktīva 96/71/EK</w:t>
            </w:r>
            <w:r>
              <w:rPr>
                <w:vertAlign w:val="superscript"/>
              </w:rPr>
              <w:t>18</w:t>
            </w:r>
            <w:r>
              <w:t xml:space="preserve"> par darba ņēmēju norīkošanu darbā pakalpojumu sniegšanas jomā, kurā izdarīti grozījumi ar Direktīvu 2018/957, jo īpaši attiecībā uz tādējādi pa</w:t>
            </w:r>
            <w:r>
              <w:t>redzētajiem nodarbinātības noteikumiem un nosacījumiem, piem., pienākumu norīkot trešo valstu darba ņēmējus darbam dalībvalstī tikai tad, ja viņi likumīgi un parasti ir nodarbināti citā dalībvalstī.</w:t>
            </w:r>
          </w:p>
        </w:tc>
        <w:tc>
          <w:tcPr>
            <w:tcW w:w="4876" w:type="dxa"/>
            <w:hideMark/>
          </w:tcPr>
          <w:p w:rsidR="004B69B0" w:rsidRPr="00823585" w:rsidRDefault="006F2F4F" w:rsidP="00F175A1">
            <w:pPr>
              <w:pStyle w:val="Normal6"/>
              <w:rPr>
                <w:szCs w:val="24"/>
              </w:rPr>
            </w:pPr>
            <w:r>
              <w:lastRenderedPageBreak/>
              <w:t>(23)</w:t>
            </w:r>
            <w:r>
              <w:tab/>
            </w:r>
            <w:r>
              <w:rPr>
                <w:b/>
                <w:i/>
              </w:rPr>
              <w:t>SDO ir noteikusi vairākus standartus trešo valstu</w:t>
            </w:r>
            <w:r>
              <w:t xml:space="preserve"> da</w:t>
            </w:r>
            <w:r>
              <w:t xml:space="preserve">rba </w:t>
            </w:r>
            <w:r>
              <w:rPr>
                <w:b/>
                <w:i/>
              </w:rPr>
              <w:t>meklētāju pietiekamai aizsardzībai pret netaisnīgu pieņemšanu</w:t>
            </w:r>
            <w:r>
              <w:t xml:space="preserve"> darbā</w:t>
            </w:r>
            <w:r>
              <w:rPr>
                <w:b/>
                <w:i/>
              </w:rPr>
              <w:t>, tostarp principu, ka darba ņēmējiem nedrīkst piemērot ne tiešas, ne netiešas un ne pilnībā, ne daļēji nekādas maksas vai saistītās izmaksas par</w:t>
            </w:r>
            <w:r>
              <w:t xml:space="preserve"> pieņemšanu darbā. Darba devējiem</w:t>
            </w:r>
            <w:r>
              <w:rPr>
                <w:b/>
                <w:i/>
              </w:rPr>
              <w:t>, kas v</w:t>
            </w:r>
            <w:r>
              <w:rPr>
                <w:b/>
                <w:i/>
              </w:rPr>
              <w:t>ēlas reģistrēties ES Talantu fondā,</w:t>
            </w:r>
            <w:r>
              <w:t xml:space="preserve"> būtu </w:t>
            </w:r>
            <w:r>
              <w:rPr>
                <w:b/>
                <w:i/>
              </w:rPr>
              <w:t>jāapliecina, ka tie ievēro un uztur SDO Vispārīgos taisnīgas darbā pieņemšanas principus un darbības vadlīnijas, it īpaši aizliegumu darba meklētājiem no trešām valstīm piemērot darbā pieņemšanas maksas un saistītas</w:t>
            </w:r>
            <w:r>
              <w:rPr>
                <w:b/>
                <w:i/>
              </w:rPr>
              <w:t xml:space="preserve"> izmaksas. Turklāt darba devējiem ir </w:t>
            </w:r>
            <w:r>
              <w:t>jāievēro piemērojamie Savienības tiesību akti un prakse. Darba devējiem būtu arī jānodrošina</w:t>
            </w:r>
            <w:r>
              <w:rPr>
                <w:b/>
                <w:i/>
              </w:rPr>
              <w:t>, ka</w:t>
            </w:r>
            <w:r>
              <w:t xml:space="preserve"> attieksme pret darba meklētājiem no trešām </w:t>
            </w:r>
            <w:r>
              <w:lastRenderedPageBreak/>
              <w:t>valstīm</w:t>
            </w:r>
            <w:r>
              <w:rPr>
                <w:b/>
                <w:i/>
              </w:rPr>
              <w:t xml:space="preserve"> ir tāda pati kā pret dalībvalsts valstspiederīgajiem</w:t>
            </w:r>
            <w:r>
              <w:t xml:space="preserve"> saskaņā ar Direktī</w:t>
            </w:r>
            <w:r>
              <w:t>vu 2011/98</w:t>
            </w:r>
            <w:r>
              <w:rPr>
                <w:vertAlign w:val="superscript"/>
              </w:rPr>
              <w:t>13</w:t>
            </w:r>
            <w:r>
              <w:t>, Direktīvu 2014/36/ES</w:t>
            </w:r>
            <w:r>
              <w:rPr>
                <w:vertAlign w:val="superscript"/>
              </w:rPr>
              <w:t>14</w:t>
            </w:r>
            <w:r>
              <w:t>, Direktīvu 2021/1883/ES</w:t>
            </w:r>
            <w:r>
              <w:rPr>
                <w:vertAlign w:val="superscript"/>
              </w:rPr>
              <w:t>15</w:t>
            </w:r>
            <w:r>
              <w:t xml:space="preserve"> un Direktīvu 2016/801/ES</w:t>
            </w:r>
            <w:r>
              <w:rPr>
                <w:vertAlign w:val="superscript"/>
              </w:rPr>
              <w:t>16</w:t>
            </w:r>
            <w:r>
              <w:t>. Saskaņā ar Direktīvu 2019/1152/ES</w:t>
            </w:r>
            <w:r>
              <w:rPr>
                <w:vertAlign w:val="superscript"/>
              </w:rPr>
              <w:t>17</w:t>
            </w:r>
            <w:r>
              <w:t xml:space="preserve"> Eiropas Savienības Talantu fondā iesaistītajiem darba devējiem </w:t>
            </w:r>
            <w:r>
              <w:rPr>
                <w:b/>
                <w:i/>
              </w:rPr>
              <w:t>saprātīgu laiku pirms</w:t>
            </w:r>
            <w:r>
              <w:t xml:space="preserve"> darba </w:t>
            </w:r>
            <w:r>
              <w:rPr>
                <w:b/>
                <w:i/>
              </w:rPr>
              <w:t>līguma sākuma</w:t>
            </w:r>
            <w:r>
              <w:t xml:space="preserve"> būtu reģistrētajiem darba </w:t>
            </w:r>
            <w:r>
              <w:rPr>
                <w:b/>
                <w:i/>
              </w:rPr>
              <w:t>meklētājam</w:t>
            </w:r>
            <w:r>
              <w:t xml:space="preserve"> no trešām valstīm </w:t>
            </w:r>
            <w:r>
              <w:rPr>
                <w:b/>
                <w:i/>
              </w:rPr>
              <w:t>piekļūstamā veidā un</w:t>
            </w:r>
            <w:r>
              <w:t xml:space="preserve"> saprotamā valodā</w:t>
            </w:r>
            <w:r>
              <w:rPr>
                <w:b/>
                <w:i/>
              </w:rPr>
              <w:t xml:space="preserve"> jāsniedz informācija</w:t>
            </w:r>
            <w:r>
              <w:t xml:space="preserve"> par viņu tiesībām un pienākumiem, kas izriet no darba attiecībām. Būtu jāiekļauj vismaz informācija par darba veikšanas vietu un veidu, nodar</w:t>
            </w:r>
            <w:r>
              <w:t xml:space="preserve">binātības ilgumu, atalgojumu, </w:t>
            </w:r>
            <w:r>
              <w:rPr>
                <w:b/>
                <w:i/>
              </w:rPr>
              <w:t xml:space="preserve">tostarp jebkādiem papildu pabalstiem, likumīgiem atskaitījumiem, </w:t>
            </w:r>
            <w:r>
              <w:t xml:space="preserve">darba laiku, apmaksātā atvaļinājuma ilgumu un attiecīgā gadījumā par citiem saistītiem darba apstākļiem. </w:t>
            </w:r>
            <w:r>
              <w:rPr>
                <w:b/>
                <w:i/>
              </w:rPr>
              <w:t xml:space="preserve">Attiecīga informācija, tostarp par principu, ka </w:t>
            </w:r>
            <w:r>
              <w:t xml:space="preserve">darba </w:t>
            </w:r>
            <w:r>
              <w:rPr>
                <w:b/>
                <w:i/>
              </w:rPr>
              <w:t>me</w:t>
            </w:r>
            <w:r>
              <w:rPr>
                <w:b/>
                <w:i/>
              </w:rPr>
              <w:t>klētājam netiks piemērotas nekādas darbā iekārtošanas maksas vai saistītās izmaksas</w:t>
            </w:r>
            <w:r>
              <w:t xml:space="preserve">, </w:t>
            </w:r>
            <w:r>
              <w:rPr>
                <w:b/>
                <w:i/>
              </w:rPr>
              <w:t>būtu jāsniedz</w:t>
            </w:r>
            <w:r>
              <w:t xml:space="preserve"> arī</w:t>
            </w:r>
            <w:r>
              <w:rPr>
                <w:b/>
                <w:i/>
              </w:rPr>
              <w:t xml:space="preserve"> vakances publikācijā, lai uzlabotu pārredzamību un prognozējamību darba meklētājam. Darba devējam nevajadzētu</w:t>
            </w:r>
            <w:r>
              <w:t xml:space="preserve"> liegt darba ņēmējam strādāt pie citiem darb</w:t>
            </w:r>
            <w:r>
              <w:t>a devējiem ārpus darba grafika, kas izveidots pie minētā darba devēja, vai tādēļ pakļaut darba ņēmēju nelabvēlīgai attieksmei. ES Talantu fondā iesaistītajiem darba devējiem būtu jāievēro Direktīva 96/71/EK</w:t>
            </w:r>
            <w:r>
              <w:rPr>
                <w:vertAlign w:val="superscript"/>
              </w:rPr>
              <w:t>18</w:t>
            </w:r>
            <w:r>
              <w:t xml:space="preserve"> par darba ņēmēju norīkošanu darbā pakalpojumu s</w:t>
            </w:r>
            <w:r>
              <w:t>niegšanas jomā, kurā izdarīti grozījumi ar Direktīvu 2018/957, jo īpaši attiecībā uz tādējādi paredzētajiem nodarbinātības noteikumiem un nosacījumiem, piem., pienākumu norīkot trešo valstu darba ņēmējus darbam dalībvalstī tikai tad, ja viņi likumīgi un pa</w:t>
            </w:r>
            <w:r>
              <w:t xml:space="preserve">rasti ir nodarbināti citā dalībvalstī. </w:t>
            </w:r>
            <w:r>
              <w:rPr>
                <w:b/>
                <w:i/>
              </w:rPr>
              <w:t>Saskaņā ar valsts tiesību aktiem vai praksi ES Talantu fonda valstu kontaktpunktiem sadarbībā ar sociālajiem partneriem būtu proaktīvi jāuzrauga, vai darba devēji minēto direktīvu ievēro.</w:t>
            </w:r>
          </w:p>
        </w:tc>
      </w:tr>
      <w:tr w:rsidR="00707295" w:rsidTr="00F175A1">
        <w:trPr>
          <w:jc w:val="center"/>
        </w:trPr>
        <w:tc>
          <w:tcPr>
            <w:tcW w:w="4876" w:type="dxa"/>
            <w:hideMark/>
          </w:tcPr>
          <w:p w:rsidR="004B69B0" w:rsidRPr="00823585" w:rsidRDefault="006F2F4F" w:rsidP="00F175A1">
            <w:pPr>
              <w:pStyle w:val="Normal6"/>
            </w:pPr>
            <w:r>
              <w:lastRenderedPageBreak/>
              <w:t>__________________</w:t>
            </w:r>
          </w:p>
        </w:tc>
        <w:tc>
          <w:tcPr>
            <w:tcW w:w="4876" w:type="dxa"/>
            <w:hideMark/>
          </w:tcPr>
          <w:p w:rsidR="004B69B0" w:rsidRPr="00823585" w:rsidRDefault="006F2F4F" w:rsidP="00F175A1">
            <w:pPr>
              <w:pStyle w:val="Normal6"/>
              <w:rPr>
                <w:szCs w:val="24"/>
              </w:rPr>
            </w:pPr>
            <w:r>
              <w:t>_________</w:t>
            </w:r>
            <w:r>
              <w:t>_________</w:t>
            </w:r>
          </w:p>
        </w:tc>
      </w:tr>
      <w:tr w:rsidR="00707295" w:rsidTr="00F175A1">
        <w:trPr>
          <w:jc w:val="center"/>
        </w:trPr>
        <w:tc>
          <w:tcPr>
            <w:tcW w:w="4876" w:type="dxa"/>
            <w:hideMark/>
          </w:tcPr>
          <w:p w:rsidR="004B69B0" w:rsidRPr="00823585" w:rsidRDefault="006F2F4F" w:rsidP="00F175A1">
            <w:pPr>
              <w:pStyle w:val="Normal6"/>
            </w:pPr>
            <w:r>
              <w:rPr>
                <w:vertAlign w:val="superscript"/>
              </w:rPr>
              <w:lastRenderedPageBreak/>
              <w:t>13</w:t>
            </w:r>
            <w:r>
              <w:t xml:space="preserve"> Eiropas Parlamenta un Padomes Direktīva 2011/98/ES (2011. gada 13. decembris) par vienotu pieteikšanās procedūru, lai trešo valstu valstspiederīgajiem izsniegtu vienotu uzturēšanās un darba atļauju dalībvalsts teritorijā, un par vienotu tiesī</w:t>
            </w:r>
            <w:r>
              <w:t>bu kopumu trešo valstu darba ņēmējiem, kuri kādā dalībvalstī uzturas likumīgi (OV L 343, 23.12.2011., 1.–9. lpp., ELI: http://data.europa.eu/eli/dir/2011/98/oj).</w:t>
            </w:r>
          </w:p>
        </w:tc>
        <w:tc>
          <w:tcPr>
            <w:tcW w:w="4876" w:type="dxa"/>
            <w:hideMark/>
          </w:tcPr>
          <w:p w:rsidR="004B69B0" w:rsidRPr="00823585" w:rsidRDefault="006F2F4F" w:rsidP="00F175A1">
            <w:pPr>
              <w:pStyle w:val="Normal6"/>
              <w:rPr>
                <w:szCs w:val="24"/>
              </w:rPr>
            </w:pPr>
            <w:r>
              <w:rPr>
                <w:vertAlign w:val="superscript"/>
              </w:rPr>
              <w:t>13</w:t>
            </w:r>
            <w:r>
              <w:t xml:space="preserve"> Eiropas Parlamenta un Padomes Direktīva 2011/98/ES (2011. gada 13. decembris) par vienotu p</w:t>
            </w:r>
            <w:r>
              <w:t>ieteikšanās procedūru, lai trešo valstu valstspiederīgajiem izsniegtu vienotu uzturēšanās un darba atļauju dalībvalsts teritorijā, un par vienotu tiesību kopumu trešo valstu darba ņēmējiem, kuri kādā dalībvalstī uzturas likumīgi (OV L 343, 23.12.2011., 1.–</w:t>
            </w:r>
            <w:r>
              <w:t>9. lpp., ELI: http://data.europa.eu/eli/dir/2011/98/oj).</w:t>
            </w:r>
          </w:p>
        </w:tc>
      </w:tr>
      <w:tr w:rsidR="00707295" w:rsidTr="00F175A1">
        <w:trPr>
          <w:jc w:val="center"/>
        </w:trPr>
        <w:tc>
          <w:tcPr>
            <w:tcW w:w="4876" w:type="dxa"/>
            <w:hideMark/>
          </w:tcPr>
          <w:p w:rsidR="004B69B0" w:rsidRPr="00823585" w:rsidRDefault="006F2F4F" w:rsidP="00F175A1">
            <w:pPr>
              <w:pStyle w:val="Normal6"/>
            </w:pPr>
            <w:r>
              <w:rPr>
                <w:vertAlign w:val="superscript"/>
              </w:rPr>
              <w:t>14</w:t>
            </w:r>
            <w:r>
              <w:t xml:space="preserve"> Eiropas Parlamenta un Padomes Direktīva 2014/36/ES (2014. gada 26. februāris) par trešo valstu valstspiederīgo ieceļošanas un uzturēšanās nosacījumiem nodarbinātības kā sezonas darbiniekiem nolūk</w:t>
            </w:r>
            <w:r>
              <w:t>ā (OV L 94, 28.3.2014., 375. lpp., ELI: http://data.europa.eu/eli/dir/2014/36/oj).</w:t>
            </w:r>
          </w:p>
        </w:tc>
        <w:tc>
          <w:tcPr>
            <w:tcW w:w="4876" w:type="dxa"/>
            <w:hideMark/>
          </w:tcPr>
          <w:p w:rsidR="004B69B0" w:rsidRPr="00823585" w:rsidRDefault="006F2F4F" w:rsidP="00F175A1">
            <w:pPr>
              <w:pStyle w:val="Normal6"/>
              <w:rPr>
                <w:szCs w:val="24"/>
              </w:rPr>
            </w:pPr>
            <w:r>
              <w:rPr>
                <w:vertAlign w:val="superscript"/>
              </w:rPr>
              <w:t>14</w:t>
            </w:r>
            <w:r>
              <w:t xml:space="preserve"> Eiropas Parlamenta un Padomes Direktīva 2014/36/ES (2014. gada 26. februāris) par trešo valstu valstspiederīgo ieceļošanas un uzturēšanās nosacījumiem nodarbinātības kā s</w:t>
            </w:r>
            <w:r>
              <w:t>ezonas darbiniekiem nolūkā (OV L 94, 28.3.2014., 375. lpp., ELI: http://data.europa.eu/eli/dir/2014/36/oj).</w:t>
            </w:r>
          </w:p>
        </w:tc>
      </w:tr>
      <w:tr w:rsidR="00707295" w:rsidTr="00F175A1">
        <w:trPr>
          <w:jc w:val="center"/>
        </w:trPr>
        <w:tc>
          <w:tcPr>
            <w:tcW w:w="4876" w:type="dxa"/>
            <w:hideMark/>
          </w:tcPr>
          <w:p w:rsidR="004B69B0" w:rsidRPr="00823585" w:rsidRDefault="006F2F4F" w:rsidP="00F175A1">
            <w:pPr>
              <w:pStyle w:val="Normal6"/>
            </w:pPr>
            <w:r>
              <w:rPr>
                <w:vertAlign w:val="superscript"/>
              </w:rPr>
              <w:t>15</w:t>
            </w:r>
            <w:r>
              <w:t xml:space="preserve"> Eiropas Parlamenta un Padomes Direktīva (ES) 2021/1883 (2021. gada 20. oktobris) par trešo valstu valstspiederīgo ieceļošanas un uzturēšanās nos</w:t>
            </w:r>
            <w:r>
              <w:t>acījumiem augsti kvalificētas nodarbinātības nolūkā un ar ko atceļ Padomes Direktīvu 2009/50/EK (OV L 382, 28.10.2021., 1. lpp., ELI: http://data.europa.eu/eli/dir/2021/1883/oj).</w:t>
            </w:r>
          </w:p>
        </w:tc>
        <w:tc>
          <w:tcPr>
            <w:tcW w:w="4876" w:type="dxa"/>
            <w:hideMark/>
          </w:tcPr>
          <w:p w:rsidR="004B69B0" w:rsidRPr="00823585" w:rsidRDefault="006F2F4F" w:rsidP="00F175A1">
            <w:pPr>
              <w:pStyle w:val="Normal6"/>
              <w:rPr>
                <w:szCs w:val="24"/>
              </w:rPr>
            </w:pPr>
            <w:r>
              <w:rPr>
                <w:vertAlign w:val="superscript"/>
              </w:rPr>
              <w:t>15</w:t>
            </w:r>
            <w:r>
              <w:t xml:space="preserve"> Eiropas Parlamenta un Padomes Direktīva (ES) 2021/1883 (2021. gada 20. okt</w:t>
            </w:r>
            <w:r>
              <w:t>obris) par trešo valstu valstspiederīgo ieceļošanas un uzturēšanās nosacījumiem augsti kvalificētas nodarbinātības nolūkā un ar ko atceļ Padomes Direktīvu 2009/50/EK (OV L 382, 28.10.2021., 1. lpp., ELI: http://data.europa.eu/eli/dir/2021/1883/oj).</w:t>
            </w:r>
          </w:p>
        </w:tc>
      </w:tr>
      <w:tr w:rsidR="00707295" w:rsidTr="00F175A1">
        <w:trPr>
          <w:jc w:val="center"/>
        </w:trPr>
        <w:tc>
          <w:tcPr>
            <w:tcW w:w="4876" w:type="dxa"/>
            <w:hideMark/>
          </w:tcPr>
          <w:p w:rsidR="004B69B0" w:rsidRPr="00823585" w:rsidRDefault="006F2F4F" w:rsidP="00F175A1">
            <w:pPr>
              <w:pStyle w:val="Normal6"/>
            </w:pPr>
            <w:r>
              <w:rPr>
                <w:vertAlign w:val="superscript"/>
              </w:rPr>
              <w:t>16</w:t>
            </w:r>
            <w:r>
              <w:t xml:space="preserve"> Eir</w:t>
            </w:r>
            <w:r>
              <w:t>opas Parlamenta un Padomes Direktīva (ES) 2016/801 (2016. gada 11. maijs) par nosacījumiem attiecībā uz trešo valstu valstspiederīgo ieceļošanu un uzturēšanos pētniecības, studiju, stažēšanās, brīvprātīga darba, skolēnu apmaiņas programmu vai izglītības pr</w:t>
            </w:r>
            <w:r>
              <w:t>ojektu un viesaukles darba nolūkā (pārstrādāta redakcija) (OV L 132, 21.5.2016., 21. lpp., ELI: http://data.europa.eu/eli/dir/2016/801/oj).</w:t>
            </w:r>
          </w:p>
        </w:tc>
        <w:tc>
          <w:tcPr>
            <w:tcW w:w="4876" w:type="dxa"/>
            <w:hideMark/>
          </w:tcPr>
          <w:p w:rsidR="004B69B0" w:rsidRPr="00823585" w:rsidRDefault="006F2F4F" w:rsidP="00F175A1">
            <w:pPr>
              <w:pStyle w:val="Normal6"/>
              <w:rPr>
                <w:szCs w:val="24"/>
              </w:rPr>
            </w:pPr>
            <w:r>
              <w:rPr>
                <w:vertAlign w:val="superscript"/>
              </w:rPr>
              <w:t>16</w:t>
            </w:r>
            <w:r>
              <w:t xml:space="preserve"> Eiropas Parlamenta un Padomes Direktīva (ES) 2016/801 (2016. gada 11. maijs) par nosacījumiem attiecībā uz trešo </w:t>
            </w:r>
            <w:r>
              <w:t>valstu valstspiederīgo ieceļošanu un uzturēšanos pētniecības, studiju, stažēšanās, brīvprātīga darba, skolēnu apmaiņas programmu vai izglītības projektu un viesaukles darba nolūkā (pārstrādāta redakcija) (OV L 132, 21.5.2016., 21. lpp., ELI: http://data.eu</w:t>
            </w:r>
            <w:r>
              <w:t>ropa.eu/eli/dir/2016/801/oj).</w:t>
            </w:r>
          </w:p>
        </w:tc>
      </w:tr>
      <w:tr w:rsidR="00707295" w:rsidTr="00F175A1">
        <w:trPr>
          <w:jc w:val="center"/>
        </w:trPr>
        <w:tc>
          <w:tcPr>
            <w:tcW w:w="4876" w:type="dxa"/>
            <w:hideMark/>
          </w:tcPr>
          <w:p w:rsidR="004B69B0" w:rsidRPr="00823585" w:rsidRDefault="006F2F4F" w:rsidP="00F175A1">
            <w:pPr>
              <w:pStyle w:val="Normal6"/>
            </w:pPr>
            <w:r>
              <w:rPr>
                <w:vertAlign w:val="superscript"/>
              </w:rPr>
              <w:t>17</w:t>
            </w:r>
            <w:r>
              <w:t xml:space="preserve"> Eiropas Parlamenta un Padomes Direktīva (ES) 2019/1152 (2019. gada 20. jūnijs) par pārredzamiem un paredzamiem darba apstākļiem Eiropas Savienībā (OV L 186, 11.7.2019., 105. lpp., ELI: http://data.europa.eu/eli/dir/2019/11</w:t>
            </w:r>
            <w:r>
              <w:t>52/oj).</w:t>
            </w:r>
          </w:p>
        </w:tc>
        <w:tc>
          <w:tcPr>
            <w:tcW w:w="4876" w:type="dxa"/>
            <w:hideMark/>
          </w:tcPr>
          <w:p w:rsidR="004B69B0" w:rsidRPr="00823585" w:rsidRDefault="006F2F4F" w:rsidP="00F175A1">
            <w:pPr>
              <w:pStyle w:val="Normal6"/>
              <w:rPr>
                <w:szCs w:val="24"/>
              </w:rPr>
            </w:pPr>
            <w:r>
              <w:rPr>
                <w:vertAlign w:val="superscript"/>
              </w:rPr>
              <w:t>17</w:t>
            </w:r>
            <w:r>
              <w:t xml:space="preserve"> Eiropas Parlamenta un Padomes Direktīva (ES) 2019/1152 (2019. gada 20. jūnijs) par pārredzamiem un paredzamiem darba apstākļiem Eiropas Savienībā (OV L 186, 11.7.2019., 105. lpp., ELI: http://data.europa.eu/eli/dir/2019/1152/oj).</w:t>
            </w:r>
          </w:p>
        </w:tc>
      </w:tr>
      <w:tr w:rsidR="00707295" w:rsidTr="00F175A1">
        <w:trPr>
          <w:jc w:val="center"/>
        </w:trPr>
        <w:tc>
          <w:tcPr>
            <w:tcW w:w="4876" w:type="dxa"/>
            <w:hideMark/>
          </w:tcPr>
          <w:p w:rsidR="004B69B0" w:rsidRPr="00823585" w:rsidRDefault="006F2F4F" w:rsidP="00F175A1">
            <w:pPr>
              <w:pStyle w:val="Normal6"/>
            </w:pPr>
            <w:r>
              <w:rPr>
                <w:vertAlign w:val="superscript"/>
              </w:rPr>
              <w:t>18</w:t>
            </w:r>
            <w:r>
              <w:t xml:space="preserve"> Eiropas Par</w:t>
            </w:r>
            <w:r>
              <w:t xml:space="preserve">lamenta un Padomes Direktīva 96/71/EK (1996. gada 16. </w:t>
            </w:r>
            <w:r>
              <w:lastRenderedPageBreak/>
              <w:t>decembris) par darba ņēmēju norīkošanu darbā pakalpojumu sniegšanas jomā (OV L 18, 21.1.1997., 1. lpp., ELI: http://data.europa.eu/eli/dir/1996/71/oj).</w:t>
            </w:r>
          </w:p>
        </w:tc>
        <w:tc>
          <w:tcPr>
            <w:tcW w:w="4876" w:type="dxa"/>
            <w:hideMark/>
          </w:tcPr>
          <w:p w:rsidR="004B69B0" w:rsidRPr="00823585" w:rsidRDefault="006F2F4F" w:rsidP="00F175A1">
            <w:pPr>
              <w:pStyle w:val="Normal6"/>
              <w:rPr>
                <w:szCs w:val="24"/>
              </w:rPr>
            </w:pPr>
            <w:r>
              <w:rPr>
                <w:vertAlign w:val="superscript"/>
              </w:rPr>
              <w:lastRenderedPageBreak/>
              <w:t>18</w:t>
            </w:r>
            <w:r>
              <w:t xml:space="preserve"> Eiropas Parlamenta un Padomes Direktīva 96/71/EK (1996. gada 16. </w:t>
            </w:r>
            <w:r>
              <w:lastRenderedPageBreak/>
              <w:t>decembris) par darba ņēmēju norīkošanu darbā pakalpojumu sniegšanas jomā (OV L 18, 21.1.1997., 1. lpp., ELI: http://data.europa.eu/eli/dir/1996/71/oj).</w:t>
            </w:r>
          </w:p>
        </w:tc>
      </w:tr>
    </w:tbl>
    <w:p w:rsidR="004B69B0" w:rsidRPr="006F2F4F" w:rsidRDefault="006F2F4F" w:rsidP="004B69B0">
      <w:pPr>
        <w:pStyle w:val="Olang"/>
      </w:pPr>
      <w:r w:rsidRPr="006F2F4F">
        <w:rPr>
          <w:noProof w:val="0"/>
        </w:rPr>
        <w:lastRenderedPageBreak/>
        <w:t xml:space="preserve">Or. </w:t>
      </w:r>
      <w:r w:rsidRPr="006F2F4F">
        <w:rPr>
          <w:rStyle w:val="HideTWBExt"/>
          <w:noProof w:val="0"/>
        </w:rPr>
        <w:t>&lt;Original&gt;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20</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23.a apsvērums (jauns)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(23a)</w:t>
            </w:r>
            <w:r>
              <w:rPr>
                <w:b/>
                <w:i/>
              </w:rPr>
              <w:tab/>
              <w:t xml:space="preserve">Darba migranti ar invaliditāti darba tirgū bieži vien ir nedrošākā </w:t>
            </w:r>
            <w:r>
              <w:rPr>
                <w:b/>
                <w:i/>
              </w:rPr>
              <w:t>situācijā.</w:t>
            </w:r>
            <w:r>
              <w:t xml:space="preserve"> </w:t>
            </w:r>
            <w:r>
              <w:rPr>
                <w:b/>
                <w:i/>
              </w:rPr>
              <w:t>Ir svarīgi palielināt informētību par situāciju, kādā ir darba migranti ar invaliditāti, un nodrošināt, ka tiek aizsargātas viņu tiesības, kas noteiktas Apvienoto Nāciju Organizācijas Konvencijā par personu ar invaliditāti tiesībām, proti, tiesī</w:t>
            </w:r>
            <w:r>
              <w:rPr>
                <w:b/>
                <w:i/>
              </w:rPr>
              <w:t>bas uz darbu un nediskriminēšanu. Ir svarīgi, lai darba devēji, pieņemot darbā trešo valstu valstspiederīgos, tiektos panākt daudzveidību, ietverot arī personas ar invaliditāti. Ļoti svarīgi ir arī nodrošināt, ka ES Talantu fonda IT platforma ir piekļūstam</w:t>
            </w:r>
            <w:r>
              <w:rPr>
                <w:b/>
                <w:i/>
              </w:rPr>
              <w:t>a. Tāpēc platformas piedāvātajiem pakalpojumiem būtu jāatbilst attiecīgajiem piekļūstamības standartiem, kas noteikti Direktīvā (ES) 2016/2102, un attiecīgajām pakalpojumu piekļūstamības prasībām, kas noteiktas Direktīvas (ES) 2019/882 I pielikumā.</w:t>
            </w:r>
          </w:p>
        </w:tc>
      </w:tr>
    </w:tbl>
    <w:p w:rsidR="004B69B0" w:rsidRPr="006F2F4F" w:rsidRDefault="006F2F4F" w:rsidP="004B69B0">
      <w:pPr>
        <w:pStyle w:val="Olang"/>
      </w:pPr>
      <w:r w:rsidRPr="006F2F4F">
        <w:rPr>
          <w:noProof w:val="0"/>
        </w:rPr>
        <w:t xml:space="preserve">Or. </w:t>
      </w:r>
      <w:r w:rsidRPr="006F2F4F">
        <w:rPr>
          <w:rStyle w:val="HideTWBExt"/>
          <w:noProof w:val="0"/>
        </w:rPr>
        <w:t>&lt;O</w:t>
      </w:r>
      <w:r w:rsidRPr="006F2F4F">
        <w:rPr>
          <w:rStyle w:val="HideTWBExt"/>
          <w:noProof w:val="0"/>
        </w:rPr>
        <w:t>riginal&gt;</w:t>
      </w:r>
      <w:r w:rsidRPr="006F2F4F">
        <w:rPr>
          <w:rStyle w:val="HideTWBInt"/>
          <w:noProof w:val="0"/>
        </w:rPr>
        <w:t>{EN}</w:t>
      </w:r>
      <w:r w:rsidRPr="006F2F4F">
        <w:rPr>
          <w:noProof w:val="0"/>
        </w:rPr>
        <w:t>en</w:t>
      </w:r>
      <w:r w:rsidRPr="006F2F4F">
        <w:rPr>
          <w:rStyle w:val="HideTWBExt"/>
          <w:noProof w:val="0"/>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sidRPr="006F2F4F">
        <w:rPr>
          <w:rStyle w:val="HideTWBExt"/>
        </w:rPr>
        <w:t>&lt;Amend&gt;</w:t>
      </w:r>
      <w:r>
        <w:t>Grozījums Nr.</w:t>
      </w:r>
      <w:r>
        <w:tab/>
      </w:r>
      <w:r>
        <w:tab/>
      </w:r>
      <w:r w:rsidRPr="006F2F4F">
        <w:rPr>
          <w:rStyle w:val="HideTWBExt"/>
        </w:rPr>
        <w:t>&lt;NumAm&gt;</w:t>
      </w:r>
      <w:r>
        <w:t>21</w:t>
      </w:r>
      <w:r w:rsidRPr="006F2F4F">
        <w:rPr>
          <w:rStyle w:val="HideTWBExt"/>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24.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(24)</w:t>
            </w:r>
            <w:r>
              <w:tab/>
              <w:t xml:space="preserve">Lai nodrošinātu augstas kvalitātes piemeklēšanu, </w:t>
            </w:r>
            <w:r>
              <w:t>reģistrētiem darba meklētājiem no trešām valstīm un ES talantu fondā iesaistītajiem darba devējiem būtu jāpiekļūst ieteikto reģistrēto darba meklētāju profilu un darba vakanču sarakstam, pamatojoties uz viņu prasmju, kvalifikācijas un darba pieredzes piemē</w:t>
            </w:r>
            <w:r>
              <w:t>rotību vakancei. Sarakstu ģenerē ES talantu fonda IT platformas automatizētais piemeklēšanas rīks.</w:t>
            </w:r>
          </w:p>
        </w:tc>
        <w:tc>
          <w:tcPr>
            <w:tcW w:w="4876" w:type="dxa"/>
            <w:hideMark/>
          </w:tcPr>
          <w:p w:rsidR="004B69B0" w:rsidRPr="00823585" w:rsidRDefault="006F2F4F" w:rsidP="00F175A1">
            <w:pPr>
              <w:pStyle w:val="Normal6"/>
              <w:rPr>
                <w:szCs w:val="24"/>
              </w:rPr>
            </w:pPr>
            <w:r>
              <w:t>(24)</w:t>
            </w:r>
            <w:r>
              <w:tab/>
              <w:t>Lai nodrošinātu augstas kvalitātes piemeklēšanu, reģistrētiem darba meklētājiem no trešām valstīm un ES Talantu fondā iesaistītajiem darba devējiem būtu</w:t>
            </w:r>
            <w:r>
              <w:t xml:space="preserve"> jāpiekļūst ieteikto reģistrēto darba meklētāju profilu un darba vakanču sarakstam, pamatojoties uz viņu prasmju, kvalifikācijas un darba pieredzes piemērotību vakancei. Sarakstu ģenerē ES Talantu fonda IT platformas automatizētais piemeklēšanas rīks. </w:t>
            </w:r>
            <w:r>
              <w:rPr>
                <w:b/>
                <w:i/>
              </w:rPr>
              <w:t>Darb</w:t>
            </w:r>
            <w:r>
              <w:rPr>
                <w:b/>
                <w:i/>
              </w:rPr>
              <w:t>a meklētājiem no trešām valstīm vajadzētu būt iespējai norādīt, kurā reģionā vai dalībvalstī viņi vēlētos strādāt.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22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26. apsv</w:t>
      </w:r>
      <w:r>
        <w:t>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(26)</w:t>
            </w:r>
            <w:r>
              <w:tab/>
            </w:r>
            <w:r>
              <w:rPr>
                <w:b/>
                <w:i/>
              </w:rPr>
              <w:t>Iesaistītajām dalībvalstīm būtu jāpadara informācija par ES talantu fondu</w:t>
            </w:r>
            <w:r>
              <w:t xml:space="preserve"> un </w:t>
            </w:r>
            <w:r>
              <w:rPr>
                <w:b/>
                <w:i/>
              </w:rPr>
              <w:t>tā darbību viegli pieejama</w:t>
            </w:r>
            <w:r>
              <w:t xml:space="preserve"> darba meklētājiem no trešām valstīm un darba devējiem, </w:t>
            </w:r>
            <w:r>
              <w:rPr>
                <w:b/>
                <w:i/>
              </w:rPr>
              <w:t>jo īpaši</w:t>
            </w:r>
            <w:r>
              <w:t xml:space="preserve"> informācija par </w:t>
            </w:r>
            <w:r>
              <w:rPr>
                <w:b/>
                <w:i/>
              </w:rPr>
              <w:t>iesaistīto dalībvalstu kompetentajām iestādēm</w:t>
            </w:r>
            <w:r>
              <w:t>. Šādā informācijā jāiekļauj nosacījumi un procedūras dalībai ES talantu fondā.</w:t>
            </w:r>
          </w:p>
        </w:tc>
        <w:tc>
          <w:tcPr>
            <w:tcW w:w="4876" w:type="dxa"/>
            <w:hideMark/>
          </w:tcPr>
          <w:p w:rsidR="004B69B0" w:rsidRPr="00823585" w:rsidRDefault="006F2F4F" w:rsidP="00F175A1">
            <w:pPr>
              <w:pStyle w:val="Normal6"/>
              <w:rPr>
                <w:szCs w:val="24"/>
              </w:rPr>
            </w:pPr>
            <w:r>
              <w:t>(26)</w:t>
            </w:r>
            <w:r>
              <w:tab/>
            </w:r>
            <w:r>
              <w:rPr>
                <w:b/>
                <w:i/>
              </w:rPr>
              <w:t>Lai sekmētu taisnīgu pieņemšanu darbā</w:t>
            </w:r>
            <w:r>
              <w:t xml:space="preserve"> un </w:t>
            </w:r>
            <w:r>
              <w:rPr>
                <w:b/>
                <w:i/>
              </w:rPr>
              <w:t>stiprinātu pārredzamību</w:t>
            </w:r>
            <w:r>
              <w:t xml:space="preserve"> darba meklētājiem no trešām valstīm un darba devējiem, </w:t>
            </w:r>
            <w:r>
              <w:rPr>
                <w:b/>
                <w:i/>
              </w:rPr>
              <w:t>kuri v</w:t>
            </w:r>
            <w:r>
              <w:rPr>
                <w:b/>
                <w:i/>
              </w:rPr>
              <w:t>ēlas nodarbināt personas no ārvalstīm, ES Talantu fonda sekretariātam ar ES Talantu fonda valstu kontaktpunktu atbalstu</w:t>
            </w:r>
            <w:r>
              <w:t xml:space="preserve"> informācija par </w:t>
            </w:r>
            <w:r>
              <w:rPr>
                <w:b/>
                <w:i/>
              </w:rPr>
              <w:t>ES Talantu fondu un tā darbību būtu jāpadara viegli piekļūstama ES Talantu fonda IT platformā, arī personām ar invalidit</w:t>
            </w:r>
            <w:r>
              <w:rPr>
                <w:b/>
                <w:i/>
              </w:rPr>
              <w:t>āti</w:t>
            </w:r>
            <w:r>
              <w:t xml:space="preserve">. Šādā informācijā jāiekļauj nosacījumi un procedūras dalībai ES Talantu fondā. </w:t>
            </w:r>
            <w:r>
              <w:rPr>
                <w:b/>
                <w:i/>
              </w:rPr>
              <w:t>Tāpat būtu jāsniedz informācija par vai saite uz katras dalībvalsts darbā pieņemšanas procedūrām, tostarp kvalifikāciju atzīšanas un prasmju apstiprināšanas procedūrām, imig</w:t>
            </w:r>
            <w:r>
              <w:rPr>
                <w:b/>
                <w:i/>
              </w:rPr>
              <w:t xml:space="preserve">rācijas procedūrām, trešo valstu valstspiederīgo tiesībām, dzīves un darba apstākļiem, kā arī </w:t>
            </w:r>
            <w:r>
              <w:rPr>
                <w:b/>
                <w:i/>
              </w:rPr>
              <w:lastRenderedPageBreak/>
              <w:t>pieejamajiem tiesiskās aizsardzības mehānismiem darbaspēka ekspluatācijas gadījumā. Šajā regulā minētajiem sūdzību mehānismam vajadzētu būt viegli pieejamam, izma</w:t>
            </w:r>
            <w:r>
              <w:rPr>
                <w:b/>
                <w:i/>
              </w:rPr>
              <w:t>ksu ziņā piekļūstamam un dzimumvērīgam, piemēram, nodrošinot konsultantes un darbinieces tiesiskajā aizsardzībā un piekļuvē tiesas procedūrām. Tiem būtu arī jānodrošina, ka darba meklētāji no trešām valstīm ir aizsargāti pret represijām, piemēram, nodrošin</w:t>
            </w:r>
            <w:r>
              <w:rPr>
                <w:b/>
                <w:i/>
              </w:rPr>
              <w:t>ot iespēju sūdzību iesniegt anonīmi. Sniegtajā informācijā būtu skaidri jānorāda, kā darba meklētāji no trešām valstīm var rīkoties, ja darba devējs rīkojas ļaunprātīgi vai ekspluatē darba ņēmējus. ES Talantu fonda valstu kontaktpunkti atbild par šīs infor</w:t>
            </w:r>
            <w:r>
              <w:rPr>
                <w:b/>
                <w:i/>
              </w:rPr>
              <w:t>mācijas atjaunināšanu. Informācija būtu jāsniedz sadarbībā ar sociālajiem partneriem, organizācijām, kas strādā ar trešo valstu valstspiederīgajiem, un vietējām un reģionālajām pašvaldībām. Šajā sakarā ES Talantu fonda IT platformā vajadzētu būt viegli pie</w:t>
            </w:r>
            <w:r>
              <w:rPr>
                <w:b/>
                <w:i/>
              </w:rPr>
              <w:t>kļūstamai attiecīgajai kontaktinformācijai.</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23</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27.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(27)</w:t>
            </w:r>
            <w:r>
              <w:tab/>
            </w:r>
            <w:r>
              <w:t xml:space="preserve">ES talantu fonda </w:t>
            </w:r>
            <w:r>
              <w:rPr>
                <w:b/>
                <w:i/>
              </w:rPr>
              <w:t>sekretariātam</w:t>
            </w:r>
            <w:r>
              <w:t xml:space="preserve"> būtu jānodrošina, ka </w:t>
            </w:r>
            <w:r>
              <w:rPr>
                <w:b/>
                <w:i/>
              </w:rPr>
              <w:t>ES talantu fonda IT platformā ir viegli pieejama informācija par imigrācijas procedūrām, kvalifikāciju atzīšanu un prasmju apstiprināšanu</w:t>
            </w:r>
            <w:r>
              <w:t xml:space="preserve">, </w:t>
            </w:r>
            <w:r>
              <w:rPr>
                <w:b/>
                <w:i/>
              </w:rPr>
              <w:t>trešo valstu valstspiederīgo tiesībām, dzīves un</w:t>
            </w:r>
            <w:r>
              <w:t xml:space="preserve"> darba </w:t>
            </w:r>
            <w:r>
              <w:rPr>
                <w:b/>
                <w:i/>
              </w:rPr>
              <w:t>apstākļiem</w:t>
            </w:r>
            <w:r>
              <w:rPr>
                <w:b/>
                <w:i/>
              </w:rPr>
              <w:t>, kā arī pieejamajiem tiesiskās aizsardzības mehānismiem darbaspēka ekspluatācijas</w:t>
            </w:r>
            <w:r>
              <w:t xml:space="preserve"> un </w:t>
            </w:r>
            <w:r>
              <w:rPr>
                <w:b/>
                <w:i/>
              </w:rPr>
              <w:t>negodīgas darbā pieņemšanas gadījumos iesaistītajās dalībvalstīs.</w:t>
            </w:r>
            <w:r>
              <w:t xml:space="preserve"> </w:t>
            </w:r>
            <w:r>
              <w:rPr>
                <w:b/>
                <w:i/>
              </w:rPr>
              <w:t xml:space="preserve">ES talantu fonda </w:t>
            </w:r>
            <w:r>
              <w:rPr>
                <w:b/>
                <w:i/>
              </w:rPr>
              <w:lastRenderedPageBreak/>
              <w:t>valstu kontaktpunktiem būtu jāsniedz attiecīgā informācija ES talantu fonda sekretariāt</w:t>
            </w:r>
            <w:r>
              <w:rPr>
                <w:b/>
                <w:i/>
              </w:rPr>
              <w:t>am, lai to varētu publicēt ES talantu fonda IT platformā. Tiešsaistes informācijai par atbalstu, kas pieejama darba meklētājiem, kuriem nepieciešama starptautiskā aizsardzība un kuri atrodas trešās valstīs, vajadzētu būt pieejamai arī ES talantu fonda IT p</w:t>
            </w:r>
            <w:r>
              <w:rPr>
                <w:b/>
                <w:i/>
              </w:rPr>
              <w:t>latformā. Dalībvalstu ieviestie atbalsta pasākumi varētu ietvert īpašas informācijas kampaņas, atbalstu ceļošanas dokumenta iegūšanai un integrācijas atbalstu pēc ierašanās.</w:t>
            </w:r>
          </w:p>
        </w:tc>
        <w:tc>
          <w:tcPr>
            <w:tcW w:w="4876" w:type="dxa"/>
            <w:hideMark/>
          </w:tcPr>
          <w:p w:rsidR="004B69B0" w:rsidRPr="00823585" w:rsidRDefault="006F2F4F" w:rsidP="00F175A1">
            <w:pPr>
              <w:pStyle w:val="Normal6"/>
              <w:rPr>
                <w:szCs w:val="24"/>
              </w:rPr>
            </w:pPr>
            <w:r>
              <w:lastRenderedPageBreak/>
              <w:t>(27)</w:t>
            </w:r>
            <w:r>
              <w:tab/>
            </w:r>
            <w:r>
              <w:rPr>
                <w:b/>
                <w:i/>
              </w:rPr>
              <w:t>Pēc darba meklētāja no trešās valsts piemeklēšanas darba devējam attiecīgajam</w:t>
            </w:r>
            <w:r>
              <w:t xml:space="preserve"> ES Talantu fonda </w:t>
            </w:r>
            <w:r>
              <w:rPr>
                <w:b/>
                <w:i/>
              </w:rPr>
              <w:t>valsts kontaktpunktam</w:t>
            </w:r>
            <w:r>
              <w:t xml:space="preserve"> būtu jānodrošina, ka </w:t>
            </w:r>
            <w:r>
              <w:rPr>
                <w:b/>
                <w:i/>
              </w:rPr>
              <w:t>darba meklētājs saņem papildu informāciju piekļūstamā formātā, arī personām ar invaliditāti. Šai informācijai būtu jāaptver procedūras</w:t>
            </w:r>
            <w:r>
              <w:t xml:space="preserve">, </w:t>
            </w:r>
            <w:r>
              <w:rPr>
                <w:b/>
                <w:i/>
              </w:rPr>
              <w:t>kā saņemt vīzas un uzturēšanās atļaujas</w:t>
            </w:r>
            <w:r>
              <w:t xml:space="preserve"> darba </w:t>
            </w:r>
            <w:r>
              <w:rPr>
                <w:b/>
                <w:i/>
              </w:rPr>
              <w:t>vajadzībām at</w:t>
            </w:r>
            <w:r>
              <w:rPr>
                <w:b/>
                <w:i/>
              </w:rPr>
              <w:t xml:space="preserve">tiecīgajā dalībvalstī, konkrēti norādījumi par ģimenes </w:t>
            </w:r>
            <w:r>
              <w:rPr>
                <w:b/>
                <w:i/>
              </w:rPr>
              <w:lastRenderedPageBreak/>
              <w:t>atkalapvienošanās procedūrām</w:t>
            </w:r>
            <w:r>
              <w:t xml:space="preserve"> un </w:t>
            </w:r>
            <w:r>
              <w:rPr>
                <w:b/>
                <w:i/>
              </w:rPr>
              <w:t>trešo valstu valstspiederīgo tiesībām un pienākumiem, ietverot piekļuvi sociālajiem pabalstiem, veselības aprūpes palīdzībai, izglītībai, mājokļiem un kvalifikāciju atzī</w:t>
            </w:r>
            <w:r>
              <w:rPr>
                <w:b/>
                <w:i/>
              </w:rPr>
              <w:t>šanai</w:t>
            </w:r>
            <w:r>
              <w:t xml:space="preserve">, </w:t>
            </w:r>
            <w:r>
              <w:rPr>
                <w:b/>
                <w:i/>
              </w:rPr>
              <w:t>kā arī par pieejamo sūdzību mehānismu</w:t>
            </w:r>
            <w:r>
              <w:t>.</w:t>
            </w:r>
            <w:r>
              <w:rPr>
                <w:b/>
                <w:i/>
              </w:rPr>
              <w:t xml:space="preserve"> Tāpat būtu jāietver informācija</w:t>
            </w:r>
            <w:r>
              <w:t xml:space="preserve">, kas </w:t>
            </w:r>
            <w:r>
              <w:rPr>
                <w:b/>
                <w:i/>
              </w:rPr>
              <w:t>atvieglo trešo valstu</w:t>
            </w:r>
            <w:r>
              <w:t xml:space="preserve"> darba </w:t>
            </w:r>
            <w:r>
              <w:rPr>
                <w:b/>
                <w:i/>
              </w:rPr>
              <w:t>meklētāju integrāciju uzņēmējā dalībvalstī, piemēram, par valodu kursiem, profesionālo apmācību un izglītību, kā</w:t>
            </w:r>
            <w:r>
              <w:t xml:space="preserve"> arī </w:t>
            </w:r>
            <w:r>
              <w:rPr>
                <w:b/>
                <w:i/>
              </w:rPr>
              <w:t>citiem integrācijas pasākumi</w:t>
            </w:r>
            <w:r>
              <w:rPr>
                <w:b/>
                <w:i/>
              </w:rPr>
              <w:t>em, un, ja ir pieejama, to organizāciju kontaktinformācija, kuras trešo valstu valstspiederīgajiem piedāvā palīdzību pēc darbā pieņemšanas, piemēram, pārejas programmas</w:t>
            </w:r>
            <w:r>
              <w:t>.</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24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28.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(28)</w:t>
            </w:r>
            <w:r>
              <w:tab/>
              <w:t xml:space="preserve">ES talantu fonda IT platformā sniegtajai informācijai </w:t>
            </w:r>
            <w:r>
              <w:rPr>
                <w:b/>
                <w:i/>
              </w:rPr>
              <w:t>jābūt</w:t>
            </w:r>
            <w:r>
              <w:t xml:space="preserve"> pieejamai vismaz </w:t>
            </w:r>
            <w:r>
              <w:rPr>
                <w:b/>
                <w:i/>
              </w:rPr>
              <w:t>iesaistīto dalībvalstu</w:t>
            </w:r>
            <w:r>
              <w:t xml:space="preserve"> oficiālajās valodās.</w:t>
            </w:r>
          </w:p>
        </w:tc>
        <w:tc>
          <w:tcPr>
            <w:tcW w:w="4876" w:type="dxa"/>
            <w:hideMark/>
          </w:tcPr>
          <w:p w:rsidR="004B69B0" w:rsidRPr="00823585" w:rsidRDefault="006F2F4F" w:rsidP="00F175A1">
            <w:pPr>
              <w:pStyle w:val="Normal6"/>
              <w:rPr>
                <w:szCs w:val="24"/>
              </w:rPr>
            </w:pPr>
            <w:r>
              <w:t>(28)</w:t>
            </w:r>
            <w:r>
              <w:tab/>
              <w:t>ES Tala</w:t>
            </w:r>
            <w:r>
              <w:t xml:space="preserve">ntu fonda IT platformā sniegtajai informācijai </w:t>
            </w:r>
            <w:r>
              <w:rPr>
                <w:b/>
                <w:i/>
              </w:rPr>
              <w:t>vajadzētu būt</w:t>
            </w:r>
            <w:r>
              <w:t xml:space="preserve"> pieejamai vismaz </w:t>
            </w:r>
            <w:r>
              <w:rPr>
                <w:b/>
                <w:i/>
              </w:rPr>
              <w:t>Savienības iestāžu</w:t>
            </w:r>
            <w:r>
              <w:t xml:space="preserve"> oficiālajās valodās</w:t>
            </w:r>
            <w:r>
              <w:rPr>
                <w:b/>
                <w:i/>
              </w:rPr>
              <w:t xml:space="preserve"> skaidrā, vispusīgā, lietotājdraudzīgā veidā un personām ar invaliditāti piekļūstamā formātā, ievērojot attiecīgos piekļūstamības standartus</w:t>
            </w:r>
            <w:r>
              <w:rPr>
                <w:b/>
                <w:i/>
              </w:rPr>
              <w:t>, kas noteikti Direktīvā (ES) 2016/2102, kā arī attiecīgās pakalpojumu piekļūstamības prasības, kas noteiktas Direktīvas (ES) 2019/882 I pielikumā</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25</w:t>
      </w:r>
      <w:r>
        <w:rPr>
          <w:rStyle w:val="HideTWBExt"/>
          <w:lang w:val="en-GB"/>
        </w:rPr>
        <w:t>&lt;/NumAm&gt;</w:t>
      </w:r>
    </w:p>
    <w:p w:rsidR="004B69B0" w:rsidRPr="00823585" w:rsidRDefault="006F2F4F" w:rsidP="004B69B0">
      <w:pPr>
        <w:pStyle w:val="NormalBold12b"/>
        <w:keepNext/>
      </w:pPr>
      <w:r>
        <w:rPr>
          <w:rStyle w:val="HideTWBExt"/>
        </w:rPr>
        <w:t>&lt;DocAmend&gt;</w:t>
      </w:r>
      <w:r>
        <w:t xml:space="preserve">Regulas </w:t>
      </w:r>
      <w:r>
        <w:t>priekšlikums</w:t>
      </w:r>
      <w:r>
        <w:rPr>
          <w:rStyle w:val="HideTWBExt"/>
        </w:rPr>
        <w:t>&lt;/DocAmend&gt;</w:t>
      </w:r>
    </w:p>
    <w:p w:rsidR="004B69B0" w:rsidRPr="00823585" w:rsidRDefault="006F2F4F" w:rsidP="004B69B0">
      <w:pPr>
        <w:pStyle w:val="NormalBold"/>
      </w:pPr>
      <w:r>
        <w:rPr>
          <w:rStyle w:val="HideTWBExt"/>
        </w:rPr>
        <w:t>&lt;Article&gt;</w:t>
      </w:r>
      <w:r>
        <w:t>29.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(29)</w:t>
            </w:r>
            <w:r>
              <w:tab/>
              <w:t xml:space="preserve">Eiropas Savienības delegācijām būtu </w:t>
            </w:r>
            <w:r>
              <w:rPr>
                <w:b/>
                <w:i/>
              </w:rPr>
              <w:t>jāatbalsta informācijas sniegšana</w:t>
            </w:r>
            <w:r>
              <w:t xml:space="preserve"> darba meklētājiem no trešām valstīm par ES talantu fondu un tā darbību, </w:t>
            </w:r>
            <w:r>
              <w:rPr>
                <w:b/>
                <w:i/>
              </w:rPr>
              <w:t>kā arī ie</w:t>
            </w:r>
            <w:r>
              <w:rPr>
                <w:b/>
                <w:i/>
              </w:rPr>
              <w:t>saistītajām dalībvalstīm</w:t>
            </w:r>
            <w:r>
              <w:t>.</w:t>
            </w:r>
          </w:p>
        </w:tc>
        <w:tc>
          <w:tcPr>
            <w:tcW w:w="4876" w:type="dxa"/>
            <w:hideMark/>
          </w:tcPr>
          <w:p w:rsidR="004B69B0" w:rsidRPr="00823585" w:rsidRDefault="006F2F4F" w:rsidP="00F175A1">
            <w:pPr>
              <w:pStyle w:val="Normal6"/>
              <w:rPr>
                <w:szCs w:val="24"/>
              </w:rPr>
            </w:pPr>
            <w:r>
              <w:t>(29)</w:t>
            </w:r>
            <w:r>
              <w:tab/>
              <w:t xml:space="preserve">Eiropas Savienības delegācijām </w:t>
            </w:r>
            <w:r>
              <w:rPr>
                <w:b/>
                <w:i/>
              </w:rPr>
              <w:t xml:space="preserve">sadarbībā ar dalībvalstīm </w:t>
            </w:r>
            <w:r>
              <w:t xml:space="preserve">būtu </w:t>
            </w:r>
            <w:r>
              <w:rPr>
                <w:b/>
                <w:i/>
              </w:rPr>
              <w:t>aktīvi jāpalīdz sniegt informāciju</w:t>
            </w:r>
            <w:r>
              <w:t xml:space="preserve"> darba meklētājiem no trešām valstīm par ES Talantu fondu un tā darbību</w:t>
            </w:r>
            <w:r>
              <w:rPr>
                <w:b/>
                <w:i/>
              </w:rPr>
              <w:t>. Tas ietver</w:t>
            </w:r>
            <w:r>
              <w:t xml:space="preserve">, </w:t>
            </w:r>
            <w:r>
              <w:rPr>
                <w:b/>
                <w:i/>
              </w:rPr>
              <w:t xml:space="preserve">piemēram, informācijas sniegšanu talantu </w:t>
            </w:r>
            <w:r>
              <w:rPr>
                <w:b/>
                <w:i/>
              </w:rPr>
              <w:t>partnerībās iesaistīto trešo valstu oficiālajās valodās</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26</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30.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rPr>
                <w:b/>
                <w:i/>
              </w:rPr>
              <w:t>(30)</w:t>
            </w:r>
            <w:r>
              <w:rPr>
                <w:b/>
                <w:i/>
              </w:rPr>
              <w:tab/>
              <w:t>ES talantu fonda valstu kontaktpunkti varētu sniegt papildu atbalstu pēc reģistrētu trešo valstu darba meklētāju un ES talantu fondā iesaistīto darba devēju pieprasījuma. Papildu atbalstam būtu jāietver pielāgota informācija par attiecīgajām vīzām un</w:t>
            </w:r>
            <w:r>
              <w:rPr>
                <w:b/>
                <w:i/>
              </w:rPr>
              <w:t xml:space="preserve"> uzturēšanās atļaujām darba nolūkiem iesaistītajā dalībvalstī, tai skaitā attiecībā uz trešo valstu valstspiederīgo tiesībām un pienākumiem, piem., piekļuvi sociālajiem pabalstiem, medicīniskai palīdzībai, izglītībai un mājokļiem. Var sniegt arī īpašus nor</w:t>
            </w:r>
            <w:r>
              <w:rPr>
                <w:b/>
                <w:i/>
              </w:rPr>
              <w:t>ādījumus un informāciju par ģimenes atkalapvienošanās procedūrām un ģimenes locekļu tiesībām, kā arī par esošajiem pasākumiem integrācijas atvieglošanai uzņēmējā dalībvalstī, piem., valodu kursiem un profesionālo apmācību. Šādā informācijā būtu jāiekļauj a</w:t>
            </w:r>
            <w:r>
              <w:rPr>
                <w:b/>
                <w:i/>
              </w:rPr>
              <w:t xml:space="preserve">rī informācija par pieejamajiem tiesiskās aizsardzības mehānismiem attiecībā uz darbaspēka ekspluatācijas un negodīgas darbā pieņemšanas prakses gadījumiem iesaistītajās dalībvalstīs. ES talantu fonda </w:t>
            </w:r>
            <w:r>
              <w:rPr>
                <w:b/>
                <w:i/>
              </w:rPr>
              <w:lastRenderedPageBreak/>
              <w:t>valstu kontaktpunktiem būtu jāsniedz informācija ES tal</w:t>
            </w:r>
            <w:r>
              <w:rPr>
                <w:b/>
                <w:i/>
              </w:rPr>
              <w:t>antu fondā iesaistītajiem darba devējiem par viņu tiesībām un pienākumiem saistībā ar sociālo nodrošinājumu, aktīviem darba tirgus pasākumiem, nodokļiem, jautājumiem, kas saistīti ar darba līgumiem, pensiju tiesībām un veselības apdrošināšanu.</w:t>
            </w:r>
          </w:p>
        </w:tc>
        <w:tc>
          <w:tcPr>
            <w:tcW w:w="4876" w:type="dxa"/>
            <w:hideMark/>
          </w:tcPr>
          <w:p w:rsidR="004B69B0" w:rsidRPr="00823585" w:rsidRDefault="006F2F4F" w:rsidP="00F175A1">
            <w:pPr>
              <w:pStyle w:val="Normal6"/>
              <w:rPr>
                <w:szCs w:val="24"/>
              </w:rPr>
            </w:pPr>
            <w:r>
              <w:rPr>
                <w:b/>
                <w:i/>
              </w:rPr>
              <w:lastRenderedPageBreak/>
              <w:t>svītrots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27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31. apsvērums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(31)</w:t>
            </w:r>
            <w:r>
              <w:tab/>
              <w:t>Lai sasniegtu šīs regulas mērķi, būtu jānodrošina ES</w:t>
            </w:r>
            <w:r>
              <w:t xml:space="preserve"> likumīgās migrācijas acquis efektīva īstenošana. Turklāt, lai darba </w:t>
            </w:r>
            <w:r>
              <w:rPr>
                <w:b/>
                <w:i/>
              </w:rPr>
              <w:t>devējiem atvieglotu un paātrinātu tādu trešo valstu</w:t>
            </w:r>
            <w:r>
              <w:t xml:space="preserve"> darba </w:t>
            </w:r>
            <w:r>
              <w:rPr>
                <w:b/>
                <w:i/>
              </w:rPr>
              <w:t>meklētāju pieņemšanu darbā</w:t>
            </w:r>
            <w:r>
              <w:t xml:space="preserve">, kuri </w:t>
            </w:r>
            <w:r>
              <w:rPr>
                <w:b/>
                <w:i/>
              </w:rPr>
              <w:t>uzturas valstīs</w:t>
            </w:r>
            <w:r>
              <w:t xml:space="preserve"> ārpus Savienības, </w:t>
            </w:r>
            <w:r>
              <w:rPr>
                <w:b/>
                <w:i/>
              </w:rPr>
              <w:t>iesaistītās dalībvalstis var ieviest</w:t>
            </w:r>
            <w:r>
              <w:t xml:space="preserve"> paātrinātas imigrācijas p</w:t>
            </w:r>
            <w:r>
              <w:t xml:space="preserve">rocedūras, </w:t>
            </w:r>
            <w:r>
              <w:rPr>
                <w:b/>
                <w:i/>
              </w:rPr>
              <w:t>jo īpaši attiecībā uz vīzu</w:t>
            </w:r>
            <w:r>
              <w:t xml:space="preserve"> un </w:t>
            </w:r>
            <w:r>
              <w:rPr>
                <w:b/>
                <w:i/>
              </w:rPr>
              <w:t>uzturēšanās atļauju saņemšanu</w:t>
            </w:r>
            <w:r>
              <w:t xml:space="preserve"> darba vajadzībām</w:t>
            </w:r>
            <w:r>
              <w:rPr>
                <w:b/>
                <w:i/>
              </w:rPr>
              <w:t>, un atbrīvojumu</w:t>
            </w:r>
            <w:r>
              <w:t xml:space="preserve"> no </w:t>
            </w:r>
            <w:r>
              <w:rPr>
                <w:b/>
                <w:i/>
              </w:rPr>
              <w:t>principa par priekšrokas došanu Savienības pilsoņiem</w:t>
            </w:r>
            <w:r>
              <w:t>. Paātrinātās imigrācijas procedūru īstenošanu varētu apspriest ES talantu fonda vadības grupas i</w:t>
            </w:r>
            <w:r>
              <w:t>etvaros, jo īpaši, lai atbalstītu paraugprakses apmaiņu starp dalībvalstīm.</w:t>
            </w:r>
          </w:p>
        </w:tc>
        <w:tc>
          <w:tcPr>
            <w:tcW w:w="4876" w:type="dxa"/>
            <w:hideMark/>
          </w:tcPr>
          <w:p w:rsidR="004B69B0" w:rsidRPr="00823585" w:rsidRDefault="006F2F4F" w:rsidP="00F175A1">
            <w:pPr>
              <w:pStyle w:val="Normal6"/>
              <w:rPr>
                <w:szCs w:val="24"/>
              </w:rPr>
            </w:pPr>
            <w:r>
              <w:t>(31)</w:t>
            </w:r>
            <w:r>
              <w:tab/>
              <w:t xml:space="preserve">Lai sasniegtu šīs regulas mērķi, būtu jānodrošina ES likumīgās migrācijas acquis efektīva īstenošana. Turklāt, lai darba </w:t>
            </w:r>
            <w:r>
              <w:rPr>
                <w:b/>
                <w:i/>
              </w:rPr>
              <w:t>devēji varētu vieglāk un ātrāk pieņemt darbā</w:t>
            </w:r>
            <w:r>
              <w:t xml:space="preserve"> darba </w:t>
            </w:r>
            <w:r>
              <w:rPr>
                <w:b/>
                <w:i/>
              </w:rPr>
              <w:t>meklētājus no trešām valstīm</w:t>
            </w:r>
            <w:r>
              <w:t xml:space="preserve">, kuri </w:t>
            </w:r>
            <w:r>
              <w:rPr>
                <w:b/>
                <w:i/>
              </w:rPr>
              <w:t>dzīvo</w:t>
            </w:r>
            <w:r>
              <w:t xml:space="preserve"> ārpus Savienības, </w:t>
            </w:r>
            <w:r>
              <w:rPr>
                <w:b/>
                <w:i/>
              </w:rPr>
              <w:t>un lai nodrošinātu funkcionālu saiti ar pielikumā uzskaitīto to profesiju sarakstu, kurās ES mērogā trūkst darbaspēka, dalībvalstīm būtu jāievieš</w:t>
            </w:r>
            <w:r>
              <w:t xml:space="preserve"> paātrinātas imigrācijas procedūras</w:t>
            </w:r>
            <w:r>
              <w:rPr>
                <w:b/>
                <w:i/>
              </w:rPr>
              <w:t xml:space="preserve"> reģistrētajiem d</w:t>
            </w:r>
            <w:r>
              <w:rPr>
                <w:b/>
                <w:i/>
              </w:rPr>
              <w:t>arba meklētājiem no trešām valstīm</w:t>
            </w:r>
            <w:r>
              <w:t xml:space="preserve">, </w:t>
            </w:r>
            <w:r>
              <w:rPr>
                <w:b/>
                <w:i/>
              </w:rPr>
              <w:t>ko pieņem darbā profesijās ar darbaspēka iztrūkumu,</w:t>
            </w:r>
            <w:r>
              <w:t xml:space="preserve"> un </w:t>
            </w:r>
            <w:r>
              <w:rPr>
                <w:b/>
                <w:i/>
              </w:rPr>
              <w:t>reģistrētajiem darba meklētājiem no trešām valstīm, kuri saņēmuši ES talantu partnerības apliecību partnerībā, kurā attiecīgā dalībvalsts ir piedalījusies. Minētajām</w:t>
            </w:r>
            <w:r>
              <w:rPr>
                <w:b/>
                <w:i/>
              </w:rPr>
              <w:t xml:space="preserve"> procedūrām būtu jāaptver konkrētu tādu termiņu saīsināšana, kas paredzēti Eiropas Parlamenta un Padomes Direktīvā (ES) 2024/1233</w:t>
            </w:r>
            <w:r>
              <w:rPr>
                <w:b/>
                <w:i/>
                <w:vertAlign w:val="superscript"/>
              </w:rPr>
              <w:t>1a</w:t>
            </w:r>
            <w:r>
              <w:rPr>
                <w:b/>
                <w:i/>
              </w:rPr>
              <w:t xml:space="preserve"> un Direktīvā (ES) 2021/1883</w:t>
            </w:r>
            <w:r>
              <w:rPr>
                <w:b/>
                <w:i/>
                <w:vertAlign w:val="superscript"/>
              </w:rPr>
              <w:t>1b</w:t>
            </w:r>
            <w:r>
              <w:rPr>
                <w:b/>
                <w:i/>
              </w:rPr>
              <w:t>, un atbrīvojums no principa, ka priekšroka tiek dota Savienības pilsoņiem.</w:t>
            </w:r>
            <w:r>
              <w:t xml:space="preserve"> </w:t>
            </w:r>
            <w:r>
              <w:rPr>
                <w:b/>
                <w:i/>
              </w:rPr>
              <w:t>Šīs procedūras varē</w:t>
            </w:r>
            <w:r>
              <w:rPr>
                <w:b/>
                <w:i/>
              </w:rPr>
              <w:t>tu attiekties arī uz vīzu iegūšanu</w:t>
            </w:r>
            <w:r>
              <w:t xml:space="preserve"> darba vajadzībām</w:t>
            </w:r>
            <w:r>
              <w:rPr>
                <w:b/>
                <w:i/>
              </w:rPr>
              <w:t xml:space="preserve">. Dalībvalstīm vajadzētu būt arī iespējai paātrinātas imigrācijas </w:t>
            </w:r>
            <w:r>
              <w:rPr>
                <w:b/>
                <w:i/>
              </w:rPr>
              <w:lastRenderedPageBreak/>
              <w:t>procedūras piemērot attiecībā uz darba meklētājiem</w:t>
            </w:r>
            <w:r>
              <w:t xml:space="preserve"> no </w:t>
            </w:r>
            <w:r>
              <w:rPr>
                <w:b/>
                <w:i/>
              </w:rPr>
              <w:t>trešām valstīm, kuri pieņemti darbā profesijās, kas nav uzskaitītas to profesiju sara</w:t>
            </w:r>
            <w:r>
              <w:rPr>
                <w:b/>
                <w:i/>
              </w:rPr>
              <w:t>kstā, kurās ES mērogā trūkst darbaspēka</w:t>
            </w:r>
            <w:r>
              <w:t xml:space="preserve">. Paātrinātās imigrācijas procedūru īstenošanu varētu apspriest ES Talantu fonda vadības grupas ietvaros, jo īpaši, lai atbalstītu paraugprakses apmaiņu starp dalībvalstīm. </w:t>
            </w:r>
            <w:r>
              <w:rPr>
                <w:b/>
                <w:i/>
              </w:rPr>
              <w:t>Ir arī ļoti svarīgi, lai ES Talantu fonda va</w:t>
            </w:r>
            <w:r>
              <w:rPr>
                <w:b/>
                <w:i/>
              </w:rPr>
              <w:t>dības grupa ar ES Talantu fonda sekretariāta palīdzību sagatavotu darba tirgus prognozes un apzinātu prasmes, piemēram, izmantojot darbaspēka migrācijas platformu. Šādas prognozes varētu kalpot par pamatu turpmākām talantu partnerībām.</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pPr>
            <w:r>
              <w:t>__________________</w:t>
            </w:r>
            <w:r>
              <w:t>_</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pPr>
            <w:r>
              <w:rPr>
                <w:b/>
                <w:i/>
                <w:vertAlign w:val="superscript"/>
              </w:rPr>
              <w:t>1a</w:t>
            </w:r>
            <w:r>
              <w:rPr>
                <w:b/>
                <w:i/>
              </w:rPr>
              <w:t xml:space="preserve"> Eiropas Parlamenta un Padomes Direktīva 2011/2024/ES (2024. gada 24. aprīlis) par vienotu pieteikšanās procedūru, lai trešo valstu valstspiederīgajiem izsniegtu vienoto uzturēšanās un darba atļauju dalībvalsts teritorijā, un par vienotu tiesību kopu</w:t>
            </w:r>
            <w:r>
              <w:rPr>
                <w:b/>
                <w:i/>
              </w:rPr>
              <w:t xml:space="preserve">mu trešo valstu darba ņēmējiem, kuri kādā dalībvalstī uzturas likumīgi (OV L, 2024/1233, 30.4.2024., ELI: </w:t>
            </w:r>
            <w:hyperlink r:id="rId12" w:tgtFrame="_blank" w:tooltip="Nodrošina piekļuvi šim dokumentam, izmantojot ELI URI." w:history="1">
              <w:r>
                <w:rPr>
                  <w:rStyle w:val="Hyperlink"/>
                  <w:b/>
                  <w:i/>
                  <w:color w:val="auto"/>
                </w:rPr>
                <w:t>http://data.europa.</w:t>
              </w:r>
              <w:r>
                <w:rPr>
                  <w:rStyle w:val="Hyperlink"/>
                  <w:b/>
                  <w:i/>
                  <w:color w:val="auto"/>
                </w:rPr>
                <w:t>eu/eli/dir/2024/1233/oj</w:t>
              </w:r>
            </w:hyperlink>
            <w:r>
              <w:rPr>
                <w:b/>
                <w:i/>
              </w:rPr>
              <w:t>).</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pPr>
            <w:r>
              <w:rPr>
                <w:b/>
                <w:i/>
                <w:iCs/>
                <w:vertAlign w:val="superscript"/>
              </w:rPr>
              <w:t>1b</w:t>
            </w:r>
            <w:r>
              <w:rPr>
                <w:b/>
                <w:i/>
                <w:iCs/>
              </w:rPr>
              <w:t xml:space="preserve"> Eiropas Parlamenta un Padomes Direktīva (ES) 2021/1883 (2021. gada 20. oktobris) par trešo valstu valstspiederīgo ieceļošanas un uzturēšanās nosacījumiem augsti kvalificētas nodarbinātības nolūkā un ar ko atceļ Padomes Direkt</w:t>
            </w:r>
            <w:r>
              <w:rPr>
                <w:b/>
                <w:i/>
                <w:iCs/>
              </w:rPr>
              <w:t>īvu 2009/50/EK (OV L 382, 28.10.2021., 1. lpp., ELI:</w:t>
            </w:r>
            <w:r>
              <w:rPr>
                <w:b/>
                <w:i/>
              </w:rPr>
              <w:t> </w:t>
            </w:r>
            <w:hyperlink r:id="rId13" w:tooltip="Nodrošina piekļuvi šim dokumentam, izmantojot ELI URI." w:history="1">
              <w:r>
                <w:rPr>
                  <w:rStyle w:val="Hyperlink"/>
                  <w:b/>
                  <w:i/>
                  <w:color w:val="auto"/>
                </w:rPr>
                <w:t>http://data.europa.eu/eli/dir/2021/1883/oj</w:t>
              </w:r>
            </w:hyperlink>
            <w:r>
              <w:rPr>
                <w:b/>
                <w:i/>
              </w:rP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28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33. apsvērums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(33)</w:t>
            </w:r>
            <w:r>
              <w:tab/>
              <w:t xml:space="preserve">Tiecoties sasniegt šīs regulas mērķus veicināt darbā pieņemšanu starptautiskā </w:t>
            </w:r>
            <w:r>
              <w:t>mērogā, Komisijai būtu jādeleģē pilnvaras pieņemt aktus saskaņā ar Līguma par Eiropas Savienības darbību 290. pantu, lai grozītu šo regulu attiecībā uz pielikumu, kas ietver to profesiju sarakstu, kurās ES trūkst darbaspēka. Ir īpaši būtiski, lai Komisija,</w:t>
            </w:r>
            <w:r>
              <w:t xml:space="preserve"> veicot sagatavošanas darbus, rīkotu atbilstīgas apspriešanas, arī ekspertu līmenī, un lai minētās apspriešanas tiktu rīkotas saskaņā ar principiem, kas noteikti 2016. gada 13. aprīļa Iestāžu nolīgumā par labāku likumdošanas procesu</w:t>
            </w:r>
            <w:r>
              <w:rPr>
                <w:vertAlign w:val="superscript"/>
              </w:rPr>
              <w:t>19</w:t>
            </w:r>
            <w:r>
              <w:t>. Konkrēti, lai deleģē</w:t>
            </w:r>
            <w:r>
              <w:t>to aktu sagatavošanā nodrošinātu vienādu līdzdalību, Eiropas Parlaments un Padome visus dokumentus saņem vienlaikus ar dalībvalstu ekspertiem, un minēto iestāžu ekspertiem ir sistemātiska piekļuve Komisijas ekspertu grupu sanāksmēm, kurās notiek deleģēto a</w:t>
            </w:r>
            <w:r>
              <w:t>ktu sagatavošana.</w:t>
            </w:r>
          </w:p>
        </w:tc>
        <w:tc>
          <w:tcPr>
            <w:tcW w:w="4876" w:type="dxa"/>
            <w:hideMark/>
          </w:tcPr>
          <w:p w:rsidR="004B69B0" w:rsidRPr="00823585" w:rsidRDefault="006F2F4F" w:rsidP="00F175A1">
            <w:pPr>
              <w:pStyle w:val="Normal6"/>
              <w:rPr>
                <w:szCs w:val="24"/>
              </w:rPr>
            </w:pPr>
            <w:r>
              <w:t>(33)</w:t>
            </w:r>
            <w:r>
              <w:tab/>
              <w:t>Tiecoties sasniegt šīs regulas mērķus veicināt darbā pieņemšanu starptautiskā mērogā, Komisijai būtu jādeleģē pilnvaras pieņemt aktus saskaņā ar Līguma par Eiropas Savienības darbību 290. pantu, lai grozītu šo regulu attiecībā uz pie</w:t>
            </w:r>
            <w:r>
              <w:t>likumu, kas ietver to profesiju sarakstu, kurās ES trūkst darbaspēka. Ir īpaši būtiski, lai Komisija, veicot sagatavošanas darbus, rīkotu atbilstīgas apspriešanas, arī ekspertu līmenī, un lai minētās apspriešanas tiktu rīkotas saskaņā ar principiem, kas no</w:t>
            </w:r>
            <w:r>
              <w:t>teikti 2016. gada 13. aprīļa Iestāžu nolīgumā par labāku likumdošanas procesu</w:t>
            </w:r>
            <w:r>
              <w:rPr>
                <w:vertAlign w:val="superscript"/>
              </w:rPr>
              <w:t>19</w:t>
            </w:r>
            <w:r>
              <w:t xml:space="preserve">. </w:t>
            </w:r>
            <w:r>
              <w:rPr>
                <w:b/>
                <w:i/>
              </w:rPr>
              <w:t xml:space="preserve">Komisijai būtu jāapspriežas ar sociālajiem partneriem, it īpaši nozaru līmenī, un ar interešu pārstāvjiem no organizācijām, kas strādā ar trešo valstu valstspiederīgajiem, un </w:t>
            </w:r>
            <w:r>
              <w:rPr>
                <w:b/>
                <w:i/>
              </w:rPr>
              <w:t xml:space="preserve">organizācijām, kuras strādā ar personām ar invaliditāti. </w:t>
            </w:r>
            <w:r>
              <w:t>Konkrēti, lai deleģēto aktu sagatavošanā nodrošinātu vienādu līdzdalību, Eiropas Parlaments un Padome visus dokumentus saņem vienlaikus ar dalībvalstu ekspertiem, un minēto iestāžu ekspertiem ir sist</w:t>
            </w:r>
            <w:r>
              <w:t>emātiska piekļuve Komisijas ekspertu grupu sanāksmēm, kurās notiek deleģēto aktu sagatavošana.</w:t>
            </w:r>
          </w:p>
        </w:tc>
      </w:tr>
      <w:tr w:rsidR="00707295" w:rsidTr="00F175A1">
        <w:trPr>
          <w:jc w:val="center"/>
        </w:trPr>
        <w:tc>
          <w:tcPr>
            <w:tcW w:w="4876" w:type="dxa"/>
            <w:hideMark/>
          </w:tcPr>
          <w:p w:rsidR="004B69B0" w:rsidRPr="00823585" w:rsidRDefault="006F2F4F" w:rsidP="00F175A1">
            <w:pPr>
              <w:pStyle w:val="Normal6"/>
            </w:pPr>
            <w:r>
              <w:t>__________________</w:t>
            </w: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hideMark/>
          </w:tcPr>
          <w:p w:rsidR="004B69B0" w:rsidRPr="00823585" w:rsidRDefault="006F2F4F" w:rsidP="00F175A1">
            <w:pPr>
              <w:pStyle w:val="Normal6"/>
            </w:pPr>
            <w:r>
              <w:rPr>
                <w:vertAlign w:val="superscript"/>
              </w:rPr>
              <w:t>19</w:t>
            </w:r>
            <w:r>
              <w:t xml:space="preserve"> Iestāžu nolīgums starp Eiropas Parlamentu, Eiropas Savienības Padomi un Eiropas Komisiju par labāku likumdošanas proce</w:t>
            </w:r>
            <w:r>
              <w:t>su, OV L 123, 12.5.2016., 1. lpp., ELI: http://data.europa.eu/eli/agree_interinstit/2016/512/oj).</w:t>
            </w:r>
          </w:p>
        </w:tc>
        <w:tc>
          <w:tcPr>
            <w:tcW w:w="4876" w:type="dxa"/>
            <w:hideMark/>
          </w:tcPr>
          <w:p w:rsidR="004B69B0" w:rsidRPr="00823585" w:rsidRDefault="006F2F4F" w:rsidP="00F175A1">
            <w:pPr>
              <w:pStyle w:val="Normal6"/>
              <w:rPr>
                <w:szCs w:val="24"/>
              </w:rPr>
            </w:pPr>
            <w:r>
              <w:rPr>
                <w:vertAlign w:val="superscript"/>
              </w:rPr>
              <w:t>19</w:t>
            </w:r>
            <w:r>
              <w:t xml:space="preserve"> Iestāžu nolīgums starp Eiropas Parlamentu, Eiropas Savienības Padomi un Eiropas Komisiju par labāku likumdošanas procesu, OV L 123, 12.5.2016., 1. lpp., ELI: http://data.europa.eu/eli/agree_interinstit/2016/512/oj).</w:t>
            </w:r>
          </w:p>
        </w:tc>
      </w:tr>
    </w:tbl>
    <w:p w:rsidR="004B69B0" w:rsidRPr="00823585" w:rsidRDefault="006F2F4F" w:rsidP="004B69B0">
      <w:pPr>
        <w:pStyle w:val="Olang"/>
        <w:rPr>
          <w:rStyle w:val="HideTWBExt"/>
          <w:noProof w:val="0"/>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29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34. apsvērums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(34)</w:t>
            </w:r>
            <w:r>
              <w:tab/>
              <w:t xml:space="preserve">Lai nodrošinātu vienotus nosacījumus šīs regulas īstenošanai, īstenošanas pilnvaras </w:t>
            </w:r>
            <w:r>
              <w:t>jāpiešķir Komisijai. Minētās pilnvaras būtu jāizmanto saskaņā ar Eiropas Parlamenta un Padomes Regulu (ES) Nr. 182/2011</w:t>
            </w:r>
            <w:r>
              <w:rPr>
                <w:vertAlign w:val="superscript"/>
              </w:rPr>
              <w:t>19</w:t>
            </w:r>
            <w:r>
              <w:t xml:space="preserve">. </w:t>
            </w:r>
          </w:p>
        </w:tc>
        <w:tc>
          <w:tcPr>
            <w:tcW w:w="4876" w:type="dxa"/>
            <w:hideMark/>
          </w:tcPr>
          <w:p w:rsidR="004B69B0" w:rsidRPr="00823585" w:rsidRDefault="006F2F4F" w:rsidP="00F175A1">
            <w:pPr>
              <w:pStyle w:val="Normal6"/>
              <w:rPr>
                <w:b/>
                <w:i/>
                <w:szCs w:val="24"/>
              </w:rPr>
            </w:pPr>
            <w:r>
              <w:t>(34)</w:t>
            </w:r>
            <w:r>
              <w:tab/>
              <w:t>Lai nodrošinātu vienotus nosacījumus šīs regulas īstenošanai, īstenošanas pilnvaras jāpiešķir Komisijai. Minētās pilnvaras būtu</w:t>
            </w:r>
            <w:r>
              <w:t xml:space="preserve"> jāizmanto saskaņā ar Eiropas Parlamenta un Padomes Regulu (ES) Nr. 182/2011</w:t>
            </w:r>
            <w:r>
              <w:rPr>
                <w:vertAlign w:val="superscript"/>
              </w:rPr>
              <w:t>19</w:t>
            </w:r>
            <w:r>
              <w:t xml:space="preserve">. </w:t>
            </w:r>
            <w:r>
              <w:rPr>
                <w:b/>
                <w:i/>
              </w:rPr>
              <w:t>Pirms īstenošanas pilnvaru īstenošanas Komisijai būtu arī jālūdz ieguldījums no visām attiecīgajām ieinteresētajām personām.</w:t>
            </w:r>
          </w:p>
        </w:tc>
      </w:tr>
      <w:tr w:rsidR="00707295" w:rsidTr="00F175A1">
        <w:trPr>
          <w:jc w:val="center"/>
        </w:trPr>
        <w:tc>
          <w:tcPr>
            <w:tcW w:w="4876" w:type="dxa"/>
            <w:hideMark/>
          </w:tcPr>
          <w:p w:rsidR="004B69B0" w:rsidRPr="00823585" w:rsidRDefault="006F2F4F" w:rsidP="00F175A1">
            <w:pPr>
              <w:pStyle w:val="Normal6"/>
            </w:pPr>
            <w:r>
              <w:t>__________________</w:t>
            </w:r>
          </w:p>
        </w:tc>
        <w:tc>
          <w:tcPr>
            <w:tcW w:w="4876" w:type="dxa"/>
            <w:hideMark/>
          </w:tcPr>
          <w:p w:rsidR="004B69B0" w:rsidRPr="00823585" w:rsidRDefault="006F2F4F" w:rsidP="00F175A1">
            <w:pPr>
              <w:pStyle w:val="Normal6"/>
              <w:rPr>
                <w:szCs w:val="24"/>
              </w:rPr>
            </w:pPr>
            <w:r>
              <w:t>__________________</w:t>
            </w:r>
          </w:p>
        </w:tc>
      </w:tr>
      <w:tr w:rsidR="00707295" w:rsidTr="00F175A1">
        <w:trPr>
          <w:jc w:val="center"/>
        </w:trPr>
        <w:tc>
          <w:tcPr>
            <w:tcW w:w="4876" w:type="dxa"/>
            <w:hideMark/>
          </w:tcPr>
          <w:p w:rsidR="004B69B0" w:rsidRPr="00823585" w:rsidRDefault="006F2F4F" w:rsidP="00F175A1">
            <w:pPr>
              <w:pStyle w:val="Normal6"/>
            </w:pPr>
            <w:r>
              <w:rPr>
                <w:vertAlign w:val="superscript"/>
              </w:rPr>
              <w:t>19</w:t>
            </w:r>
            <w:r>
              <w:t xml:space="preserve"> Eiropas </w:t>
            </w:r>
            <w:r>
              <w:t>Parlamenta un Padomes Regula (ES) Nr. 182/2011 (2011. gada 16. februāris), ar ko nosaka normas un vispārīgus principus par dalībvalstu kontroles mehānismiem, kuri attiecas uz Komisijas īstenošanas pilnvaru izmantošanu (OV L 55, 28.2.2011., 13. lpp., ELI: h</w:t>
            </w:r>
            <w:r>
              <w:t>ttp://data.europa.eu/eli/reg/2011/182/oj.</w:t>
            </w:r>
          </w:p>
        </w:tc>
        <w:tc>
          <w:tcPr>
            <w:tcW w:w="4876" w:type="dxa"/>
            <w:hideMark/>
          </w:tcPr>
          <w:p w:rsidR="004B69B0" w:rsidRPr="00823585" w:rsidRDefault="006F2F4F" w:rsidP="00F175A1">
            <w:pPr>
              <w:pStyle w:val="Normal6"/>
              <w:rPr>
                <w:szCs w:val="24"/>
              </w:rPr>
            </w:pPr>
            <w:r>
              <w:rPr>
                <w:vertAlign w:val="superscript"/>
              </w:rPr>
              <w:t>19</w:t>
            </w:r>
            <w:r>
              <w:t xml:space="preserve"> Eiropas Parlamenta un Padomes Regula (ES) Nr. 182/2011 (2011. gada 16. februāris), ar ko nosaka normas un vispārīgus principus par dalībvalstu kontroles mehānismiem, kuri attiecas uz Komisijas īstenošanas pilnva</w:t>
            </w:r>
            <w:r>
              <w:t>ru izmantošanu (OV L 55, 28.2.2011., 13. lpp., ELI: http://data.europa.eu/eli/reg/2011/182/oj.</w:t>
            </w:r>
          </w:p>
        </w:tc>
      </w:tr>
    </w:tbl>
    <w:p w:rsidR="004B69B0" w:rsidRPr="00823585" w:rsidRDefault="006F2F4F" w:rsidP="004B69B0">
      <w:pPr>
        <w:pStyle w:val="Olang"/>
        <w:rPr>
          <w:rStyle w:val="HideTWBExt"/>
          <w:noProof w:val="0"/>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37. apsvērums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(37)</w:t>
            </w:r>
            <w:r>
              <w:tab/>
            </w:r>
            <w:r>
              <w:rPr>
                <w:b/>
                <w:i/>
              </w:rPr>
              <w:t>Iesaistītajām</w:t>
            </w:r>
            <w:r>
              <w:t xml:space="preserve"> dalībvalstīm šī regula </w:t>
            </w:r>
            <w:r>
              <w:rPr>
                <w:b/>
                <w:i/>
              </w:rPr>
              <w:t>būtu</w:t>
            </w:r>
            <w:r>
              <w:t xml:space="preserve"> jāīsteno, pilnībā ievērojot visus ES Pamattiesību hartā noteiktos pienākumus un jo īpaši bez diskriminācijas dzimuma, rases, ādas krāsas, etniskās vai sociālās izcelsme</w:t>
            </w:r>
            <w:r>
              <w:t xml:space="preserve">s, ģenētisko īpašību, valodu, reliģijas vai pārliecības, politisko vai jebkādu citu uzskatu, piederības nacionālajai minoritātei, īpašuma, izcelsmes, invaliditātes, vecuma vai </w:t>
            </w:r>
            <w:r>
              <w:rPr>
                <w:b/>
                <w:i/>
              </w:rPr>
              <w:t>dzimumorientācijas</w:t>
            </w:r>
            <w:r>
              <w:t xml:space="preserve"> dēļ. Jānodrošina godīgu un taisnīgu darba apstākļu </w:t>
            </w:r>
            <w:r>
              <w:lastRenderedPageBreak/>
              <w:t>ievērošana</w:t>
            </w:r>
            <w:r>
              <w:rPr>
                <w:b/>
                <w:i/>
              </w:rPr>
              <w:t xml:space="preserve"> un</w:t>
            </w:r>
            <w:r>
              <w:t xml:space="preserve"> jauniešu aizsardzība darbā.</w:t>
            </w:r>
          </w:p>
        </w:tc>
        <w:tc>
          <w:tcPr>
            <w:tcW w:w="4876" w:type="dxa"/>
            <w:hideMark/>
          </w:tcPr>
          <w:p w:rsidR="004B69B0" w:rsidRPr="00823585" w:rsidRDefault="006F2F4F" w:rsidP="00F175A1">
            <w:pPr>
              <w:pStyle w:val="Normal6"/>
              <w:rPr>
                <w:szCs w:val="24"/>
              </w:rPr>
            </w:pPr>
            <w:r>
              <w:lastRenderedPageBreak/>
              <w:t>(37)</w:t>
            </w:r>
            <w:r>
              <w:tab/>
              <w:t xml:space="preserve">Dalībvalstīm šī regula </w:t>
            </w:r>
            <w:r>
              <w:rPr>
                <w:b/>
                <w:i/>
              </w:rPr>
              <w:t>ir</w:t>
            </w:r>
            <w:r>
              <w:t xml:space="preserve"> jāīsteno, pilnībā ievērojot visus ES Pamattiesību hartā noteiktos pienākumus un jo īpaši bez diskriminācijas dzimuma, rases, ādas krāsas, etniskās vai sociālās izcelsmes, ģenētisko īpašību, val</w:t>
            </w:r>
            <w:r>
              <w:t xml:space="preserve">odu, reliģijas vai pārliecības, politisko vai jebkādu citu uzskatu, piederības nacionālajai minoritātei, īpašuma, izcelsmes, invaliditātes, vecuma vai </w:t>
            </w:r>
            <w:r>
              <w:rPr>
                <w:b/>
                <w:i/>
              </w:rPr>
              <w:t>seksuālās orientācijas</w:t>
            </w:r>
            <w:r>
              <w:t xml:space="preserve"> dēļ. </w:t>
            </w:r>
            <w:r>
              <w:rPr>
                <w:b/>
                <w:i/>
              </w:rPr>
              <w:t>Būtu</w:t>
            </w:r>
            <w:r>
              <w:t xml:space="preserve"> jānodrošina godīgu un taisnīgu darba apstākļu ievērošana</w:t>
            </w:r>
            <w:r>
              <w:rPr>
                <w:b/>
                <w:i/>
              </w:rPr>
              <w:t>,</w:t>
            </w:r>
            <w:r>
              <w:t xml:space="preserve"> </w:t>
            </w:r>
            <w:r>
              <w:lastRenderedPageBreak/>
              <w:t>jauniešu aizsa</w:t>
            </w:r>
            <w:r>
              <w:t>rdzība darbā</w:t>
            </w:r>
            <w:r>
              <w:rPr>
                <w:b/>
                <w:i/>
              </w:rPr>
              <w:t>, kā arī dzimumu līdztiesība</w:t>
            </w:r>
            <w:r>
              <w:t>.</w:t>
            </w:r>
          </w:p>
        </w:tc>
      </w:tr>
    </w:tbl>
    <w:p w:rsidR="004B69B0" w:rsidRPr="00823585" w:rsidRDefault="006F2F4F" w:rsidP="004B69B0">
      <w:pPr>
        <w:pStyle w:val="Olang"/>
        <w:rPr>
          <w:rStyle w:val="HideTWBExt"/>
          <w:noProof w:val="0"/>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lang w:val="fr-FR"/>
        </w:rPr>
        <w:t>&lt;Article&gt;</w:t>
      </w:r>
      <w:r>
        <w:t>39.a apsvērums (jauns)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(39a)</w:t>
            </w:r>
            <w:r>
              <w:rPr>
                <w:b/>
                <w:i/>
              </w:rPr>
              <w:tab/>
              <w:t>Saskaņā ar Eiropas Parlamenta un Padomes Regulas (ES) 2018/1725</w:t>
            </w:r>
            <w:r>
              <w:rPr>
                <w:b/>
                <w:i/>
                <w:vertAlign w:val="superscript"/>
              </w:rPr>
              <w:t>1a</w:t>
            </w:r>
            <w:r>
              <w:rPr>
                <w:b/>
                <w:i/>
              </w:rPr>
              <w:t xml:space="preserve"> 42. panta 1. punktu ir notikusi apspriešanās ar Eiropas Datu aizsardzības uzraudzītāju, kas 2024. gada 9. janvārī sniedza atzinumu.</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__________________</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vertAlign w:val="superscript"/>
              </w:rPr>
              <w:t>1a</w:t>
            </w:r>
            <w:r>
              <w:t xml:space="preserve"> </w:t>
            </w:r>
            <w:r>
              <w:rPr>
                <w:b/>
                <w:i/>
              </w:rPr>
              <w:t xml:space="preserve">Eiropas Parlamenta un </w:t>
            </w:r>
            <w:r>
              <w:rPr>
                <w:b/>
                <w:i/>
              </w:rPr>
              <w:t>Padomes Regula (ES) 2018/1725 (2018. gada 23. oktobris) par fizisku personu aizsardzību attiecībā uz personas datu apstrādi Savienības iestādēs, struktūrās, birojos un aģentūrās un par šādu datu brīvu apriti un ar ko atceļ Regulu (EK) Nr. 45/2001 un Lēmumu</w:t>
            </w:r>
            <w:r>
              <w:rPr>
                <w:b/>
                <w:i/>
              </w:rPr>
              <w:t xml:space="preserve"> Nr. 1247/2002/EK (OV L 295, 21.11.2018., 39. lpp., ELI: http://data.europa.eu/eli/reg/2018/1725/oj). </w:t>
            </w:r>
          </w:p>
        </w:tc>
      </w:tr>
    </w:tbl>
    <w:p w:rsidR="004B69B0" w:rsidRPr="00823585" w:rsidRDefault="006F2F4F" w:rsidP="004B69B0">
      <w:pPr>
        <w:pStyle w:val="Olang"/>
        <w:rPr>
          <w:rStyle w:val="HideTWBExt"/>
          <w:noProof w:val="0"/>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4B69B0" w:rsidP="004B69B0">
      <w:pPr>
        <w:rPr>
          <w:rStyle w:val="HideTWBExt"/>
        </w:rPr>
      </w:pP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lang w:val="fr-FR"/>
        </w:rPr>
        <w:t>&lt;Article&gt;</w:t>
      </w:r>
      <w:r>
        <w:t>1. pants – 1. punkt</w:t>
      </w:r>
      <w:r>
        <w:t>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t xml:space="preserve">Ar šo regulu </w:t>
            </w:r>
            <w:r>
              <w:rPr>
                <w:b/>
                <w:i/>
              </w:rPr>
              <w:t>tiek izveidots</w:t>
            </w:r>
            <w:r>
              <w:t xml:space="preserve"> ES talantu </w:t>
            </w:r>
            <w:r>
              <w:rPr>
                <w:b/>
                <w:i/>
              </w:rPr>
              <w:t>fonds</w:t>
            </w:r>
            <w:r>
              <w:t>, kas</w:t>
            </w:r>
            <w:r>
              <w:rPr>
                <w:b/>
                <w:i/>
              </w:rPr>
              <w:t xml:space="preserve"> ir</w:t>
            </w:r>
            <w:r>
              <w:t xml:space="preserve"> pieejams visām dalībvalstīm, lai</w:t>
            </w:r>
            <w:r>
              <w:rPr>
                <w:b/>
                <w:i/>
              </w:rPr>
              <w:t xml:space="preserve"> atvieglotu tādu trešo valstu darba meklētāju pieņemšanu darbā, kuri uzturas ārpus Savienības.</w:t>
            </w:r>
          </w:p>
        </w:tc>
        <w:tc>
          <w:tcPr>
            <w:tcW w:w="4876" w:type="dxa"/>
            <w:hideMark/>
          </w:tcPr>
          <w:p w:rsidR="004B69B0" w:rsidRPr="00823585" w:rsidRDefault="006F2F4F" w:rsidP="00F175A1">
            <w:pPr>
              <w:pStyle w:val="Normal6"/>
              <w:rPr>
                <w:szCs w:val="24"/>
              </w:rPr>
            </w:pPr>
            <w:r>
              <w:t>1.</w:t>
            </w:r>
            <w:r>
              <w:tab/>
              <w:t xml:space="preserve">Ar šo regulu </w:t>
            </w:r>
            <w:r>
              <w:rPr>
                <w:b/>
                <w:i/>
              </w:rPr>
              <w:t>izveido</w:t>
            </w:r>
            <w:r>
              <w:t xml:space="preserve"> ES Talantu </w:t>
            </w:r>
            <w:r>
              <w:rPr>
                <w:b/>
                <w:i/>
              </w:rPr>
              <w:t>fondu</w:t>
            </w:r>
            <w:r>
              <w:t>, kas pieejams visām dalībvalstīm, lai</w:t>
            </w:r>
            <w:r>
              <w:rPr>
                <w:b/>
                <w:i/>
              </w:rPr>
              <w:t>:</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rPr>
                <w:b/>
                <w:i/>
              </w:rPr>
            </w:pPr>
            <w:r>
              <w:rPr>
                <w:b/>
                <w:i/>
              </w:rPr>
              <w:t>(a)</w:t>
            </w:r>
            <w:r>
              <w:rPr>
                <w:b/>
                <w:i/>
              </w:rPr>
              <w:tab/>
              <w:t xml:space="preserve">būtu vieglāk pieņemt darbā darba meklētājus no trešām valstīm neatkarīgi </w:t>
            </w:r>
            <w:r>
              <w:rPr>
                <w:b/>
                <w:i/>
              </w:rPr>
              <w:lastRenderedPageBreak/>
              <w:t>no viņu kvalifikācijas līmeņa</w:t>
            </w:r>
            <w:r>
              <w:t xml:space="preserve"> </w:t>
            </w:r>
            <w:r>
              <w:rPr>
                <w:b/>
                <w:i/>
              </w:rPr>
              <w:t xml:space="preserve">un </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pPr>
            <w:r>
              <w:rPr>
                <w:b/>
                <w:i/>
              </w:rPr>
              <w:t>(b)</w:t>
            </w:r>
            <w:r>
              <w:rPr>
                <w:b/>
                <w:i/>
              </w:rPr>
              <w:tab/>
              <w:t>veicinātu taisnīgas darbā pieņemšanas standartus, kas noteikti SDO Vispār</w:t>
            </w:r>
            <w:r>
              <w:rPr>
                <w:b/>
                <w:i/>
              </w:rPr>
              <w:t>īgajos taisnīgas darbā pieņemšanas principos un darbības vadlīnijās.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33</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 pants – 2. punkts – b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(b)</w:t>
            </w:r>
            <w:r>
              <w:tab/>
              <w:t>ES talantu fonda IT platformas un saistīto atbalsta pakalpojumu darbību;</w:t>
            </w:r>
          </w:p>
        </w:tc>
        <w:tc>
          <w:tcPr>
            <w:tcW w:w="4876" w:type="dxa"/>
            <w:hideMark/>
          </w:tcPr>
          <w:p w:rsidR="004B69B0" w:rsidRPr="00823585" w:rsidRDefault="006F2F4F" w:rsidP="00F175A1">
            <w:pPr>
              <w:pStyle w:val="Normal6"/>
              <w:rPr>
                <w:szCs w:val="24"/>
              </w:rPr>
            </w:pPr>
            <w:r>
              <w:t>(b)</w:t>
            </w:r>
            <w:r>
              <w:tab/>
              <w:t>ES Talantu fonda IT platformas un saistīto atbalsta pakalpojumu</w:t>
            </w:r>
            <w:r>
              <w:rPr>
                <w:b/>
                <w:i/>
              </w:rPr>
              <w:t>, piemēram, piekļūstamības prasību un informācijas sniegšanas,</w:t>
            </w:r>
            <w:r>
              <w:t xml:space="preserve"> darbību;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rPr>
                <w:b/>
                <w:i/>
              </w:rPr>
              <w:t>1.</w:t>
            </w:r>
            <w:r>
              <w:rPr>
                <w:b/>
                <w:i/>
              </w:rPr>
              <w:tab/>
            </w:r>
            <w:r>
              <w:t xml:space="preserve">Šī regula attiecas uz </w:t>
            </w:r>
            <w:r>
              <w:rPr>
                <w:b/>
                <w:i/>
              </w:rPr>
              <w:t xml:space="preserve">trešo valstu darba </w:t>
            </w:r>
            <w:r>
              <w:rPr>
                <w:b/>
                <w:i/>
              </w:rPr>
              <w:t>meklētājiem, kuri uzturas ārpus Savienības,</w:t>
            </w:r>
            <w:r>
              <w:t xml:space="preserve"> un darba devējiem, kas </w:t>
            </w:r>
            <w:r>
              <w:rPr>
                <w:b/>
                <w:i/>
              </w:rPr>
              <w:t>veic uzņēmējdarbību iesaistītajās</w:t>
            </w:r>
            <w:r>
              <w:t xml:space="preserve"> dalībvalstīs.</w:t>
            </w:r>
          </w:p>
        </w:tc>
        <w:tc>
          <w:tcPr>
            <w:tcW w:w="4876" w:type="dxa"/>
            <w:hideMark/>
          </w:tcPr>
          <w:p w:rsidR="004B69B0" w:rsidRPr="00823585" w:rsidRDefault="006F2F4F" w:rsidP="00F175A1">
            <w:pPr>
              <w:pStyle w:val="Normal6"/>
              <w:rPr>
                <w:szCs w:val="24"/>
              </w:rPr>
            </w:pPr>
            <w:r>
              <w:t xml:space="preserve">Šī regula attiecas uz </w:t>
            </w:r>
            <w:r>
              <w:rPr>
                <w:b/>
                <w:i/>
              </w:rPr>
              <w:t>darba meklētājiem no trešām valstīm neatkarīgi no viņu kvalifikācijas līmeņa</w:t>
            </w:r>
            <w:r>
              <w:t xml:space="preserve"> un darba devējiem, kas </w:t>
            </w:r>
            <w:r>
              <w:rPr>
                <w:b/>
                <w:i/>
              </w:rPr>
              <w:t>iedibināti</w:t>
            </w:r>
            <w:r>
              <w:t xml:space="preserve"> dalībval</w:t>
            </w:r>
            <w:r>
              <w:t>stīs.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3. pants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jc w:val="center"/>
            </w:pPr>
            <w:r>
              <w:rPr>
                <w:b/>
                <w:i/>
              </w:rPr>
              <w:t>3. pants</w:t>
            </w:r>
          </w:p>
        </w:tc>
        <w:tc>
          <w:tcPr>
            <w:tcW w:w="4876" w:type="dxa"/>
            <w:hideMark/>
          </w:tcPr>
          <w:p w:rsidR="004B69B0" w:rsidRPr="00823585" w:rsidRDefault="006F2F4F" w:rsidP="00F175A1">
            <w:pPr>
              <w:pStyle w:val="Normal6"/>
              <w:rPr>
                <w:szCs w:val="24"/>
              </w:rPr>
            </w:pPr>
            <w:r>
              <w:rPr>
                <w:b/>
                <w:i/>
              </w:rPr>
              <w:t>svītrots</w:t>
            </w:r>
          </w:p>
        </w:tc>
      </w:tr>
      <w:tr w:rsidR="00707295" w:rsidTr="00F175A1">
        <w:trPr>
          <w:jc w:val="center"/>
        </w:trPr>
        <w:tc>
          <w:tcPr>
            <w:tcW w:w="4876" w:type="dxa"/>
            <w:hideMark/>
          </w:tcPr>
          <w:p w:rsidR="004B69B0" w:rsidRPr="00823585" w:rsidRDefault="006F2F4F" w:rsidP="00F175A1">
            <w:pPr>
              <w:pStyle w:val="Normal6"/>
              <w:jc w:val="center"/>
            </w:pPr>
            <w:r>
              <w:rPr>
                <w:b/>
                <w:i/>
              </w:rPr>
              <w:t>Dalība</w:t>
            </w:r>
          </w:p>
        </w:tc>
        <w:tc>
          <w:tcPr>
            <w:tcW w:w="4876" w:type="dxa"/>
          </w:tcPr>
          <w:p w:rsidR="004B69B0" w:rsidRPr="00823585" w:rsidRDefault="004B69B0" w:rsidP="00F175A1">
            <w:pPr>
              <w:pStyle w:val="Normal6"/>
              <w:rPr>
                <w:szCs w:val="24"/>
                <w:lang w:val="en-GB"/>
              </w:rPr>
            </w:pPr>
          </w:p>
        </w:tc>
      </w:tr>
      <w:tr w:rsidR="00707295" w:rsidTr="00F175A1">
        <w:trPr>
          <w:jc w:val="center"/>
        </w:trPr>
        <w:tc>
          <w:tcPr>
            <w:tcW w:w="4876" w:type="dxa"/>
            <w:hideMark/>
          </w:tcPr>
          <w:p w:rsidR="004B69B0" w:rsidRPr="00823585" w:rsidRDefault="006F2F4F" w:rsidP="00F175A1">
            <w:pPr>
              <w:pStyle w:val="Normal6"/>
            </w:pPr>
            <w:r>
              <w:rPr>
                <w:b/>
                <w:i/>
              </w:rPr>
              <w:t>1.</w:t>
            </w:r>
            <w:r>
              <w:rPr>
                <w:b/>
                <w:i/>
              </w:rPr>
              <w:tab/>
              <w:t xml:space="preserve">Jebkura dalībvalsts var </w:t>
            </w:r>
            <w:r>
              <w:rPr>
                <w:b/>
                <w:i/>
              </w:rPr>
              <w:t>izlemt iesaistīties ES talantu fondā jebkurā laikā. Tā paziņo savu lēmumu Komisijai ne vēlāk kā deviņus mēnešus pirms dienas, sākot no kuras tā plāno iesaistīties. No pirmās dalības dienas attiecīgajā dalībvalstī reģistrēto darba devēju vakances var tikt p</w:t>
            </w:r>
            <w:r>
              <w:rPr>
                <w:b/>
                <w:i/>
              </w:rPr>
              <w:t>ārsūtītas uz ES talantu fonda IT platformu.</w:t>
            </w:r>
          </w:p>
        </w:tc>
        <w:tc>
          <w:tcPr>
            <w:tcW w:w="4876" w:type="dxa"/>
          </w:tcPr>
          <w:p w:rsidR="004B69B0" w:rsidRPr="00823585" w:rsidRDefault="004B69B0" w:rsidP="00F175A1">
            <w:pPr>
              <w:pStyle w:val="Normal6"/>
              <w:rPr>
                <w:szCs w:val="24"/>
                <w:lang w:val="en-GB"/>
              </w:rPr>
            </w:pPr>
          </w:p>
        </w:tc>
      </w:tr>
      <w:tr w:rsidR="00707295" w:rsidTr="00F175A1">
        <w:trPr>
          <w:jc w:val="center"/>
        </w:trPr>
        <w:tc>
          <w:tcPr>
            <w:tcW w:w="4876" w:type="dxa"/>
            <w:hideMark/>
          </w:tcPr>
          <w:p w:rsidR="004B69B0" w:rsidRPr="00823585" w:rsidRDefault="006F2F4F" w:rsidP="00F175A1">
            <w:pPr>
              <w:pStyle w:val="Normal6"/>
            </w:pPr>
            <w:r>
              <w:rPr>
                <w:b/>
                <w:i/>
              </w:rPr>
              <w:t>2.</w:t>
            </w:r>
            <w:r>
              <w:rPr>
                <w:b/>
                <w:i/>
              </w:rPr>
              <w:tab/>
              <w:t>Informācija par iesaistītajām dalībvalstīm tiek darīta publiski pieejama ES talantu fonda IT platformā.</w:t>
            </w:r>
          </w:p>
        </w:tc>
        <w:tc>
          <w:tcPr>
            <w:tcW w:w="4876" w:type="dxa"/>
          </w:tcPr>
          <w:p w:rsidR="004B69B0" w:rsidRPr="00823585" w:rsidRDefault="004B69B0" w:rsidP="00F175A1">
            <w:pPr>
              <w:pStyle w:val="Normal6"/>
              <w:rPr>
                <w:szCs w:val="24"/>
                <w:lang w:val="en-GB"/>
              </w:rPr>
            </w:pP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36</w:t>
      </w:r>
      <w:r>
        <w:rPr>
          <w:rStyle w:val="HideTWBExt"/>
          <w:lang w:val="en-GB"/>
        </w:rPr>
        <w:t>&lt;/NumAm&gt;</w:t>
      </w:r>
    </w:p>
    <w:p w:rsidR="004B69B0" w:rsidRPr="00823585" w:rsidRDefault="006F2F4F" w:rsidP="004B69B0">
      <w:pPr>
        <w:pStyle w:val="NormalBold12b"/>
        <w:keepNext/>
      </w:pPr>
      <w:r>
        <w:rPr>
          <w:rStyle w:val="HideTWBExt"/>
        </w:rPr>
        <w:t>&lt;DocAmend&gt;</w:t>
      </w:r>
      <w:r>
        <w:t xml:space="preserve">Regulas </w:t>
      </w:r>
      <w:r>
        <w:t>priekšlikums</w:t>
      </w:r>
      <w:r>
        <w:rPr>
          <w:rStyle w:val="HideTWBExt"/>
        </w:rPr>
        <w:t>&lt;/DocAmend&gt;</w:t>
      </w:r>
    </w:p>
    <w:p w:rsidR="004B69B0" w:rsidRPr="00823585" w:rsidRDefault="006F2F4F" w:rsidP="004B69B0">
      <w:pPr>
        <w:pStyle w:val="NormalBold"/>
      </w:pPr>
      <w:r>
        <w:rPr>
          <w:rStyle w:val="HideTWBExt"/>
        </w:rPr>
        <w:t>&lt;Article&gt;</w:t>
      </w:r>
      <w:r>
        <w:t>4. pants – 1. punkts – 1.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rPr>
                <w:b/>
                <w:i/>
              </w:rPr>
              <w:t>(1)</w:t>
            </w:r>
            <w:r>
              <w:rPr>
                <w:b/>
                <w:i/>
              </w:rPr>
              <w:tab/>
              <w:t>“iesaistītās dalībvalstis” ir dalībvalstis, kas iesaistās ES talantu fondā;</w:t>
            </w:r>
          </w:p>
        </w:tc>
        <w:tc>
          <w:tcPr>
            <w:tcW w:w="4876" w:type="dxa"/>
            <w:hideMark/>
          </w:tcPr>
          <w:p w:rsidR="004B69B0" w:rsidRPr="00823585" w:rsidRDefault="006F2F4F" w:rsidP="00F175A1">
            <w:pPr>
              <w:pStyle w:val="Normal6"/>
              <w:rPr>
                <w:szCs w:val="24"/>
              </w:rPr>
            </w:pPr>
            <w:r>
              <w:rPr>
                <w:b/>
                <w:i/>
              </w:rPr>
              <w:t>svītrots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4. pants – 1. punkts – 2.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t xml:space="preserve">“darba meklētājs no trešās valsts” ir persona, </w:t>
            </w:r>
            <w:r>
              <w:rPr>
                <w:b/>
                <w:i/>
              </w:rPr>
              <w:t>kura</w:t>
            </w:r>
            <w:r>
              <w:t xml:space="preserve"> uzturas ārpus Savi</w:t>
            </w:r>
            <w:r>
              <w:t xml:space="preserve">enības, nav Savienības pilsonis LESD 20. panta 1. punkta izpratnē un meklē darbu </w:t>
            </w:r>
            <w:r>
              <w:lastRenderedPageBreak/>
              <w:t>Savienībā;</w:t>
            </w:r>
          </w:p>
        </w:tc>
        <w:tc>
          <w:tcPr>
            <w:tcW w:w="4876" w:type="dxa"/>
            <w:hideMark/>
          </w:tcPr>
          <w:p w:rsidR="004B69B0" w:rsidRPr="00823585" w:rsidRDefault="006F2F4F" w:rsidP="00F175A1">
            <w:pPr>
              <w:pStyle w:val="Normal6"/>
              <w:rPr>
                <w:szCs w:val="24"/>
              </w:rPr>
            </w:pPr>
            <w:r>
              <w:lastRenderedPageBreak/>
              <w:t>(2)</w:t>
            </w:r>
            <w:r>
              <w:tab/>
              <w:t xml:space="preserve">“darba meklētājs no trešās valsts” ir persona, </w:t>
            </w:r>
            <w:r>
              <w:rPr>
                <w:b/>
                <w:i/>
              </w:rPr>
              <w:t>kas ir sasniegusi pilngadību saskaņā ar dzīvesvietas valsts tiesību aktiem un kas</w:t>
            </w:r>
            <w:r>
              <w:t xml:space="preserve"> uzturas ārpus Savienības, </w:t>
            </w:r>
            <w:r>
              <w:lastRenderedPageBreak/>
              <w:t>nav S</w:t>
            </w:r>
            <w:r>
              <w:t>avienības pilsonis LESD 20. panta 1. punkta izpratnē un meklē darbu Savienībā;</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4B69B0" w:rsidP="004B69B0">
      <w:pPr>
        <w:rPr>
          <w:rStyle w:val="HideTWBExt"/>
        </w:rPr>
      </w:pP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4. pants – 1. punkts – 5. apakšpunkts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(5)</w:t>
            </w:r>
            <w:r>
              <w:tab/>
              <w:t xml:space="preserve">“vienots koordinēts kanāls” ir IT pakalpojums, kas izveidots vakanču pārsūtīšanai no </w:t>
            </w:r>
            <w:r>
              <w:rPr>
                <w:b/>
                <w:i/>
              </w:rPr>
              <w:t xml:space="preserve">iesaistītajām </w:t>
            </w:r>
            <w:r>
              <w:t>dalībvalstīm uz ES talantu fonda IT platformu saskaņā ar vienotu sistēmu, kā arī izmantojot nepieci</w:t>
            </w:r>
            <w:r>
              <w:t>ešamo tehnisko infrastruktūru.</w:t>
            </w:r>
          </w:p>
        </w:tc>
        <w:tc>
          <w:tcPr>
            <w:tcW w:w="4876" w:type="dxa"/>
            <w:hideMark/>
          </w:tcPr>
          <w:p w:rsidR="004B69B0" w:rsidRPr="00823585" w:rsidRDefault="006F2F4F" w:rsidP="00F175A1">
            <w:pPr>
              <w:pStyle w:val="Normal6"/>
              <w:rPr>
                <w:szCs w:val="24"/>
              </w:rPr>
            </w:pPr>
            <w:r>
              <w:t>(5)</w:t>
            </w:r>
            <w:r>
              <w:tab/>
              <w:t>“vienots koordinēts kanāls” ir IT pakalpojums, kas izveidots vakanču pārsūtīšanai no dalībvalstīm uz ES Talantu fonda IT platformu saskaņā ar vienotu sistēmu, kā arī izmantojot nepieciešamo tehnisko infrastruktūru.</w:t>
            </w:r>
          </w:p>
        </w:tc>
      </w:tr>
    </w:tbl>
    <w:p w:rsidR="004B69B0" w:rsidRPr="00823585" w:rsidRDefault="006F2F4F" w:rsidP="004B69B0">
      <w:pPr>
        <w:pStyle w:val="Olang"/>
        <w:rPr>
          <w:rStyle w:val="HideTWBExt"/>
          <w:noProof w:val="0"/>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39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4. pants – 1. punkts – 5.a apakšpunkts (jauns)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4B69B0" w:rsidP="00F175A1"/>
        </w:tc>
        <w:tc>
          <w:tcPr>
            <w:tcW w:w="4876" w:type="dxa"/>
            <w:hideMark/>
          </w:tcPr>
          <w:p w:rsidR="004B69B0" w:rsidRPr="00823585" w:rsidRDefault="006F2F4F" w:rsidP="00F175A1">
            <w:pPr>
              <w:pStyle w:val="Normal6"/>
              <w:rPr>
                <w:b/>
                <w:i/>
              </w:rPr>
            </w:pPr>
            <w:r>
              <w:rPr>
                <w:b/>
                <w:i/>
              </w:rPr>
              <w:t>(5a)</w:t>
            </w:r>
            <w:r>
              <w:rPr>
                <w:b/>
                <w:i/>
              </w:rPr>
              <w:tab/>
              <w:t>“vakance” ir apmaksāta</w:t>
            </w:r>
            <w:r>
              <w:rPr>
                <w:b/>
                <w:i/>
              </w:rPr>
              <w:t xml:space="preserve"> amata vieta, apmaksāta prakses vieta vai apmaksāta stažēšanās vieta, kura ir jaunizveidota, neaizpildīta vai drīzumā atbrīvosies un attiecībā uz kuru darba devējs aktīvi rīkojas un ir gatavs veikt turpmākus pasākumus, lai atrastu piemērotu kandidātu ārpus</w:t>
            </w:r>
            <w:r>
              <w:rPr>
                <w:b/>
                <w:i/>
              </w:rPr>
              <w:t xml:space="preserve"> attiecīgā uzņēmuma, un kuru darba devējs plāno aizpildīt vai nu nekavējoties, vai konkrētā laikposmā.</w:t>
            </w:r>
          </w:p>
        </w:tc>
      </w:tr>
    </w:tbl>
    <w:p w:rsidR="004B69B0" w:rsidRPr="00823585" w:rsidRDefault="006F2F4F" w:rsidP="004B69B0">
      <w:pPr>
        <w:pStyle w:val="Olang"/>
        <w:rPr>
          <w:rStyle w:val="HideTWBExt"/>
          <w:noProof w:val="0"/>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40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5. pants – 1. punkts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t>Ir izveidota ES talantu fonda IT platforma, lai atvieglotu trešo valstu darba meklētāju pieņemšanu darbā.</w:t>
            </w:r>
          </w:p>
        </w:tc>
        <w:tc>
          <w:tcPr>
            <w:tcW w:w="4876" w:type="dxa"/>
            <w:hideMark/>
          </w:tcPr>
          <w:p w:rsidR="004B69B0" w:rsidRPr="00823585" w:rsidRDefault="006F2F4F" w:rsidP="00F175A1">
            <w:pPr>
              <w:pStyle w:val="Normal6"/>
              <w:rPr>
                <w:szCs w:val="24"/>
              </w:rPr>
            </w:pPr>
            <w:r>
              <w:t>1.</w:t>
            </w:r>
            <w:r>
              <w:tab/>
              <w:t xml:space="preserve">Ir izveidota ES Talantu fonda IT platforma, lai atvieglotu trešo valstu darba meklētāju </w:t>
            </w:r>
            <w:r>
              <w:t xml:space="preserve">pieņemšanu darbā. </w:t>
            </w:r>
            <w:r>
              <w:rPr>
                <w:b/>
                <w:i/>
              </w:rPr>
              <w:t>Informāciju platformā sniedz visās Savienības iestāžu oficiālajās valodās, un tā atbilst attiecīgajiem piekļūstamības standartiem, kas noteikti Direktīvā (ES) 2016/2102, un attiecīgajām pakalpojumu piekļūstamības prasībām, kas noteiktas D</w:t>
            </w:r>
            <w:r>
              <w:rPr>
                <w:b/>
                <w:i/>
              </w:rPr>
              <w:t>irektīvas (ES) 2019/882 I pielikumā.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41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5. pants – 2. punkts – a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(a)</w:t>
            </w:r>
            <w:r>
              <w:tab/>
            </w:r>
            <w:r>
              <w:rPr>
                <w:b/>
                <w:i/>
              </w:rPr>
              <w:t>vienots</w:t>
            </w:r>
            <w:r>
              <w:t xml:space="preserve"> koordinēts kanāls, kas </w:t>
            </w:r>
            <w:r>
              <w:rPr>
                <w:b/>
                <w:i/>
              </w:rPr>
              <w:t>ļauj iesaistītajām dalībvalstīm</w:t>
            </w:r>
            <w:r>
              <w:t xml:space="preserve"> pārsūtīt vakances uz ES talantu fonda datubāzi;</w:t>
            </w:r>
          </w:p>
        </w:tc>
        <w:tc>
          <w:tcPr>
            <w:tcW w:w="4876" w:type="dxa"/>
            <w:hideMark/>
          </w:tcPr>
          <w:p w:rsidR="004B69B0" w:rsidRPr="00823585" w:rsidRDefault="006F2F4F" w:rsidP="00F175A1">
            <w:pPr>
              <w:pStyle w:val="Normal6"/>
              <w:rPr>
                <w:szCs w:val="24"/>
              </w:rPr>
            </w:pPr>
            <w:r>
              <w:t>(a)</w:t>
            </w:r>
            <w:r>
              <w:tab/>
            </w:r>
            <w:r>
              <w:rPr>
                <w:b/>
                <w:i/>
              </w:rPr>
              <w:t>vienotais</w:t>
            </w:r>
            <w:r>
              <w:t xml:space="preserve"> koordinēts kanāls, kas </w:t>
            </w:r>
            <w:r>
              <w:rPr>
                <w:b/>
                <w:i/>
              </w:rPr>
              <w:t>dalībvalstīm dod iespēju</w:t>
            </w:r>
            <w:r>
              <w:t xml:space="preserve"> pārsūtīt vakances uz ES Talantu fonda datubāzi;</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w:t>
      </w:r>
      <w:r w:rsidRPr="00823585">
        <w:rPr>
          <w:noProof w:val="0"/>
          <w:lang w:val="en-GB"/>
        </w:rPr>
        <w:t>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42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5. pants – 2. punkts – b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(b)</w:t>
            </w:r>
            <w:r>
              <w:tab/>
              <w:t xml:space="preserve">tehniskā infrastruktūra, kas </w:t>
            </w:r>
            <w:r>
              <w:rPr>
                <w:b/>
                <w:i/>
              </w:rPr>
              <w:t>ļauj</w:t>
            </w:r>
            <w:r>
              <w:t xml:space="preserve"> ES talantu </w:t>
            </w:r>
            <w:r>
              <w:rPr>
                <w:b/>
                <w:i/>
              </w:rPr>
              <w:t>fonta datubāzē</w:t>
            </w:r>
            <w:r>
              <w:t xml:space="preserve"> saņemt vakances no</w:t>
            </w:r>
            <w:r>
              <w:rPr>
                <w:b/>
                <w:i/>
              </w:rPr>
              <w:t xml:space="preserve"> iesaistītajām</w:t>
            </w:r>
            <w:r>
              <w:t xml:space="preserve"> dalībvalstīm;</w:t>
            </w:r>
          </w:p>
        </w:tc>
        <w:tc>
          <w:tcPr>
            <w:tcW w:w="4876" w:type="dxa"/>
            <w:hideMark/>
          </w:tcPr>
          <w:p w:rsidR="004B69B0" w:rsidRPr="00823585" w:rsidRDefault="006F2F4F" w:rsidP="00F175A1">
            <w:pPr>
              <w:pStyle w:val="Normal6"/>
              <w:rPr>
                <w:szCs w:val="24"/>
              </w:rPr>
            </w:pPr>
            <w:r>
              <w:t>(b)</w:t>
            </w:r>
            <w:r>
              <w:tab/>
              <w:t xml:space="preserve">tehniskā infrastruktūra, kas </w:t>
            </w:r>
            <w:r>
              <w:rPr>
                <w:b/>
                <w:i/>
              </w:rPr>
              <w:t>dod iespēju</w:t>
            </w:r>
            <w:r>
              <w:t xml:space="preserve"> ES Talantu </w:t>
            </w:r>
            <w:r>
              <w:rPr>
                <w:b/>
                <w:i/>
              </w:rPr>
              <w:t>fonda datubāzei</w:t>
            </w:r>
            <w:r>
              <w:t xml:space="preserve"> saņemt vakances no dalībvalstīm;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43</w:t>
      </w:r>
      <w:r>
        <w:rPr>
          <w:rStyle w:val="HideTWBExt"/>
          <w:lang w:val="en-GB"/>
        </w:rPr>
        <w:t>&lt;/NumAm&gt;</w:t>
      </w:r>
    </w:p>
    <w:p w:rsidR="004B69B0" w:rsidRPr="00823585" w:rsidRDefault="006F2F4F" w:rsidP="004B69B0">
      <w:pPr>
        <w:pStyle w:val="NormalBold12b"/>
        <w:keepNext/>
      </w:pPr>
      <w:r>
        <w:rPr>
          <w:rStyle w:val="HideTWBExt"/>
        </w:rPr>
        <w:t>&lt;DocAme</w:t>
      </w:r>
      <w:r>
        <w:rPr>
          <w:rStyle w:val="HideTWBExt"/>
        </w:rPr>
        <w:t>nd&gt;</w:t>
      </w:r>
      <w:r>
        <w:t>Regulas priekšlikums</w:t>
      </w:r>
      <w:r>
        <w:rPr>
          <w:rStyle w:val="HideTWBExt"/>
        </w:rPr>
        <w:t>&lt;/DocAmend&gt;</w:t>
      </w:r>
    </w:p>
    <w:p w:rsidR="004B69B0" w:rsidRPr="00823585" w:rsidRDefault="006F2F4F" w:rsidP="004B69B0">
      <w:pPr>
        <w:pStyle w:val="NormalBold"/>
      </w:pPr>
      <w:r>
        <w:rPr>
          <w:rStyle w:val="HideTWBExt"/>
        </w:rPr>
        <w:t>&lt;Article&gt;</w:t>
      </w:r>
      <w:r>
        <w:t>5. pants – 2. punkts – f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(f)</w:t>
            </w:r>
            <w:r>
              <w:tab/>
            </w:r>
            <w:r>
              <w:rPr>
                <w:b/>
                <w:i/>
              </w:rPr>
              <w:t>drošs</w:t>
            </w:r>
            <w:r>
              <w:t xml:space="preserve"> saziņas kanāls, </w:t>
            </w:r>
            <w:r>
              <w:rPr>
                <w:b/>
                <w:i/>
              </w:rPr>
              <w:t>lai</w:t>
            </w:r>
            <w:r>
              <w:t xml:space="preserve"> reģistrētie darba meklētāji un ES talantu fondā iesaistītie darba devēji </w:t>
            </w:r>
            <w:r>
              <w:rPr>
                <w:b/>
                <w:i/>
              </w:rPr>
              <w:t>varētu</w:t>
            </w:r>
            <w:r>
              <w:t xml:space="preserve"> sazināties ES talantu fonda IT platformā</w:t>
            </w:r>
            <w:r>
              <w:rPr>
                <w:b/>
                <w:i/>
              </w:rPr>
              <w:t>.</w:t>
            </w:r>
          </w:p>
        </w:tc>
        <w:tc>
          <w:tcPr>
            <w:tcW w:w="4876" w:type="dxa"/>
            <w:hideMark/>
          </w:tcPr>
          <w:p w:rsidR="004B69B0" w:rsidRPr="00823585" w:rsidRDefault="006F2F4F" w:rsidP="00F175A1">
            <w:pPr>
              <w:pStyle w:val="Normal6"/>
              <w:rPr>
                <w:szCs w:val="24"/>
              </w:rPr>
            </w:pPr>
            <w:r>
              <w:t>(f)</w:t>
            </w:r>
            <w:r>
              <w:tab/>
            </w:r>
            <w:r>
              <w:rPr>
                <w:b/>
                <w:i/>
              </w:rPr>
              <w:t>drošais</w:t>
            </w:r>
            <w:r>
              <w:t xml:space="preserve"> saziņas kanāls, </w:t>
            </w:r>
            <w:r>
              <w:rPr>
                <w:b/>
                <w:i/>
              </w:rPr>
              <w:t>ko izmantojot</w:t>
            </w:r>
            <w:r>
              <w:t xml:space="preserve"> reģistrētie darba meklētāji un ES Talantu fondā iesaistītie darba devēji </w:t>
            </w:r>
            <w:r>
              <w:rPr>
                <w:b/>
                <w:i/>
              </w:rPr>
              <w:t>var</w:t>
            </w:r>
            <w:r>
              <w:t xml:space="preserve"> sazināties ES Talantu fonda IT platformā</w:t>
            </w:r>
            <w:r>
              <w:rPr>
                <w:b/>
                <w:i/>
              </w:rPr>
              <w:t xml:space="preserve"> un kas dod iespēju veikt prasmju pārbaudes un intervi</w:t>
            </w:r>
            <w:r>
              <w:rPr>
                <w:b/>
                <w:i/>
              </w:rPr>
              <w:t>jas tieši ES Talantu fonda IT platformā;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44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5. pants – 2.a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2.a</w:t>
            </w:r>
            <w:r>
              <w:rPr>
                <w:b/>
                <w:i/>
              </w:rPr>
              <w:tab/>
              <w:t>ES Talantu fonda IT platforma satur publisku informāciju par ES Talantu fonda darbību un informāciju par:</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rPr>
                <w:b/>
                <w:i/>
              </w:rPr>
            </w:pPr>
            <w:r>
              <w:rPr>
                <w:b/>
                <w:i/>
              </w:rPr>
              <w:t>(i)</w:t>
            </w:r>
            <w:r>
              <w:rPr>
                <w:b/>
                <w:i/>
              </w:rPr>
              <w:tab/>
              <w:t xml:space="preserve"> dalībvalstu darbā pieņemšanas procedūrām, prasmju atzīšanas procedūrām un skrīninga procedūrām,</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rPr>
                <w:b/>
                <w:i/>
              </w:rPr>
            </w:pPr>
            <w:r>
              <w:rPr>
                <w:b/>
                <w:i/>
              </w:rPr>
              <w:t>(ii)</w:t>
            </w:r>
            <w:r>
              <w:rPr>
                <w:b/>
                <w:i/>
              </w:rPr>
              <w:tab/>
              <w:t>imigrācijas procedūrām,</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rPr>
                <w:b/>
                <w:i/>
              </w:rPr>
            </w:pPr>
            <w:r>
              <w:rPr>
                <w:b/>
                <w:i/>
              </w:rPr>
              <w:t>(iii)</w:t>
            </w:r>
            <w:r>
              <w:rPr>
                <w:b/>
                <w:i/>
              </w:rPr>
              <w:tab/>
            </w:r>
            <w:r>
              <w:rPr>
                <w:b/>
                <w:i/>
              </w:rPr>
              <w:t>trešo valstu valstspiederīgo tiesībām,</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rPr>
                <w:b/>
                <w:i/>
              </w:rPr>
            </w:pPr>
            <w:r>
              <w:rPr>
                <w:b/>
                <w:i/>
              </w:rPr>
              <w:t>(iv)</w:t>
            </w:r>
            <w:r>
              <w:rPr>
                <w:b/>
                <w:i/>
              </w:rPr>
              <w:tab/>
              <w:t>tiesiskās aizsardzības mehānismiem un</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rPr>
                <w:b/>
                <w:i/>
              </w:rPr>
            </w:pPr>
            <w:r>
              <w:rPr>
                <w:b/>
                <w:i/>
              </w:rPr>
              <w:t>(v)</w:t>
            </w:r>
            <w:r>
              <w:rPr>
                <w:b/>
                <w:i/>
              </w:rPr>
              <w:tab/>
              <w:t>dzīves un darba apstākļiem dalībvalstīs.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45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5. pants – 4.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4.</w:t>
            </w:r>
            <w:r>
              <w:tab/>
            </w:r>
            <w:r>
              <w:rPr>
                <w:b/>
                <w:i/>
              </w:rPr>
              <w:t>Iesaistītās</w:t>
            </w:r>
            <w:r>
              <w:t xml:space="preserve"> dalībvalstis un 8. pantā minētais ES talantu fonda sekretariāts nodrošina tehnisko sadarbspēju starp valstu sistēmām un ES talantu fonda IT platformu. ES tala</w:t>
            </w:r>
            <w:r>
              <w:t>ntu fonda sekretariāts nepieciešamības gadījumā nodrošina saskarni ar citiem attiecīgajiem instrumentiem un Savienības līmenī piedāvātajiem pakalpojumiem.</w:t>
            </w:r>
          </w:p>
        </w:tc>
        <w:tc>
          <w:tcPr>
            <w:tcW w:w="4876" w:type="dxa"/>
            <w:hideMark/>
          </w:tcPr>
          <w:p w:rsidR="004B69B0" w:rsidRPr="00823585" w:rsidRDefault="006F2F4F" w:rsidP="00F175A1">
            <w:pPr>
              <w:pStyle w:val="Normal6"/>
              <w:rPr>
                <w:szCs w:val="24"/>
              </w:rPr>
            </w:pPr>
            <w:r>
              <w:t>4.</w:t>
            </w:r>
            <w:r>
              <w:tab/>
              <w:t>Dalībvalstis un 8. pantā minētais ES Talantu fonda sekretariāts nodrošina tehnisko sadarbspēju sta</w:t>
            </w:r>
            <w:r>
              <w:t>rp valstu sistēmām un ES Talantu fonda IT platformu. ES Talantu fonda sekretariāts nepieciešamības gadījumā nodrošina saskarni ar citiem attiecīgajiem instrumentiem un Savienības līmenī piedāvātajiem pakalpojumiem.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46</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6. pants – 3. punkts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w:t>
            </w:r>
            <w:r>
              <w:tab/>
              <w:t xml:space="preserve">Reģistrēto darba meklētāju no trešām valstīm profilos iekļauj vārdu, uzvārdu, </w:t>
            </w:r>
            <w:r>
              <w:t xml:space="preserve">kontaktinformāciju, dzimšanas datumu un pilsonību, informāciju par akadēmisko un profesionālo kvalifikāciju, darba pieredzi, citām prasmēm un valodu zināšanām. </w:t>
            </w:r>
            <w:r>
              <w:rPr>
                <w:b/>
                <w:i/>
              </w:rPr>
              <w:t>ES talantu fondā iesaistīto darba devēju vakancēs norāda vārdu, uzvārdu un kontaktinformāciju.</w:t>
            </w:r>
          </w:p>
        </w:tc>
        <w:tc>
          <w:tcPr>
            <w:tcW w:w="4876" w:type="dxa"/>
            <w:hideMark/>
          </w:tcPr>
          <w:p w:rsidR="004B69B0" w:rsidRPr="00823585" w:rsidRDefault="006F2F4F" w:rsidP="00F175A1">
            <w:pPr>
              <w:pStyle w:val="Normal6"/>
              <w:rPr>
                <w:szCs w:val="24"/>
              </w:rPr>
            </w:pPr>
            <w:r>
              <w:t>3.</w:t>
            </w:r>
            <w:r>
              <w:tab/>
              <w:t xml:space="preserve">Reģistrēto darba meklētāju no trešām valstīm profilos iekļauj vārdu, uzvārdu, kontaktinformāciju, dzimšanas datumu un pilsonību, informāciju par akadēmisko un profesionālo kvalifikāciju, darba pieredzi, citām prasmēm un valodu zināšanām. </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pPr>
            <w:r>
              <w:rPr>
                <w:b/>
                <w:i/>
              </w:rPr>
              <w:t>Platformā re</w:t>
            </w:r>
            <w:r>
              <w:rPr>
                <w:b/>
                <w:i/>
              </w:rPr>
              <w:t>ģistrēto ES Talantu fondā iesaistīto darba devēju profili ietver nosaukumu un fiziskas personas gadījumā vārdu un uzvārdu, kontaktinformāciju, uzņēmuma reģistrācijas numuru, darbības nozari un īsu aprakstu par darba devēja darbībām.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w:t>
      </w:r>
      <w:r w:rsidRPr="00823585">
        <w:rPr>
          <w:rStyle w:val="HideTWBExt"/>
          <w:noProof w:val="0"/>
          <w:lang w:val="en-GB"/>
        </w:rPr>
        <w: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47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6. pants – 6.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6.</w:t>
            </w:r>
            <w:r>
              <w:tab/>
              <w:t xml:space="preserve">Reģistrēto trešo valstu darba meklētāju profili, kuriem nav piekļūts </w:t>
            </w:r>
            <w:r>
              <w:rPr>
                <w:b/>
                <w:i/>
              </w:rPr>
              <w:t>divus gadus</w:t>
            </w:r>
            <w:r>
              <w:t xml:space="preserve"> pēc profilu reģistrācijas, tiek dzēsti vai anonimizēti, un personas dati netiek uzglabāti. Tiklīdz profili ir izņemti, </w:t>
            </w:r>
            <w:r>
              <w:rPr>
                <w:b/>
                <w:i/>
              </w:rPr>
              <w:t>tiks</w:t>
            </w:r>
            <w:r>
              <w:t xml:space="preserve"> turpināta ierobežotas anonimizētu datu kopas glabāšana pētniecības un statistikas nolūkiem, kā arī datu izgūšanai, lai uzlabotu ES talantu fonda darbību.</w:t>
            </w:r>
          </w:p>
        </w:tc>
        <w:tc>
          <w:tcPr>
            <w:tcW w:w="4876" w:type="dxa"/>
            <w:hideMark/>
          </w:tcPr>
          <w:p w:rsidR="004B69B0" w:rsidRPr="00823585" w:rsidRDefault="006F2F4F" w:rsidP="00F175A1">
            <w:pPr>
              <w:pStyle w:val="Normal6"/>
              <w:rPr>
                <w:szCs w:val="24"/>
              </w:rPr>
            </w:pPr>
            <w:r>
              <w:t>6.</w:t>
            </w:r>
            <w:r>
              <w:tab/>
              <w:t xml:space="preserve">Reģistrēto trešo valstu darba meklētāju profili, kuriem nav piekļūts </w:t>
            </w:r>
            <w:r>
              <w:rPr>
                <w:b/>
                <w:i/>
              </w:rPr>
              <w:t>vienu gadu</w:t>
            </w:r>
            <w:r>
              <w:t xml:space="preserve"> pēc profilu reģist</w:t>
            </w:r>
            <w:r>
              <w:t xml:space="preserve">rācijas, tiek dzēsti vai anonimizēti, un personas dati netiek uzglabāti. Tiklīdz profili ir izņemti, </w:t>
            </w:r>
            <w:r>
              <w:rPr>
                <w:b/>
                <w:i/>
              </w:rPr>
              <w:t>var tikt</w:t>
            </w:r>
            <w:r>
              <w:t xml:space="preserve"> turpināta ierobežotas anonimizētu datu kopas glabāšana pētniecības un statistikas nolūkiem, kā arī datu izgūšanai, lai uzlabotu ES Talantu fonda d</w:t>
            </w:r>
            <w:r>
              <w:t>arbību.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48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6. pants – 8.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8.</w:t>
            </w:r>
            <w:r>
              <w:tab/>
              <w:t xml:space="preserve">Reģistrēto trešo valstu darba </w:t>
            </w:r>
            <w:r>
              <w:t>meklētāju dati ir pieejami tikai ES talantu fondā iesaistītajiem darba devējiem un ES talantu fonda valstu kontaktpunktiem. ES talantu fondā iesaistīto darba devēju dati ir pieejami reģistrētiem darba meklētājiem no trešām valstīm un ES talantu fonda valst</w:t>
            </w:r>
            <w:r>
              <w:t>u kontaktpunktiem.</w:t>
            </w:r>
          </w:p>
        </w:tc>
        <w:tc>
          <w:tcPr>
            <w:tcW w:w="4876" w:type="dxa"/>
            <w:hideMark/>
          </w:tcPr>
          <w:p w:rsidR="004B69B0" w:rsidRPr="00823585" w:rsidRDefault="006F2F4F" w:rsidP="00F175A1">
            <w:pPr>
              <w:pStyle w:val="Normal6"/>
              <w:rPr>
                <w:szCs w:val="24"/>
              </w:rPr>
            </w:pPr>
            <w:r>
              <w:t>8.</w:t>
            </w:r>
            <w:r>
              <w:tab/>
              <w:t>Reģistrēto trešo valstu darba meklētāju dati ir pieejami tikai ES Talantu fondā iesaistītajiem darba devējiem un ES Talantu fonda valstu kontaktpunktiem. ES Talantu fondā iesaistīto darba devēju dati ir pieejami reģistrētiem darba mek</w:t>
            </w:r>
            <w:r>
              <w:t xml:space="preserve">lētājiem no trešām valstīm un ES Talantu fonda valstu kontaktpunktiem. </w:t>
            </w:r>
            <w:r>
              <w:rPr>
                <w:b/>
                <w:i/>
              </w:rPr>
              <w:t>Ir aizliegts meklēšanas un piemeklēšanas vajadzībām apstrādāt īpašu kategoriju personas datus, kas minēti Regulas (ES) 2016/679 9. pantā un Regulas (ES) 2018/1725 10. pantā.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w:t>
      </w:r>
      <w:r w:rsidRPr="00823585">
        <w:rPr>
          <w:rStyle w:val="HideTWBExt"/>
          <w:noProof w:val="0"/>
          <w:lang w:val="en-GB"/>
        </w:rPr>
        <w:t>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49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8. pants – 2. punkts – a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(a)</w:t>
            </w:r>
            <w:r>
              <w:tab/>
              <w:t xml:space="preserve">nodrošināt ES talantu fonda vispārējo </w:t>
            </w:r>
            <w:r>
              <w:t>pārvaldību, ieskaitot ES talantu fonda darbību plānošanu un koordinēšanu;</w:t>
            </w:r>
          </w:p>
        </w:tc>
        <w:tc>
          <w:tcPr>
            <w:tcW w:w="4876" w:type="dxa"/>
            <w:hideMark/>
          </w:tcPr>
          <w:p w:rsidR="004B69B0" w:rsidRPr="00823585" w:rsidRDefault="006F2F4F" w:rsidP="00F175A1">
            <w:pPr>
              <w:pStyle w:val="Normal6"/>
              <w:rPr>
                <w:szCs w:val="24"/>
              </w:rPr>
            </w:pPr>
            <w:r>
              <w:t>(a)</w:t>
            </w:r>
            <w:r>
              <w:tab/>
              <w:t>nodrošināt ES Talantu fonda vispārējo pārvaldību, ieskaitot ES Talantu fonda darbību</w:t>
            </w:r>
            <w:r>
              <w:rPr>
                <w:b/>
                <w:i/>
              </w:rPr>
              <w:t>, piemēram, informētības veicināšanas kampaņu,</w:t>
            </w:r>
            <w:r>
              <w:t xml:space="preserve"> plānošanu un koordinēšanu;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w:t>
      </w:r>
      <w:r w:rsidRPr="00823585">
        <w:rPr>
          <w:noProof w:val="0"/>
          <w:lang w:val="en-GB"/>
        </w:rPr>
        <w:t>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8. pants – 2. punkts – c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(c)</w:t>
            </w:r>
            <w:r>
              <w:tab/>
            </w:r>
            <w:r>
              <w:t xml:space="preserve">publicēt attiecīgo informāciju ES talantu fonda IT platformā saskaņā ar </w:t>
            </w:r>
            <w:r>
              <w:rPr>
                <w:b/>
                <w:i/>
              </w:rPr>
              <w:t xml:space="preserve">3. panta 3. punktu, </w:t>
            </w:r>
            <w:r>
              <w:t xml:space="preserve">10. panta 2. punkta f) apakšpunktu, 12. panta 5., 6. un 7. punktu, 14. panta 2. punktu un </w:t>
            </w:r>
            <w:r>
              <w:rPr>
                <w:b/>
                <w:i/>
              </w:rPr>
              <w:t>15</w:t>
            </w:r>
            <w:r>
              <w:t xml:space="preserve">. panta </w:t>
            </w:r>
            <w:r>
              <w:rPr>
                <w:b/>
                <w:i/>
              </w:rPr>
              <w:t>2</w:t>
            </w:r>
            <w:r>
              <w:t>. punktu;</w:t>
            </w:r>
          </w:p>
        </w:tc>
        <w:tc>
          <w:tcPr>
            <w:tcW w:w="4876" w:type="dxa"/>
            <w:hideMark/>
          </w:tcPr>
          <w:p w:rsidR="004B69B0" w:rsidRPr="00823585" w:rsidRDefault="006F2F4F" w:rsidP="00F175A1">
            <w:pPr>
              <w:pStyle w:val="Normal6"/>
              <w:rPr>
                <w:szCs w:val="24"/>
              </w:rPr>
            </w:pPr>
            <w:r>
              <w:t>(c)</w:t>
            </w:r>
            <w:r>
              <w:tab/>
              <w:t>publicēt attiecīgo informāciju ES Talantu fonda I</w:t>
            </w:r>
            <w:r>
              <w:t>T platformā saskaņā ar 10. panta 2. punkta f) apakšpunktu, 12. panta 5., 6. un 7. punktu, 14. panta 2. punktu</w:t>
            </w:r>
            <w:r>
              <w:rPr>
                <w:b/>
                <w:i/>
              </w:rPr>
              <w:t>, 15. panta 2. punktu</w:t>
            </w:r>
            <w:r>
              <w:t xml:space="preserve"> un </w:t>
            </w:r>
            <w:r>
              <w:rPr>
                <w:b/>
                <w:i/>
              </w:rPr>
              <w:t>17</w:t>
            </w:r>
            <w:r>
              <w:t xml:space="preserve">. panta </w:t>
            </w:r>
            <w:r>
              <w:rPr>
                <w:b/>
                <w:i/>
              </w:rPr>
              <w:t>1</w:t>
            </w:r>
            <w:r>
              <w:t>. punktu</w:t>
            </w:r>
            <w:r>
              <w:rPr>
                <w:b/>
                <w:i/>
              </w:rPr>
              <w:t>, kā arī nodrošināt 11. panta 4.a punktā minēto tiešsaistes informācijas sesiju reģistrētiem darba mekl</w:t>
            </w:r>
            <w:r>
              <w:rPr>
                <w:b/>
                <w:i/>
              </w:rPr>
              <w:t>ētājiem no trešām valstīm</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8. pants – 2. punkts – d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(d)</w:t>
            </w:r>
            <w:r>
              <w:tab/>
            </w:r>
            <w:r>
              <w:t>sagatavoties ES talantu fonda vadības grupas sanāksmēm;</w:t>
            </w:r>
          </w:p>
        </w:tc>
        <w:tc>
          <w:tcPr>
            <w:tcW w:w="4876" w:type="dxa"/>
            <w:hideMark/>
          </w:tcPr>
          <w:p w:rsidR="004B69B0" w:rsidRPr="00823585" w:rsidRDefault="006F2F4F" w:rsidP="00F175A1">
            <w:pPr>
              <w:pStyle w:val="Normal6"/>
              <w:rPr>
                <w:szCs w:val="24"/>
              </w:rPr>
            </w:pPr>
            <w:r>
              <w:t>(d)</w:t>
            </w:r>
            <w:r>
              <w:tab/>
              <w:t>sagatavoties ES Talantu fonda vadības grupas sanāksmēm</w:t>
            </w:r>
            <w:r>
              <w:rPr>
                <w:b/>
                <w:i/>
              </w:rPr>
              <w:t xml:space="preserve"> un sadarbībā ar Savienības delegācijām un diplomātiskajiem dienestiem trešās valstīs organizēt informācijas apmaiņu ar attiecīgajām trešo val</w:t>
            </w:r>
            <w:r>
              <w:rPr>
                <w:b/>
                <w:i/>
              </w:rPr>
              <w:t>stu iestādēm</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lastRenderedPageBreak/>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8. pants – 2. punkts – f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(f)</w:t>
            </w:r>
            <w:r>
              <w:tab/>
              <w:t xml:space="preserve">regulāri </w:t>
            </w:r>
            <w:r>
              <w:t>sasaucot 10. pantā minētās ES talantu fonda valstu kontaktpunktu tīkla sanāksmes, lai apmainītos ar informāciju un paraugpraksi par šīs regulas tehnisko īstenošanu valstu līmenī.</w:t>
            </w:r>
          </w:p>
        </w:tc>
        <w:tc>
          <w:tcPr>
            <w:tcW w:w="4876" w:type="dxa"/>
            <w:hideMark/>
          </w:tcPr>
          <w:p w:rsidR="004B69B0" w:rsidRPr="00823585" w:rsidRDefault="006F2F4F" w:rsidP="00F175A1">
            <w:pPr>
              <w:pStyle w:val="Normal6"/>
              <w:rPr>
                <w:szCs w:val="24"/>
              </w:rPr>
            </w:pPr>
            <w:r>
              <w:t>(f)</w:t>
            </w:r>
            <w:r>
              <w:tab/>
              <w:t>regulāri sasaucot 10. pantā minētās ES Talantu fonda valstu kontaktpunktu</w:t>
            </w:r>
            <w:r>
              <w:t xml:space="preserve"> tīkla sanāksmes, lai apmainītos ar informāciju un paraugpraksi par šīs regulas tehnisko īstenošanu valstu līmenī</w:t>
            </w:r>
            <w:r>
              <w:rPr>
                <w:b/>
                <w:i/>
              </w:rPr>
              <w:t>, kā arī šīs sanāksmes sinhronizējot ar paralēli notiekošo darbu pie atzīšanas procedūrām, kā izklāstīts Komisijas 2023</w:t>
            </w:r>
            <w:r>
              <w:t>.</w:t>
            </w:r>
            <w:r>
              <w:rPr>
                <w:b/>
                <w:i/>
              </w:rPr>
              <w:t> gada 15. novembra Iete</w:t>
            </w:r>
            <w:r>
              <w:rPr>
                <w:b/>
                <w:i/>
              </w:rPr>
              <w:t>ikumā par trešo valstu piederīgo kvalifikācijas atzīšanu;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53</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8. pants – 2. punkts – fa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(fa)</w:t>
            </w:r>
            <w:r>
              <w:rPr>
                <w:b/>
                <w:i/>
              </w:rPr>
              <w:tab/>
              <w:t>koordinējot no ES Talantu fonda valstu kontaktpunktiem saņemto informāciju par to, kā darba devēji ievēro SDO Vispārīgos taisnīgas darbā pieņemšanas principus un darbības vadlīnijas.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9. pants – 1. punkts – da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(da)</w:t>
            </w:r>
            <w:r>
              <w:rPr>
                <w:b/>
                <w:i/>
              </w:rPr>
              <w:tab/>
              <w:t xml:space="preserve">apmainīties viedokļiem ar 4.a punktā </w:t>
            </w:r>
            <w:r>
              <w:rPr>
                <w:b/>
                <w:i/>
              </w:rPr>
              <w:t>minētajiem ekspertiem;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9. pants – 1. punkts – db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(db)</w:t>
            </w:r>
            <w:r>
              <w:rPr>
                <w:b/>
                <w:i/>
              </w:rPr>
              <w:tab/>
              <w:t>sadarboties ar iestādēm un ieinteresētajām personām trešās valstīs, lai atbalstītu talantu partnerību īstenošanu un izstrādātu pasākumus intelektuālā darbaspēka emigrācijas novēršanai, kā arī sagatavot darba tirgus prognozes.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w:t>
      </w:r>
      <w:r w:rsidRPr="00823585">
        <w:rPr>
          <w:rStyle w:val="HideTWBExt"/>
          <w:noProof w:val="0"/>
          <w:lang w:val="en-GB"/>
        </w:rPr>
        <w:t>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56</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9. pants – 2.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r>
            <w:r>
              <w:rPr>
                <w:b/>
                <w:i/>
              </w:rPr>
              <w:t xml:space="preserve">Tikai iesaistītās dalībvalstis ir ES talantu fonda vadības grupas </w:t>
            </w:r>
            <w:r>
              <w:rPr>
                <w:b/>
                <w:i/>
              </w:rPr>
              <w:t>dalībnieces. ES talantu fondā neiesaistītās dalībvalstis var piedalīties ES talantu fonda vadības grupas sanāksmēs kā novērotājas</w:t>
            </w:r>
            <w:r>
              <w:t>.</w:t>
            </w:r>
          </w:p>
        </w:tc>
        <w:tc>
          <w:tcPr>
            <w:tcW w:w="4876" w:type="dxa"/>
            <w:hideMark/>
          </w:tcPr>
          <w:p w:rsidR="004B69B0" w:rsidRPr="00823585" w:rsidRDefault="006F2F4F" w:rsidP="00F175A1">
            <w:pPr>
              <w:pStyle w:val="Normal6"/>
              <w:rPr>
                <w:szCs w:val="24"/>
              </w:rPr>
            </w:pPr>
            <w:r>
              <w:t>2.</w:t>
            </w:r>
            <w:r>
              <w:tab/>
              <w:t xml:space="preserve">ES Talantu fonda vadības </w:t>
            </w:r>
            <w:r>
              <w:rPr>
                <w:b/>
                <w:i/>
              </w:rPr>
              <w:t>grupu veido dalībvalstu nodarbinātības un imigrācijas iestāžu pārstāvji</w:t>
            </w:r>
            <w:r>
              <w:t xml:space="preserve">. </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w:t>
      </w:r>
      <w:r w:rsidRPr="00823585">
        <w:rPr>
          <w:rStyle w:val="HideTWBExt"/>
          <w:noProof w:val="0"/>
          <w:lang w:val="en-GB"/>
        </w:rPr>
        <w: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57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9. pants – 4.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4.</w:t>
            </w:r>
            <w:r>
              <w:tab/>
              <w:t>Starpnozaru sociālo partneru organizāciju pārstāvjiem</w:t>
            </w:r>
            <w:r>
              <w:rPr>
                <w:b/>
                <w:i/>
              </w:rPr>
              <w:t xml:space="preserve"> Savienības līmenī ir tiesības kā novērotājiem piedalīties</w:t>
            </w:r>
            <w:r>
              <w:t xml:space="preserve"> ES talantu </w:t>
            </w:r>
            <w:r>
              <w:rPr>
                <w:b/>
                <w:i/>
              </w:rPr>
              <w:t>fonda vadības grupas sanāksmēs. ES talantu fonda vadības grupa nodrošina, ka tiek iesaistīti divi dalībnieki no arodbiedrības un divi dalībnieki no darba devēju organizācijām</w:t>
            </w:r>
            <w:r>
              <w:t>. Šie pārstā</w:t>
            </w:r>
            <w:r>
              <w:t>vji paraksta rakstveida paziņojumu, kurā apliecina, ka nav interešu konflikta situācijā.</w:t>
            </w:r>
          </w:p>
        </w:tc>
        <w:tc>
          <w:tcPr>
            <w:tcW w:w="4876" w:type="dxa"/>
            <w:hideMark/>
          </w:tcPr>
          <w:p w:rsidR="004B69B0" w:rsidRPr="00823585" w:rsidRDefault="006F2F4F" w:rsidP="00F175A1">
            <w:pPr>
              <w:pStyle w:val="Normal6"/>
              <w:rPr>
                <w:szCs w:val="24"/>
              </w:rPr>
            </w:pPr>
            <w:r>
              <w:t>4.</w:t>
            </w:r>
            <w:r>
              <w:tab/>
            </w:r>
            <w:r>
              <w:rPr>
                <w:b/>
                <w:i/>
              </w:rPr>
              <w:t>Savienības līmeņa</w:t>
            </w:r>
            <w:r>
              <w:t xml:space="preserve"> starpnozaru sociālo partneru organizāciju pārstāvjiem</w:t>
            </w:r>
            <w:r>
              <w:rPr>
                <w:b/>
                <w:i/>
              </w:rPr>
              <w:t>,</w:t>
            </w:r>
            <w:r>
              <w:t xml:space="preserve"> ES Talantu </w:t>
            </w:r>
            <w:r>
              <w:rPr>
                <w:b/>
                <w:i/>
              </w:rPr>
              <w:t>fondā iesaistīto darba devēju pārstāvjiem un arodbiedrību pārstāvjiem ir tiesība</w:t>
            </w:r>
            <w:r>
              <w:rPr>
                <w:b/>
                <w:i/>
              </w:rPr>
              <w:t>s iecelt trīs pārstāvjus dalībai ES Talantu fonda vadības grupas darbā</w:t>
            </w:r>
            <w:r>
              <w:t>. Šie pārstāvji paraksta rakstveida paziņojumu, kurā apliecina, ka nav interešu konflikta situācijā.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9. pants – 4.a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4.a</w:t>
            </w:r>
            <w:r>
              <w:rPr>
                <w:b/>
                <w:i/>
              </w:rPr>
              <w:tab/>
              <w:t xml:space="preserve">Uz vadības grupas sanāksmēm var uzaicināt un tajās uzklausīt arī ekspertus no Savienības struktūrām, birojiem un </w:t>
            </w:r>
            <w:r>
              <w:rPr>
                <w:b/>
                <w:i/>
              </w:rPr>
              <w:t>aģentūrām un starptautiskām organizācijām.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59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10.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r>
            <w:r>
              <w:rPr>
                <w:b/>
                <w:i/>
              </w:rPr>
              <w:t>Ikviena iesaistītā</w:t>
            </w:r>
            <w:r>
              <w:t xml:space="preserve"> dalībvalsts izraugās ES talantu fonda valsts </w:t>
            </w:r>
            <w:r>
              <w:lastRenderedPageBreak/>
              <w:t xml:space="preserve">kontaktpunktu. </w:t>
            </w:r>
            <w:r>
              <w:rPr>
                <w:b/>
                <w:i/>
              </w:rPr>
              <w:t>Iesaistītās</w:t>
            </w:r>
            <w:r>
              <w:t xml:space="preserve"> dalībvalstis nodrošina, ka attiecīgas nodarbinātības un imigrācijas jomas iestādes tiek ieceltas par ES talantu fonda valstu kontaktpunktiem.</w:t>
            </w:r>
          </w:p>
        </w:tc>
        <w:tc>
          <w:tcPr>
            <w:tcW w:w="4876" w:type="dxa"/>
            <w:hideMark/>
          </w:tcPr>
          <w:p w:rsidR="004B69B0" w:rsidRPr="00823585" w:rsidRDefault="006F2F4F" w:rsidP="00F175A1">
            <w:pPr>
              <w:pStyle w:val="Normal6"/>
              <w:rPr>
                <w:szCs w:val="24"/>
              </w:rPr>
            </w:pPr>
            <w:r>
              <w:lastRenderedPageBreak/>
              <w:t>1.</w:t>
            </w:r>
            <w:r>
              <w:tab/>
            </w:r>
            <w:r>
              <w:rPr>
                <w:b/>
                <w:i/>
              </w:rPr>
              <w:t>Katra</w:t>
            </w:r>
            <w:r>
              <w:t xml:space="preserve"> dalībvalsts iz</w:t>
            </w:r>
            <w:r>
              <w:t xml:space="preserve">raugās ES Talantu fonda valsts kontaktpunktu. </w:t>
            </w:r>
            <w:r>
              <w:lastRenderedPageBreak/>
              <w:t>Dalībvalstis nodrošina, ka attiecīgas nodarbinātības un imigrācijas jomas iestādes tiek ieceltas par ES Talantu fonda valstu kontaktpunktiem</w:t>
            </w:r>
            <w:r>
              <w:rPr>
                <w:b/>
                <w:i/>
              </w:rPr>
              <w:t>, lai uzlabotu sinerģijas starp šīm iestādēm un nepieļautu valstu pārv</w:t>
            </w:r>
            <w:r>
              <w:rPr>
                <w:b/>
                <w:i/>
              </w:rPr>
              <w:t>aldes iestāžu pārslogošanu</w:t>
            </w:r>
            <w:r>
              <w:t>.</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10. pants – 2. punkts – ba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(ba)</w:t>
            </w:r>
            <w:r>
              <w:rPr>
                <w:b/>
                <w:i/>
              </w:rPr>
              <w:tab/>
              <w:t>konsultēt sociālo partneru organizācijas un vietējās un reģionālās pašvaldības par darba tirgus tendencēm un attīstību;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w:t>
      </w:r>
      <w:r>
        <w:rPr>
          <w:rStyle w:val="HideTWBExt"/>
        </w:rPr>
        <w:t>end&gt;</w:t>
      </w:r>
    </w:p>
    <w:p w:rsidR="004B69B0" w:rsidRPr="00823585" w:rsidRDefault="006F2F4F" w:rsidP="004B69B0">
      <w:pPr>
        <w:pStyle w:val="NormalBold"/>
      </w:pPr>
      <w:r>
        <w:rPr>
          <w:rStyle w:val="HideTWBExt"/>
        </w:rPr>
        <w:t>&lt;Article&gt;</w:t>
      </w:r>
      <w:r>
        <w:t>10. pants – 2. punkts – f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(f)</w:t>
            </w:r>
            <w:r>
              <w:tab/>
              <w:t>sniegt informāciju ES talantu fonda sekretariātam par valsts līmeņa imigrācijas un atzīšanas procedūrām, tai skaitā attiecībā uz Savienības pilsoņu</w:t>
            </w:r>
            <w:r>
              <w:t xml:space="preserve"> priekšrokas principa piemērošanu, un attiecīgus datus ES talantu fonda uzraudzības nolūkā, kā noteikts 20. pantā;</w:t>
            </w:r>
          </w:p>
        </w:tc>
        <w:tc>
          <w:tcPr>
            <w:tcW w:w="4876" w:type="dxa"/>
            <w:hideMark/>
          </w:tcPr>
          <w:p w:rsidR="004B69B0" w:rsidRPr="00823585" w:rsidRDefault="006F2F4F" w:rsidP="00F175A1">
            <w:pPr>
              <w:pStyle w:val="Normal6"/>
              <w:rPr>
                <w:szCs w:val="24"/>
              </w:rPr>
            </w:pPr>
            <w:r>
              <w:t>(f)</w:t>
            </w:r>
            <w:r>
              <w:tab/>
              <w:t xml:space="preserve">sniegt informāciju ES Talantu fonda sekretariātam par valsts līmeņa </w:t>
            </w:r>
            <w:r>
              <w:rPr>
                <w:b/>
                <w:i/>
              </w:rPr>
              <w:t xml:space="preserve">pieņemšanas darbā, </w:t>
            </w:r>
            <w:r>
              <w:t>imigrācijas un atzīšanas procedūrām</w:t>
            </w:r>
            <w:r>
              <w:rPr>
                <w:b/>
                <w:i/>
              </w:rPr>
              <w:t xml:space="preserve"> saskaņā ar 17. panta 1. punktu</w:t>
            </w:r>
            <w:r>
              <w:t>, tai skaitā attiecībā uz Savienības pilsoņu priekšrokas principa piemērošanu, un attiecīgus datus ES Talantu fonda uzraudzības nolūkā, kā noteikts 20. pantā;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w:t>
      </w:r>
      <w:r>
        <w:rPr>
          <w:rStyle w:val="HideTWBExt"/>
          <w:lang w:val="en-GB"/>
        </w:rPr>
        <w:t>umAm&gt;</w:t>
      </w:r>
      <w:r>
        <w:t>62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10. pants – 2. punkts – fa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(fa)</w:t>
            </w:r>
            <w:r>
              <w:rPr>
                <w:b/>
                <w:i/>
              </w:rPr>
              <w:tab/>
              <w:t xml:space="preserve">uzraudzīt, kā darba devēji ievēro SDO Vispārīgos taisnīgas darbā pieņemšanas </w:t>
            </w:r>
            <w:r>
              <w:rPr>
                <w:b/>
                <w:i/>
              </w:rPr>
              <w:t>principus un darbības vadlīnijas, un ziņot ES Talantu fonda sekretariātam par attiecīgajām norisēm valstī;</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63</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 xml:space="preserve">10. pants – 2. </w:t>
      </w:r>
      <w:r>
        <w:t>punkts – g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(g)</w:t>
            </w:r>
            <w:r>
              <w:tab/>
              <w:t>sniegt informāciju un atbalsta pakalpojumus reģistrētiem darba meklētājiem no trešām valstīm un ES talantu fondā iesaistītajiem darba devējiem saskaņā ar 17. </w:t>
            </w:r>
            <w:r>
              <w:rPr>
                <w:b/>
                <w:i/>
              </w:rPr>
              <w:t>pantu</w:t>
            </w:r>
            <w:r>
              <w:t>.</w:t>
            </w:r>
          </w:p>
        </w:tc>
        <w:tc>
          <w:tcPr>
            <w:tcW w:w="4876" w:type="dxa"/>
            <w:hideMark/>
          </w:tcPr>
          <w:p w:rsidR="004B69B0" w:rsidRPr="00823585" w:rsidRDefault="006F2F4F" w:rsidP="00F175A1">
            <w:pPr>
              <w:pStyle w:val="Normal6"/>
              <w:rPr>
                <w:szCs w:val="24"/>
              </w:rPr>
            </w:pPr>
            <w:r>
              <w:t>(g)</w:t>
            </w:r>
            <w:r>
              <w:tab/>
              <w:t xml:space="preserve">sniegt </w:t>
            </w:r>
            <w:r>
              <w:t>informāciju un atbalsta pakalpojumus reģistrētiem darba meklētājiem no trešām valstīm un ES Talantu fondā iesaistītajiem darba devējiem saskaņā ar 17. </w:t>
            </w:r>
            <w:r>
              <w:rPr>
                <w:b/>
                <w:i/>
              </w:rPr>
              <w:t>panta 2. punktu, sadarbojoties ar sociālajiem partneriem, vietējām un reģionālajām pašvaldībām un attiecī</w:t>
            </w:r>
            <w:r>
              <w:rPr>
                <w:b/>
                <w:i/>
              </w:rPr>
              <w:t>gā gadījumā ar organizācijām, kas trešo valstu valstspiederīgajiem piedāvā palīdzību pēc pieņemšanas darbā</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 xml:space="preserve">10. pants – 2. </w:t>
      </w:r>
      <w:r>
        <w:t>punkts – 1.a daļa (jauna)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 xml:space="preserve">Šā panta 2. punkta e) apakšpunktā minēto apturēšanu nekavējoties atceļ, tiklīdz </w:t>
            </w:r>
            <w:r>
              <w:rPr>
                <w:b/>
                <w:i/>
              </w:rPr>
              <w:lastRenderedPageBreak/>
              <w:t xml:space="preserve">attiecīgās valsts iestādes ir paziņojušas ES Talantu fonda valsts kontaktpunktiem, ka attiecīgo </w:t>
            </w:r>
            <w:r>
              <w:rPr>
                <w:b/>
                <w:i/>
              </w:rPr>
              <w:t>tiesību aktu un prakses pārkāpums ir novērsts, vai tiklīdz attiecīgais darba devējs ir pierādījis, ka tas ir novērsts. Ja ir pārkāpta Direktīva 2009/52/EK vai Direktīva (ES) 2024/1712, darba devēja dalību ES Talantu fondā aptur uz nenoteiktu laiku.</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w:t>
      </w:r>
      <w:r w:rsidRPr="00823585">
        <w:rPr>
          <w:rStyle w:val="HideTWBExt"/>
          <w:noProof w:val="0"/>
          <w:lang w:val="en-GB"/>
        </w:rPr>
        <w:t>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10. pants – 3.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w:t>
            </w:r>
            <w:r>
              <w:tab/>
            </w:r>
            <w:r>
              <w:t xml:space="preserve">ES talantu fonda sekretariāts ES talantu fonda valstu kontaktpunktu tīkla ietvaros regulāri sasauc sanāksmi, kurā piedalās ES talantu fonda valstu kontaktpunkti no </w:t>
            </w:r>
            <w:r>
              <w:rPr>
                <w:b/>
                <w:i/>
              </w:rPr>
              <w:t>ikvienas iesaistītās</w:t>
            </w:r>
            <w:r>
              <w:t xml:space="preserve"> dalībvalsts, lai apmainītos ar informāciju un paraugpraksi par šīs regu</w:t>
            </w:r>
            <w:r>
              <w:t>las īstenošanu.</w:t>
            </w:r>
          </w:p>
        </w:tc>
        <w:tc>
          <w:tcPr>
            <w:tcW w:w="4876" w:type="dxa"/>
            <w:hideMark/>
          </w:tcPr>
          <w:p w:rsidR="004B69B0" w:rsidRPr="00823585" w:rsidRDefault="006F2F4F" w:rsidP="00F175A1">
            <w:pPr>
              <w:pStyle w:val="Normal6"/>
              <w:rPr>
                <w:szCs w:val="24"/>
              </w:rPr>
            </w:pPr>
            <w:r>
              <w:t>3.</w:t>
            </w:r>
            <w:r>
              <w:tab/>
              <w:t xml:space="preserve">ES Talantu fonda sekretariāts ES Talantu fonda valstu kontaktpunktu tīkla ietvaros regulāri sasauc sanāksmi, kurā piedalās ES Talantu fonda valstu kontaktpunkti no </w:t>
            </w:r>
            <w:r>
              <w:rPr>
                <w:b/>
                <w:i/>
              </w:rPr>
              <w:t>katras</w:t>
            </w:r>
            <w:r>
              <w:t xml:space="preserve"> dalībvalsts, lai apmainītos ar informāciju un paraugpraksi par šīs</w:t>
            </w:r>
            <w:r>
              <w:t xml:space="preserve"> regulas īstenošanu.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66</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11.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t xml:space="preserve">Darba </w:t>
            </w:r>
            <w:r>
              <w:rPr>
                <w:b/>
                <w:i/>
              </w:rPr>
              <w:t>meklētāji</w:t>
            </w:r>
            <w:r>
              <w:t xml:space="preserve"> no trešām valstīm </w:t>
            </w:r>
            <w:r>
              <w:rPr>
                <w:b/>
                <w:i/>
              </w:rPr>
              <w:t>var</w:t>
            </w:r>
            <w:r>
              <w:t xml:space="preserve"> izveidot savus profilus, izmantojot Europass profilu veidošanas rīku, lai reģistrētos ES talantu fonda IT platformā.</w:t>
            </w:r>
          </w:p>
        </w:tc>
        <w:tc>
          <w:tcPr>
            <w:tcW w:w="4876" w:type="dxa"/>
            <w:hideMark/>
          </w:tcPr>
          <w:p w:rsidR="004B69B0" w:rsidRPr="00823585" w:rsidRDefault="006F2F4F" w:rsidP="00F175A1">
            <w:pPr>
              <w:pStyle w:val="Normal6"/>
              <w:rPr>
                <w:szCs w:val="24"/>
              </w:rPr>
            </w:pPr>
            <w:r>
              <w:t>1.</w:t>
            </w:r>
            <w:r>
              <w:tab/>
              <w:t xml:space="preserve">Darba </w:t>
            </w:r>
            <w:r>
              <w:rPr>
                <w:b/>
                <w:i/>
              </w:rPr>
              <w:t>meklētājiem</w:t>
            </w:r>
            <w:r>
              <w:t xml:space="preserve"> no trešām valstīm </w:t>
            </w:r>
            <w:r>
              <w:rPr>
                <w:b/>
                <w:i/>
              </w:rPr>
              <w:t>ir iespēja</w:t>
            </w:r>
            <w:r>
              <w:t xml:space="preserve"> izveidot savus profilus, izmantojot Europass profilu veidošanas rī</w:t>
            </w:r>
            <w:r>
              <w:t>ku, lai reģistrētos ES Talantu fonda IT platformā.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67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11. pants – 2.a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2.a</w:t>
            </w:r>
            <w:r>
              <w:rPr>
                <w:b/>
                <w:i/>
              </w:rPr>
              <w:tab/>
              <w:t>Tiklīdz saskaņā ar 16. pantu darba devējam ir piemeklēts darba meklētājs, attiecīgā valsts kompetentā iestāde pēc attiecīgā ES Talantu fonda valsts kontaktpunkta pieprasījuma sniedz tam informāciju no Šengenas Informācijas sistēmas, lai pā</w:t>
            </w:r>
            <w:r>
              <w:rPr>
                <w:b/>
                <w:i/>
              </w:rPr>
              <w:t>rbaudītu šā panta 2. punktā minētā darba meklētāja apliecinājuma pareizību.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11. pants – 2.b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2.b</w:t>
            </w:r>
            <w:r>
              <w:rPr>
                <w:b/>
                <w:i/>
              </w:rPr>
              <w:tab/>
              <w:t xml:space="preserve">Ja tiek atklāts, ka uz darba meklētāju no trešās valsts attiecas lēmums vai aizliegums, kas minēts 2. punktā, ES Talantu fonda valsts kontaktpunkts par to paziņo ES Talantu fonda sekretariātam. Savukārt ES </w:t>
            </w:r>
            <w:r>
              <w:rPr>
                <w:b/>
                <w:i/>
              </w:rPr>
              <w:t>Talantu fonda sekretariāts šo darba meklētāja profilu dzēš no ES Talantu fonda IT platformas.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69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 xml:space="preserve">11. pants – 2.c punkts </w:t>
      </w:r>
      <w:r>
        <w:t>(jauns)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2.c</w:t>
            </w:r>
            <w:r>
              <w:rPr>
                <w:b/>
                <w:i/>
              </w:rPr>
              <w:tab/>
              <w:t xml:space="preserve">Ja 2. punktā minētais lēmums vai </w:t>
            </w:r>
            <w:r>
              <w:rPr>
                <w:b/>
                <w:i/>
              </w:rPr>
              <w:lastRenderedPageBreak/>
              <w:t xml:space="preserve">aizliegums uz darba meklētāju no trešās valsts vairs neattiecas, minētais darba meklētājs var izveidot jaunu profilu, lai reģistrētos ES Talantu fonda IT </w:t>
            </w:r>
            <w:r>
              <w:rPr>
                <w:b/>
                <w:i/>
              </w:rPr>
              <w:t>platformā.</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11. pants – 2.d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2.d</w:t>
            </w:r>
            <w:r>
              <w:rPr>
                <w:b/>
                <w:i/>
              </w:rPr>
              <w:tab/>
              <w:t xml:space="preserve">Personas, kas </w:t>
            </w:r>
            <w:r>
              <w:rPr>
                <w:b/>
                <w:i/>
              </w:rPr>
              <w:t>notiesātas par Direktīvā (ES) 2017/541 minētajiem noziedzīgajiem nodarījumiem vai jebkādiem citiem noziedzīgiem nodarījumiem, kas rada vai ietver draudus kādas dalībvalsts valsts drošībai, nevar reģistrēties ES Talantu fonda IT platformā.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11. pants – 4.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4.</w:t>
            </w:r>
            <w:r>
              <w:tab/>
              <w:t xml:space="preserve">Vakances var meklēt darba meklētāji no trešām valstīm, kuri </w:t>
            </w:r>
            <w:r>
              <w:t>ir reģistrēti ES talantu fonda IT platformā.</w:t>
            </w:r>
          </w:p>
        </w:tc>
        <w:tc>
          <w:tcPr>
            <w:tcW w:w="4876" w:type="dxa"/>
            <w:hideMark/>
          </w:tcPr>
          <w:p w:rsidR="004B69B0" w:rsidRPr="00823585" w:rsidRDefault="006F2F4F" w:rsidP="00F175A1">
            <w:pPr>
              <w:pStyle w:val="Normal6"/>
              <w:rPr>
                <w:szCs w:val="24"/>
              </w:rPr>
            </w:pPr>
            <w:r>
              <w:t>4.</w:t>
            </w:r>
            <w:r>
              <w:tab/>
              <w:t>Vakances var meklēt darba meklētāji no trešām valstīm, kuri ir reģistrēti ES Talantu fonda IT platformā.</w:t>
            </w:r>
            <w:r>
              <w:rPr>
                <w:b/>
                <w:i/>
              </w:rPr>
              <w:t xml:space="preserve"> ES Talantu fonda IT platformas automatizētais piemeklēšanas rīks nodrošina lielāku pamanāmību darba mek</w:t>
            </w:r>
            <w:r>
              <w:rPr>
                <w:b/>
                <w:i/>
              </w:rPr>
              <w:t xml:space="preserve">lētājiem no trešām valstīm, kas ES Talantu fondā ir iepriekš atlasīti darba vakancei. </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lastRenderedPageBreak/>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11. pants – 4.a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4.a</w:t>
            </w:r>
            <w:r>
              <w:rPr>
                <w:b/>
                <w:i/>
              </w:rPr>
              <w:tab/>
              <w:t xml:space="preserve">Reģistrējoties ES Talantu fonda IT platformā, darba meklētājiem no trešām valstīm piedāvā iespēju piedalīties informācijas sesijā par viņu darba tiesībām platformas kontekstā un sakarā ar </w:t>
            </w:r>
            <w:r>
              <w:rPr>
                <w:b/>
                <w:i/>
              </w:rPr>
              <w:t>iekārtošanos darbā pie darba devēja kādā dalībvalstī. Minētā sesija ietver informāciju par to, kā iesniegt 18. pantā minēto sūdzību. Šādas informatīvas sesijas ar valstu kontaktpunktu atbalstu organizē ES Talantu fonda sekretariāts.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73</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12.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t xml:space="preserve">Talantu partnerībā </w:t>
            </w:r>
            <w:r>
              <w:rPr>
                <w:b/>
                <w:i/>
              </w:rPr>
              <w:t xml:space="preserve">iesaistītās </w:t>
            </w:r>
            <w:r>
              <w:t xml:space="preserve">dalībvalstis var nolemt paļauties </w:t>
            </w:r>
            <w:r>
              <w:t>uz ES talantu fondu, lai atvieglotu tādu darba meklētāju pieņemšanu darbā no attiecīgās trešās valsts, kuru prasmes ir pilnveidotas vai apstiprinātas attiecīgās talantu partnerības ietvaros un apliecinātas ar “ES talantu partnerības apliecību”.</w:t>
            </w:r>
          </w:p>
        </w:tc>
        <w:tc>
          <w:tcPr>
            <w:tcW w:w="4876" w:type="dxa"/>
            <w:hideMark/>
          </w:tcPr>
          <w:p w:rsidR="004B69B0" w:rsidRPr="00823585" w:rsidRDefault="006F2F4F" w:rsidP="00F175A1">
            <w:pPr>
              <w:pStyle w:val="Normal6"/>
              <w:rPr>
                <w:szCs w:val="24"/>
              </w:rPr>
            </w:pPr>
            <w:r>
              <w:t>1.</w:t>
            </w:r>
            <w:r>
              <w:tab/>
              <w:t xml:space="preserve">Talantu </w:t>
            </w:r>
            <w:r>
              <w:t>partnerībā dalībvalstis var nolemt paļauties uz ES Talantu fondu, lai atvieglotu tādu darba meklētāju pieņemšanu darbā no attiecīgās trešās valsts, kuru prasmes ir pilnveidotas vai apstiprinātas attiecīgās talantu partnerības ietvaros un apliecinātas ar “E</w:t>
            </w:r>
            <w:r>
              <w:t>S talantu partnerības apliecību”.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12. pants – 6.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6.</w:t>
            </w:r>
            <w:r>
              <w:tab/>
            </w:r>
            <w:r>
              <w:rPr>
                <w:b/>
                <w:i/>
              </w:rPr>
              <w:t>Iesaistītās</w:t>
            </w:r>
            <w:r>
              <w:t xml:space="preserve"> dalībvalstis attiecīgās talantu partnerības ietvaros var nolemt ierobežot to reģistrēto trešo valstu darba meklētāju profilu redzamību, kuri ir saņēmuši “ES talantu partnerības apliecību”, ne ilgāk kā uz </w:t>
            </w:r>
            <w:r>
              <w:rPr>
                <w:b/>
                <w:i/>
              </w:rPr>
              <w:t>vienu gadu</w:t>
            </w:r>
            <w:r>
              <w:t>, sniedzot piekļuvi tikai darba devējiem,</w:t>
            </w:r>
            <w:r>
              <w:t xml:space="preserve"> kas reģistrēti vienā vai vairākās dalībvalstīs un ir iesaistījušies tajā pašā talantu partnerībā. ES talantu fonda sekretariāts publicē informāciju par šā punkta piemērošanu ES talantu fonda IT platformā.</w:t>
            </w:r>
          </w:p>
        </w:tc>
        <w:tc>
          <w:tcPr>
            <w:tcW w:w="4876" w:type="dxa"/>
            <w:hideMark/>
          </w:tcPr>
          <w:p w:rsidR="004B69B0" w:rsidRPr="00823585" w:rsidRDefault="006F2F4F" w:rsidP="00F175A1">
            <w:pPr>
              <w:pStyle w:val="Normal6"/>
              <w:rPr>
                <w:szCs w:val="24"/>
              </w:rPr>
            </w:pPr>
            <w:r>
              <w:t>6.</w:t>
            </w:r>
            <w:r>
              <w:tab/>
              <w:t>Dalībvalstis attiecīgās talantu partnerības iet</w:t>
            </w:r>
            <w:r>
              <w:t>varos</w:t>
            </w:r>
            <w:r>
              <w:rPr>
                <w:b/>
                <w:i/>
              </w:rPr>
              <w:t>, kurā tās piedalās,</w:t>
            </w:r>
            <w:r>
              <w:t xml:space="preserve"> var nolemt ierobežot to reģistrēto trešo valstu darba meklētāju profilu redzamību, kuri ir saņēmuši “ES talantu partnerības apliecību”, ne ilgāk kā uz </w:t>
            </w:r>
            <w:r>
              <w:rPr>
                <w:b/>
                <w:i/>
              </w:rPr>
              <w:t>sešiem mēnešiem</w:t>
            </w:r>
            <w:r>
              <w:t>, sniedzot piekļuvi tikai darba devējiem, kas reģistrēti vienā v</w:t>
            </w:r>
            <w:r>
              <w:t>ai vairākās dalībvalstīs un ir iesaistījušies tajā pašā talantu partnerībā. ES Talantu fonda sekretariāts publicē informāciju par šā punkta piemērošanu ES Talantu fonda IT platformā.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12. pants – 7.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7.</w:t>
            </w:r>
            <w:r>
              <w:tab/>
              <w:t xml:space="preserve">Saraksts ar trešām valstīm un dalībvalstīm, kuras </w:t>
            </w:r>
            <w:r>
              <w:rPr>
                <w:b/>
                <w:i/>
              </w:rPr>
              <w:t>ir iesaistītas</w:t>
            </w:r>
            <w:r>
              <w:t xml:space="preserve"> talantu partnerībā, un ar attiecīgajām iekļautajām profesijām tiek publicēts ES talantu fonda IT platformā.</w:t>
            </w:r>
          </w:p>
        </w:tc>
        <w:tc>
          <w:tcPr>
            <w:tcW w:w="4876" w:type="dxa"/>
            <w:hideMark/>
          </w:tcPr>
          <w:p w:rsidR="004B69B0" w:rsidRPr="00823585" w:rsidRDefault="006F2F4F" w:rsidP="00F175A1">
            <w:pPr>
              <w:pStyle w:val="Normal6"/>
              <w:rPr>
                <w:szCs w:val="24"/>
              </w:rPr>
            </w:pPr>
            <w:r>
              <w:t>7.</w:t>
            </w:r>
            <w:r>
              <w:tab/>
              <w:t xml:space="preserve">Saraksts ar trešām valstīm un dalībvalstīm, kuras </w:t>
            </w:r>
            <w:r>
              <w:rPr>
                <w:b/>
                <w:i/>
              </w:rPr>
              <w:t>piedalās</w:t>
            </w:r>
            <w:r>
              <w:t xml:space="preserve"> talantu partnerībā, un ar attiecīgajām iekļautajām profesijām tiek publicēts ES Talan</w:t>
            </w:r>
            <w:r>
              <w:t>tu fonda IT platformā.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76</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virsraksts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 xml:space="preserve">Darba devēju dalība ES </w:t>
            </w:r>
            <w:r>
              <w:t>talantu fondā</w:t>
            </w:r>
          </w:p>
        </w:tc>
        <w:tc>
          <w:tcPr>
            <w:tcW w:w="4876" w:type="dxa"/>
            <w:hideMark/>
          </w:tcPr>
          <w:p w:rsidR="004B69B0" w:rsidRPr="00823585" w:rsidRDefault="006F2F4F" w:rsidP="00F175A1">
            <w:pPr>
              <w:pStyle w:val="Normal6"/>
              <w:rPr>
                <w:szCs w:val="24"/>
              </w:rPr>
            </w:pPr>
            <w:r>
              <w:t xml:space="preserve">Darba devēju </w:t>
            </w:r>
            <w:r>
              <w:rPr>
                <w:b/>
                <w:i/>
              </w:rPr>
              <w:t xml:space="preserve">reģistrācija un </w:t>
            </w:r>
            <w:r>
              <w:t>dalība ES Talantu fondā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lastRenderedPageBreak/>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w:t>
            </w:r>
            <w:r>
              <w:t xml:space="preserve">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rPr>
                <w:b/>
                <w:i/>
              </w:rPr>
              <w:t>1.</w:t>
            </w:r>
            <w:r>
              <w:rPr>
                <w:b/>
                <w:i/>
              </w:rPr>
              <w:tab/>
              <w:t>Darba devēji, kuri ir ieinteresēti dalībā ES talantu fondā, var lūgt ES talantu fonda valsts kontaktpunktam dalībvalstī, kurā tie ir reģistrēti, pārsūtīt viņu vakances uz ES talantu fonda IT platformu.</w:t>
            </w:r>
          </w:p>
        </w:tc>
        <w:tc>
          <w:tcPr>
            <w:tcW w:w="4876" w:type="dxa"/>
            <w:hideMark/>
          </w:tcPr>
          <w:p w:rsidR="004B69B0" w:rsidRPr="00823585" w:rsidRDefault="006F2F4F" w:rsidP="00F175A1">
            <w:pPr>
              <w:pStyle w:val="Normal6"/>
              <w:rPr>
                <w:szCs w:val="24"/>
              </w:rPr>
            </w:pPr>
            <w:r>
              <w:rPr>
                <w:b/>
                <w:i/>
              </w:rPr>
              <w:t>svītrots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w:t>
      </w:r>
      <w:r w:rsidRPr="00823585">
        <w:rPr>
          <w:rStyle w:val="HideTWBExt"/>
          <w:noProof w:val="0"/>
          <w:lang w:val="en-GB"/>
        </w:rPr>
        <w: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78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1.a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1.a</w:t>
            </w:r>
            <w:r>
              <w:rPr>
                <w:b/>
                <w:i/>
              </w:rPr>
              <w:tab/>
              <w:t xml:space="preserve">Darba devēji, kas vēlas būt pamanāmi un publicēt savas </w:t>
            </w:r>
            <w:r>
              <w:rPr>
                <w:b/>
                <w:i/>
              </w:rPr>
              <w:t xml:space="preserve">vakances ES Talantu fonda IT platformā, var izveidot profilu, kurā ir 6. panta 3. punkta otrajā daļā minētā informācija, izraksts no valsts uzņēmumu reģistra, kas uz tiem attiecas, un to fizisko personu sodāmības reģistra izraksti, kuras uzņēmumu vada. ES </w:t>
            </w:r>
            <w:r>
              <w:rPr>
                <w:b/>
                <w:i/>
              </w:rPr>
              <w:t>Talantu fonda valsts kontaktpunkti prasa ES Talantu fondā iesaistītajiem darba devējiem piedalīties informācijas sesijā par taisnīgu pieņemšanu darbā un starptautiskajiem darba standartiem. Pēc dalības informācijas sesijā darba devēji paraksta apņemšanos i</w:t>
            </w:r>
            <w:r>
              <w:rPr>
                <w:b/>
                <w:i/>
              </w:rPr>
              <w:t>evērot SDO Vispārīgos taisnīgas darbā pieņemšanas principus un darbības vadlīnijas.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79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1.b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1.b</w:t>
            </w:r>
            <w:r>
              <w:rPr>
                <w:b/>
                <w:i/>
              </w:rPr>
              <w:tab/>
              <w:t xml:space="preserve">Papildus dalībai 1.a punktā minētajā informatīvajā sesijā darba devējiem ir iespēja piedalīties papildu apmācībā par taisnīgu pieņemšanu darbā. Pēc šādas papildu apmācības pabeigšanas minēto darba </w:t>
            </w:r>
            <w:r>
              <w:rPr>
                <w:b/>
                <w:i/>
              </w:rPr>
              <w:t>devēju vakancēm ar automatizēto piemeklēšanas sistēmu nodrošina plašāku pamanāmību ES Talantu fonda IT platformā. Darba devēji lielāku pamanāmību platformā iegūst, arī piedāvājot darba meklētājiem valodu kursus vai citu attiecīgu prasmju pilnveidi darba la</w:t>
            </w:r>
            <w:r>
              <w:rPr>
                <w:b/>
                <w:i/>
              </w:rPr>
              <w:t>ikā.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1.c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1.c</w:t>
            </w:r>
            <w:r>
              <w:rPr>
                <w:b/>
                <w:i/>
              </w:rPr>
              <w:tab/>
              <w:t xml:space="preserve">ES Talantu fonda valstu </w:t>
            </w:r>
            <w:r>
              <w:rPr>
                <w:b/>
                <w:i/>
              </w:rPr>
              <w:t>kontaktpunkti pirms profila publicēšanas ES Talantu fonda IT platformā pārbauda visus iecēlējā dalībvalstī iedibinātos darba devējus un to iesniegto informāciju.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1.d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1.d</w:t>
            </w:r>
            <w:r>
              <w:rPr>
                <w:b/>
                <w:i/>
              </w:rPr>
              <w:tab/>
              <w:t>Darba devēji, kuri piedalās ES Talantu fondā, var lūgt ES Talantu fonda valsts kontaktpunktam dalībvalstī, kurā tie ir iedibin</w:t>
            </w:r>
            <w:r>
              <w:rPr>
                <w:b/>
                <w:i/>
              </w:rPr>
              <w:t>āti, pārsūtīt to vakances uz ES Talantu fonda IT platformu. Vakancēs ietver vismaz informāciju par darba vietu un veidu, nodarbinātības ilgumu un darba laiku, attiecīgajiem darba apstākļiem, kā arī informāciju par atalgojumu, tostarp par piemērojamo atalgo</w:t>
            </w:r>
            <w:r>
              <w:rPr>
                <w:b/>
                <w:i/>
              </w:rPr>
              <w:t>juma praksi. Tajās arī skaidri norāda, ka darba meklētājiem no trešām valstīm nepiemēros darbā pieņemšanas maksu vai ar to saistītas izmaksas.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2. punkts – ievaddaļa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t>ES talantu fonda valstu kontaktpunkti pārsūta uz ES talantu fonda IT platformu vakances, kas:</w:t>
            </w:r>
          </w:p>
        </w:tc>
        <w:tc>
          <w:tcPr>
            <w:tcW w:w="4876" w:type="dxa"/>
            <w:hideMark/>
          </w:tcPr>
          <w:p w:rsidR="004B69B0" w:rsidRPr="00823585" w:rsidRDefault="006F2F4F" w:rsidP="00F175A1">
            <w:pPr>
              <w:pStyle w:val="Normal6"/>
              <w:rPr>
                <w:szCs w:val="24"/>
              </w:rPr>
            </w:pPr>
            <w:r>
              <w:t>2.</w:t>
            </w:r>
            <w:r>
              <w:tab/>
              <w:t xml:space="preserve">ES Talantu fonda valstu kontaktpunkti </w:t>
            </w:r>
            <w:r>
              <w:rPr>
                <w:b/>
                <w:i/>
              </w:rPr>
              <w:t xml:space="preserve">pēc iespējas drīz un ne vēlāk kā piecas darba dienas pēc darba devēja lūguma saskaņā ar 1.d punktu </w:t>
            </w:r>
            <w:r>
              <w:t>pārsūta uz ES Talantu fonda IT platformu vakances, kas: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83</w:t>
      </w:r>
      <w:r>
        <w:rPr>
          <w:rStyle w:val="HideTWBExt"/>
          <w:lang w:val="en-GB"/>
        </w:rPr>
        <w:t>&lt;/NumAm&gt;</w:t>
      </w:r>
    </w:p>
    <w:p w:rsidR="004B69B0" w:rsidRPr="00823585" w:rsidRDefault="006F2F4F" w:rsidP="004B69B0">
      <w:pPr>
        <w:pStyle w:val="NormalBold12b"/>
        <w:keepNext/>
      </w:pPr>
      <w:r>
        <w:rPr>
          <w:rStyle w:val="HideTWBExt"/>
        </w:rPr>
        <w:t>&lt;DocAmend&gt;</w:t>
      </w:r>
      <w:r>
        <w:t>Regulas p</w:t>
      </w:r>
      <w:r>
        <w:t>riekšlikums</w:t>
      </w:r>
      <w:r>
        <w:rPr>
          <w:rStyle w:val="HideTWBExt"/>
        </w:rPr>
        <w:t>&lt;/DocAmend&gt;</w:t>
      </w:r>
    </w:p>
    <w:p w:rsidR="004B69B0" w:rsidRPr="00823585" w:rsidRDefault="006F2F4F" w:rsidP="004B69B0">
      <w:pPr>
        <w:pStyle w:val="NormalBold"/>
      </w:pPr>
      <w:r>
        <w:rPr>
          <w:rStyle w:val="HideTWBExt"/>
        </w:rPr>
        <w:t>&lt;Article&gt;</w:t>
      </w:r>
      <w:r>
        <w:t>13. pants – 3. punkts – 1. 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ES talantu fondā</w:t>
            </w:r>
            <w:r>
              <w:rPr>
                <w:b/>
                <w:i/>
              </w:rPr>
              <w:t>,</w:t>
            </w:r>
            <w:r>
              <w:t xml:space="preserve"> iesaistītie darba devēji ievēro attiecīgos Savienības un valstu </w:t>
            </w:r>
            <w:r>
              <w:lastRenderedPageBreak/>
              <w:t>tiesību aktus un praksi, lai nodrošinātu trešo valstu valstspiederīgo aizsardzību pret negodīgu pieņemšanu darbā un neatbilstošiem darba apstākļiem, kā arī novērstu diskrimināciju</w:t>
            </w:r>
            <w:r>
              <w:rPr>
                <w:b/>
                <w:i/>
              </w:rPr>
              <w:t>. Iesaistītā</w:t>
            </w:r>
            <w:r>
              <w:rPr>
                <w:b/>
                <w:i/>
              </w:rPr>
              <w:t>s</w:t>
            </w:r>
            <w:r>
              <w:t xml:space="preserve"> dalībvalstis var ieviest papildu nosacījumus darba devēju dalībai ES talantu fondā, lai nodrošinātu atbilstību citai attiecīgajai valsts praksei</w:t>
            </w:r>
            <w:r>
              <w:rPr>
                <w:b/>
                <w:i/>
              </w:rPr>
              <w:t>, koplīgumiem</w:t>
            </w:r>
            <w:r>
              <w:t xml:space="preserve"> un </w:t>
            </w:r>
            <w:r>
              <w:rPr>
                <w:b/>
                <w:i/>
              </w:rPr>
              <w:t>Starptautiskās darba organizācijas noteiktajiem principiem un pamatnostādnēm</w:t>
            </w:r>
            <w:r>
              <w:t xml:space="preserve"> saskaņā ar Savienības tiesību aktiem.</w:t>
            </w:r>
          </w:p>
        </w:tc>
        <w:tc>
          <w:tcPr>
            <w:tcW w:w="4876" w:type="dxa"/>
            <w:hideMark/>
          </w:tcPr>
          <w:p w:rsidR="004B69B0" w:rsidRPr="00823585" w:rsidRDefault="006F2F4F" w:rsidP="00F175A1">
            <w:pPr>
              <w:pStyle w:val="Normal6"/>
              <w:rPr>
                <w:szCs w:val="24"/>
              </w:rPr>
            </w:pPr>
            <w:r>
              <w:lastRenderedPageBreak/>
              <w:t xml:space="preserve">ES Talantu fondā iesaistītie darba devēji ievēro attiecīgos Savienības un valstu </w:t>
            </w:r>
            <w:r>
              <w:lastRenderedPageBreak/>
              <w:t xml:space="preserve">tiesību aktus un praksi, </w:t>
            </w:r>
            <w:r>
              <w:rPr>
                <w:b/>
                <w:i/>
              </w:rPr>
              <w:t xml:space="preserve">kā arī SDO Vispārīgos taisnīgas darbā pieņemšanas principus un darbības vadlīnijas, </w:t>
            </w:r>
            <w:r>
              <w:t>lai nodrošinātu trešo valst</w:t>
            </w:r>
            <w:r>
              <w:t xml:space="preserve">u valstspiederīgo </w:t>
            </w:r>
            <w:r>
              <w:rPr>
                <w:b/>
                <w:i/>
              </w:rPr>
              <w:t xml:space="preserve">tiesības uz biedrošanās brīvību un koplīguma sarunām, </w:t>
            </w:r>
            <w:r>
              <w:t xml:space="preserve">aizsardzību pret negodīgu pieņemšanu darbā un neatbilstošiem darba apstākļiem, </w:t>
            </w:r>
            <w:r>
              <w:rPr>
                <w:b/>
                <w:i/>
              </w:rPr>
              <w:t xml:space="preserve">tostarp piespiedu darba un bērnu darba novēršanu un izskaušanu, </w:t>
            </w:r>
            <w:r>
              <w:t>kā arī novērstu diskrimināciju</w:t>
            </w:r>
            <w:r>
              <w:rPr>
                <w:b/>
                <w:i/>
              </w:rPr>
              <w:t xml:space="preserve"> nodarbināt</w:t>
            </w:r>
            <w:r>
              <w:rPr>
                <w:b/>
                <w:i/>
              </w:rPr>
              <w:t>ībā un profesijā.</w:t>
            </w:r>
            <w:r>
              <w:t xml:space="preserve"> Dalībvalstis var ieviest papildu nosacījumus darba devēju dalībai ES Talantu fondā, lai nodrošinātu atbilstību citai attiecīgajai valsts praksei un </w:t>
            </w:r>
            <w:r>
              <w:rPr>
                <w:b/>
                <w:i/>
              </w:rPr>
              <w:t>koplīgumiem</w:t>
            </w:r>
            <w:r>
              <w:t xml:space="preserve"> saskaņā ar Savienības tiesību aktiem.</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w:t>
      </w:r>
      <w:r>
        <w:rPr>
          <w:rStyle w:val="HideTWBExt"/>
        </w:rPr>
        <w:t>&gt;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3. punkts – 2. 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 xml:space="preserve">ES talantu fondā iesaistītie darba devēji neiekasē maksu par pieņemšanu darbā </w:t>
            </w:r>
            <w:r>
              <w:t>no reģistrētiem trešo valstu darba meklētājiem.</w:t>
            </w:r>
          </w:p>
        </w:tc>
        <w:tc>
          <w:tcPr>
            <w:tcW w:w="4876" w:type="dxa"/>
            <w:hideMark/>
          </w:tcPr>
          <w:p w:rsidR="004B69B0" w:rsidRPr="00823585" w:rsidRDefault="006F2F4F" w:rsidP="00F175A1">
            <w:pPr>
              <w:pStyle w:val="Normal6"/>
              <w:rPr>
                <w:szCs w:val="24"/>
              </w:rPr>
            </w:pPr>
            <w:r>
              <w:t xml:space="preserve">ES Talantu fondā iesaistītie darba devēji neiekasē </w:t>
            </w:r>
            <w:r>
              <w:rPr>
                <w:b/>
                <w:i/>
              </w:rPr>
              <w:t xml:space="preserve">nekādu </w:t>
            </w:r>
            <w:r>
              <w:t xml:space="preserve">maksu par pieņemšanu darbā </w:t>
            </w:r>
            <w:r>
              <w:rPr>
                <w:b/>
                <w:i/>
              </w:rPr>
              <w:t xml:space="preserve">vai saistītas izmaksas </w:t>
            </w:r>
            <w:r>
              <w:t>no reģistrētiem trešo valstu darba meklētājiem</w:t>
            </w:r>
            <w:r>
              <w:rPr>
                <w:b/>
                <w:i/>
              </w:rPr>
              <w:t xml:space="preserve"> ne pirms darbā pieņemšanas procesa, ne pēc tā pabeigš</w:t>
            </w:r>
            <w:r>
              <w:rPr>
                <w:b/>
                <w:i/>
              </w:rPr>
              <w:t>anas</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5.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5.</w:t>
            </w:r>
            <w:r>
              <w:tab/>
            </w:r>
            <w:r>
              <w:t xml:space="preserve">ES talantu fondā iesaistītie darba devēji </w:t>
            </w:r>
            <w:r>
              <w:rPr>
                <w:b/>
                <w:i/>
              </w:rPr>
              <w:t xml:space="preserve">bez nepamatotas kavēšanās </w:t>
            </w:r>
            <w:r>
              <w:t xml:space="preserve">ES </w:t>
            </w:r>
            <w:r>
              <w:lastRenderedPageBreak/>
              <w:t xml:space="preserve">talantu fonda </w:t>
            </w:r>
            <w:r>
              <w:rPr>
                <w:b/>
                <w:i/>
              </w:rPr>
              <w:t>IT platformā</w:t>
            </w:r>
            <w:r>
              <w:t xml:space="preserve"> norāda, ka viņi ir sekmīgi pabeiguši reģistrētu trešo valstu darba meklētāju pieņemšanu darbā konkrētajā vakancē. </w:t>
            </w:r>
            <w:r>
              <w:rPr>
                <w:b/>
                <w:i/>
              </w:rPr>
              <w:t>Šo reģistrēto darba meklētāju profili un</w:t>
            </w:r>
            <w:r>
              <w:t xml:space="preserve"> aiz</w:t>
            </w:r>
            <w:r>
              <w:t>pildītās vakances automātiski vairs nebūs redzamas ES talantu fonda IT platformā.</w:t>
            </w:r>
          </w:p>
        </w:tc>
        <w:tc>
          <w:tcPr>
            <w:tcW w:w="4876" w:type="dxa"/>
            <w:hideMark/>
          </w:tcPr>
          <w:p w:rsidR="004B69B0" w:rsidRPr="00823585" w:rsidRDefault="006F2F4F" w:rsidP="00F175A1">
            <w:pPr>
              <w:pStyle w:val="Normal6"/>
              <w:rPr>
                <w:szCs w:val="24"/>
              </w:rPr>
            </w:pPr>
            <w:r>
              <w:lastRenderedPageBreak/>
              <w:t>5.</w:t>
            </w:r>
            <w:r>
              <w:tab/>
              <w:t xml:space="preserve">ES Talantu fondā iesaistītie darba devēji ES Talantu fonda </w:t>
            </w:r>
            <w:r>
              <w:rPr>
                <w:b/>
                <w:i/>
              </w:rPr>
              <w:t xml:space="preserve">valsts </w:t>
            </w:r>
            <w:r>
              <w:rPr>
                <w:b/>
                <w:i/>
              </w:rPr>
              <w:lastRenderedPageBreak/>
              <w:t>kontaktpunktam bez nepamatotas kavēšanās</w:t>
            </w:r>
            <w:r>
              <w:t xml:space="preserve"> norāda, ka viņi ir sekmīgi pabeiguši reģistrētu trešo valstu dar</w:t>
            </w:r>
            <w:r>
              <w:t xml:space="preserve">ba meklētāju pieņemšanu darbā konkrētajā vakancē. </w:t>
            </w:r>
            <w:r>
              <w:rPr>
                <w:b/>
                <w:i/>
              </w:rPr>
              <w:t>Pirms darba līguma sākšanas darba devējs skaidrā un vispusīgā veidā sniedz darba meklētājam visu vajadzīgo informāciju saskaņā ar Direktīvu (ES) 2019/1152.</w:t>
            </w:r>
            <w:r>
              <w:t xml:space="preserve"> Aizpildītās vakances automātiski vairs nebūs redza</w:t>
            </w:r>
            <w:r>
              <w:t xml:space="preserve">mas ES Talantu fonda IT platformā. </w:t>
            </w:r>
            <w:r>
              <w:rPr>
                <w:b/>
                <w:i/>
              </w:rPr>
              <w:t>Reģistrētā darba meklētāja profilā norāda, ka darba meklētājs plāno sākt darbu.</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86</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13. pants – 6.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6.</w:t>
            </w:r>
            <w:r>
              <w:tab/>
              <w:t xml:space="preserve">Valsts iestādes, kas atbild par attiecīgo tiesību aktu un prakses īstenošanu </w:t>
            </w:r>
            <w:r>
              <w:rPr>
                <w:b/>
                <w:i/>
              </w:rPr>
              <w:t xml:space="preserve">iesaistītajās </w:t>
            </w:r>
            <w:r>
              <w:t>dalībvalstīs, nekavējoties informē ES talantu fonda valsts kontaktpunktus par visiem 3.</w:t>
            </w:r>
            <w:r>
              <w:t> punktā minēto attiecīgo tiesību aktu un prakses noteikumu pārkāpumiem atbilstīgi 10. panta 2. punkta e) apakšpunktam.</w:t>
            </w:r>
          </w:p>
        </w:tc>
        <w:tc>
          <w:tcPr>
            <w:tcW w:w="4876" w:type="dxa"/>
            <w:hideMark/>
          </w:tcPr>
          <w:p w:rsidR="004B69B0" w:rsidRPr="00823585" w:rsidRDefault="006F2F4F" w:rsidP="00F175A1">
            <w:pPr>
              <w:pStyle w:val="Normal6"/>
              <w:rPr>
                <w:szCs w:val="24"/>
              </w:rPr>
            </w:pPr>
            <w:r>
              <w:t>6.</w:t>
            </w:r>
            <w:r>
              <w:tab/>
              <w:t xml:space="preserve">Valsts iestādes, kas atbild par attiecīgo tiesību aktu un prakses īstenošanu dalībvalstīs, nekavējoties informē ES Talantu fonda </w:t>
            </w:r>
            <w:r>
              <w:t>valsts kontaktpunktus par visiem 3. punktā minēto attiecīgo tiesību aktu un prakses noteikumu pārkāpumiem atbilstīgi 10. panta 2. punkta e) apakšpunktam.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87</w:t>
      </w:r>
      <w:r>
        <w:rPr>
          <w:rStyle w:val="HideTWBExt"/>
          <w:lang w:val="en-GB"/>
        </w:rPr>
        <w:t>&lt;/NumAm&gt;</w:t>
      </w:r>
    </w:p>
    <w:p w:rsidR="004B69B0" w:rsidRPr="00823585" w:rsidRDefault="006F2F4F" w:rsidP="004B69B0">
      <w:pPr>
        <w:pStyle w:val="NormalBold12b"/>
        <w:keepNext/>
      </w:pPr>
      <w:r>
        <w:rPr>
          <w:rStyle w:val="HideTWBExt"/>
        </w:rPr>
        <w:t>&lt;DocAmend&gt;</w:t>
      </w:r>
      <w:r>
        <w:t xml:space="preserve">Regulas </w:t>
      </w:r>
      <w:r>
        <w:t>priekšlikums</w:t>
      </w:r>
      <w:r>
        <w:rPr>
          <w:rStyle w:val="HideTWBExt"/>
        </w:rPr>
        <w:t>&lt;/DocAmend&gt;</w:t>
      </w:r>
    </w:p>
    <w:p w:rsidR="004B69B0" w:rsidRPr="00823585" w:rsidRDefault="006F2F4F" w:rsidP="004B69B0">
      <w:pPr>
        <w:pStyle w:val="NormalBold"/>
      </w:pPr>
      <w:r>
        <w:rPr>
          <w:rStyle w:val="HideTWBExt"/>
        </w:rPr>
        <w:t>&lt;Article&gt;</w:t>
      </w:r>
      <w:r>
        <w:t>16. pants – 4.a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4.a</w:t>
            </w:r>
            <w:r>
              <w:rPr>
                <w:b/>
                <w:i/>
              </w:rPr>
              <w:tab/>
              <w:t>Automatizētajā piemeklēšanas rīkā ir integrēti aizsardzības pasākumi pret diskrimināciju Eiropas Savienības Pamattiesību hartas 21. pa</w:t>
            </w:r>
            <w:r>
              <w:rPr>
                <w:b/>
                <w:i/>
              </w:rPr>
              <w:t xml:space="preserve">ntā uzskaitīto </w:t>
            </w:r>
            <w:r>
              <w:rPr>
                <w:b/>
                <w:i/>
              </w:rPr>
              <w:lastRenderedPageBreak/>
              <w:t>iemeslu dēļ.</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1. 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rPr>
                <w:b/>
                <w:i/>
              </w:rPr>
              <w:t>Iesaistītās dalībvalstis nodrošina viegli pieejamu informāciju par ES talantu fondu un tā darbību.</w:t>
            </w:r>
          </w:p>
        </w:tc>
        <w:tc>
          <w:tcPr>
            <w:tcW w:w="4876" w:type="dxa"/>
            <w:hideMark/>
          </w:tcPr>
          <w:p w:rsidR="004B69B0" w:rsidRPr="00823585" w:rsidRDefault="006F2F4F" w:rsidP="00F175A1">
            <w:pPr>
              <w:pStyle w:val="Normal6"/>
              <w:rPr>
                <w:szCs w:val="24"/>
              </w:rPr>
            </w:pPr>
            <w:r>
              <w:rPr>
                <w:b/>
                <w:i/>
              </w:rPr>
              <w:t>svītrots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89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w:t>
      </w:r>
      <w:r>
        <w:t>punkts – 2. daļa – ievaddaļa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ES talantu fonda sekretariāts ar ES talantu fonda valstu kontaktpunktu atbalstu dara pieejamu šādu informāciju ES</w:t>
            </w:r>
            <w:r>
              <w:rPr>
                <w:b/>
                <w:i/>
              </w:rPr>
              <w:t xml:space="preserve"> talantu fonda IT platformā</w:t>
            </w:r>
            <w:r>
              <w:t>:</w:t>
            </w:r>
          </w:p>
        </w:tc>
        <w:tc>
          <w:tcPr>
            <w:tcW w:w="4876" w:type="dxa"/>
            <w:hideMark/>
          </w:tcPr>
          <w:p w:rsidR="004B69B0" w:rsidRPr="00823585" w:rsidRDefault="006F2F4F" w:rsidP="00F175A1">
            <w:pPr>
              <w:pStyle w:val="Normal6"/>
              <w:rPr>
                <w:szCs w:val="24"/>
              </w:rPr>
            </w:pPr>
            <w:r>
              <w:t xml:space="preserve">ES Talantu fonda sekretariāts ar ES Talantu fonda valstu kontaktpunktu atbalstu dara </w:t>
            </w:r>
            <w:r>
              <w:rPr>
                <w:b/>
                <w:i/>
              </w:rPr>
              <w:t xml:space="preserve">publiski un bez maksas </w:t>
            </w:r>
            <w:r>
              <w:t xml:space="preserve">pieejamu šādu informāciju </w:t>
            </w:r>
            <w:r>
              <w:rPr>
                <w:b/>
                <w:i/>
              </w:rPr>
              <w:t>par katru dalībvalsti, sniedzot to skaidrā, vispusīgā, lietotājdraudzīgā un — arī personām ar invaliditāti — viegli piekļū</w:t>
            </w:r>
            <w:r>
              <w:rPr>
                <w:b/>
                <w:i/>
              </w:rPr>
              <w:t>stamā veidā saskaņā ar attiecīgajiem piekļūstamības standartiem, kas noteikti Direktīvā (</w:t>
            </w:r>
            <w:r>
              <w:t>ES</w:t>
            </w:r>
            <w:r>
              <w:rPr>
                <w:b/>
                <w:i/>
              </w:rPr>
              <w:t>) 2016/2102, un attiecīgajām pakalpojumu piekļūstamības prasībām, kas noteiktas Direktīvas (ES) 2019/882 I pielikumā</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w:t>
      </w:r>
      <w:r>
        <w:rPr>
          <w:rStyle w:val="HideTWBExt"/>
          <w:lang w:val="en-GB"/>
        </w:rPr>
        <w:t>d&gt;</w:t>
      </w:r>
      <w:r>
        <w:t>Grozījums Nr.</w:t>
      </w:r>
      <w:r>
        <w:tab/>
      </w:r>
      <w:r>
        <w:tab/>
      </w:r>
      <w:r>
        <w:rPr>
          <w:rStyle w:val="HideTWBExt"/>
          <w:lang w:val="en-GB"/>
        </w:rPr>
        <w:t>&lt;NumAm&gt;</w:t>
      </w:r>
      <w:r>
        <w:t>90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2. daļa – a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(a)</w:t>
            </w:r>
            <w:r>
              <w:tab/>
              <w:t xml:space="preserve">informācija par darbā pieņemšanas un </w:t>
            </w:r>
            <w:r>
              <w:rPr>
                <w:b/>
                <w:i/>
              </w:rPr>
              <w:t>imigrācijas</w:t>
            </w:r>
            <w:r>
              <w:t xml:space="preserve"> procedūrām, kvalifikāciju atzīšanu un prasmju apstiprināšanu</w:t>
            </w:r>
            <w:r>
              <w:rPr>
                <w:b/>
                <w:i/>
              </w:rPr>
              <w:t>, trešo valstu valstspiederīgo tiesībām, tai skaitā attiecībā uz pieejamajiem tiesiskās aizsardzības mehānismiem, kā arī informācija par dzīves un darba apstākļiem iesaistītajās dalībvalstīs</w:t>
            </w:r>
            <w:r>
              <w:t>;</w:t>
            </w:r>
          </w:p>
        </w:tc>
        <w:tc>
          <w:tcPr>
            <w:tcW w:w="4876" w:type="dxa"/>
            <w:hideMark/>
          </w:tcPr>
          <w:p w:rsidR="004B69B0" w:rsidRPr="00823585" w:rsidRDefault="006F2F4F" w:rsidP="00F175A1">
            <w:pPr>
              <w:pStyle w:val="Normal6"/>
              <w:rPr>
                <w:szCs w:val="24"/>
              </w:rPr>
            </w:pPr>
            <w:r>
              <w:t>(a)</w:t>
            </w:r>
            <w:r>
              <w:tab/>
              <w:t xml:space="preserve">informācija par darbā pieņemšanas un </w:t>
            </w:r>
            <w:r>
              <w:rPr>
                <w:b/>
                <w:i/>
              </w:rPr>
              <w:t>nodarbinātības</w:t>
            </w:r>
            <w:r>
              <w:t xml:space="preserve"> procedūrām,</w:t>
            </w:r>
            <w:r>
              <w:rPr>
                <w:b/>
                <w:i/>
              </w:rPr>
              <w:t xml:space="preserve"> arī par</w:t>
            </w:r>
            <w:r>
              <w:t xml:space="preserve"> kvalifikāciju atzīšanu un prasmju apstiprināšanu;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91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2. daļa – aa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(aa)</w:t>
            </w:r>
            <w:r>
              <w:rPr>
                <w:b/>
                <w:i/>
              </w:rPr>
              <w:tab/>
              <w:t>informācija par imigrācijas procedūrām, tostarp procedūrām vīzu un uzturēšanas atļauju saņemšanai darba nolūkā;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92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2. daļa – ab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(ab)</w:t>
            </w:r>
            <w:r>
              <w:rPr>
                <w:b/>
                <w:i/>
              </w:rPr>
              <w:tab/>
              <w:t>trešo valstu valstspiederīgo</w:t>
            </w:r>
            <w:r>
              <w:rPr>
                <w:b/>
                <w:i/>
              </w:rPr>
              <w:t xml:space="preserve"> tiesības, tostarp attiecībā uz piekļūstamību tiesas un tiesiskās aizsardzības mehānismiem, un attiecīgā gadījumā tādu organizāciju kontaktinformācija, kas piedāvā palīdzību pēc pieņemšanas darbā;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 xml:space="preserve">Grozījums </w:t>
      </w:r>
      <w:r>
        <w:t>Nr.</w:t>
      </w:r>
      <w:r>
        <w:tab/>
      </w:r>
      <w:r>
        <w:tab/>
      </w:r>
      <w:r>
        <w:rPr>
          <w:rStyle w:val="HideTWBExt"/>
          <w:lang w:val="en-GB"/>
        </w:rPr>
        <w:t>&lt;NumAm&gt;</w:t>
      </w:r>
      <w:r>
        <w:t>93</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2. daļa – ac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(ac)</w:t>
            </w:r>
            <w:r>
              <w:rPr>
                <w:b/>
                <w:i/>
              </w:rPr>
              <w:tab/>
              <w:t>informācija par dzīves un darba apstākļiem dalībvalstīs;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94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2. daļa – b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(b)</w:t>
            </w:r>
            <w:r>
              <w:tab/>
              <w:t>izsmeļošs paskaidrojums</w:t>
            </w:r>
            <w:r>
              <w:t xml:space="preserve"> darba meklētājiem no trešām valstīm, ka, ja uz viņiem attiecas tiesas vai administratīvais lēmums, ar kuru atteikta ieceļošana vai uzturēšanās dalībvalstī, vai ieceļošanas aizliegums saskaņā ar Eiropas Parlamenta un Padomes Direktīvu 2008/115/EK, viņu iec</w:t>
            </w:r>
            <w:r>
              <w:t>eļošana un uzturēšanās ir aizliegta visu dalībvalstu teritorijā.</w:t>
            </w:r>
          </w:p>
        </w:tc>
        <w:tc>
          <w:tcPr>
            <w:tcW w:w="4876" w:type="dxa"/>
            <w:hideMark/>
          </w:tcPr>
          <w:p w:rsidR="004B69B0" w:rsidRPr="00823585" w:rsidRDefault="006F2F4F" w:rsidP="00F175A1">
            <w:pPr>
              <w:pStyle w:val="Normal6"/>
              <w:rPr>
                <w:szCs w:val="24"/>
              </w:rPr>
            </w:pPr>
            <w:r>
              <w:t>(b)</w:t>
            </w:r>
            <w:r>
              <w:tab/>
            </w:r>
            <w:r>
              <w:rPr>
                <w:b/>
                <w:i/>
              </w:rPr>
              <w:t>nosacījumi un procedūras dalībai ES Talantu fondā, arī</w:t>
            </w:r>
            <w:r>
              <w:t xml:space="preserve"> izsmeļošs paskaidrojums darba meklētājiem no trešām valstīm, ka, ja uz viņiem attiecas tiesas vai administratīvais lēmums, ar kuru a</w:t>
            </w:r>
            <w:r>
              <w:t>tteikta ieceļošana vai uzturēšanās dalībvalstī, vai ieceļošanas aizliegums saskaņā ar Eiropas Parlamenta un Padomes Direktīvu 2008/115/EK, viņu ieceļošana un uzturēšanās ir aizliegta visu dalībvalstu teritorijā.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w:t>
      </w:r>
      <w:r>
        <w:rPr>
          <w:rStyle w:val="HideTWBExt"/>
          <w:lang w:val="en-GB"/>
        </w:rPr>
        <w:t>mend&gt;</w:t>
      </w:r>
      <w:r>
        <w:t>Grozījums Nr.</w:t>
      </w:r>
      <w:r>
        <w:tab/>
      </w:r>
      <w:r>
        <w:tab/>
      </w:r>
      <w:r>
        <w:rPr>
          <w:rStyle w:val="HideTWBExt"/>
          <w:lang w:val="en-GB"/>
        </w:rPr>
        <w:t>&lt;NumAm&gt;</w:t>
      </w:r>
      <w:r>
        <w:t>95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2.a daļa (jauna)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 xml:space="preserve">Valstu kontaktpunkti atbild par pirmajā daļā minētās informācijas </w:t>
            </w:r>
            <w:r>
              <w:rPr>
                <w:b/>
                <w:i/>
              </w:rPr>
              <w:t>atjaunināšanu pēc nepieciešamības.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lastRenderedPageBreak/>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96</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1. punkts – 2.b daļa (jauna)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Šā panta 1. punkta a) apakšpunktā minētā informācijas balstās uz SDO Vispārīgajiem taisnīgas darbā pieņemšanas principiem un darbības vadlīnijām.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97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2. punkts – ievaddaļa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r>
            <w:r>
              <w:rPr>
                <w:b/>
                <w:i/>
              </w:rPr>
              <w:t>Pēc reģistrētu trešo valstu darba meklētāju un</w:t>
            </w:r>
            <w:r>
              <w:t xml:space="preserve"> ES talantu fondā </w:t>
            </w:r>
            <w:r>
              <w:rPr>
                <w:b/>
                <w:i/>
              </w:rPr>
              <w:t>iesaistīto</w:t>
            </w:r>
            <w:r>
              <w:t xml:space="preserve"> darba </w:t>
            </w:r>
            <w:r>
              <w:rPr>
                <w:b/>
                <w:i/>
              </w:rPr>
              <w:t xml:space="preserve">devēju pieprasījuma ES talantu fonda valstu </w:t>
            </w:r>
            <w:r>
              <w:rPr>
                <w:b/>
                <w:i/>
              </w:rPr>
              <w:t>kontaktpunkti sniedz</w:t>
            </w:r>
            <w:r>
              <w:t xml:space="preserve"> papildu </w:t>
            </w:r>
            <w:r>
              <w:rPr>
                <w:b/>
                <w:i/>
              </w:rPr>
              <w:t>atbalstu un pēcatlases palīdzību reģistrētiem darba meklētājiem</w:t>
            </w:r>
            <w:r>
              <w:t xml:space="preserve"> no </w:t>
            </w:r>
            <w:r>
              <w:rPr>
                <w:b/>
                <w:i/>
              </w:rPr>
              <w:t>trešām valstīm un</w:t>
            </w:r>
            <w:r>
              <w:t xml:space="preserve"> ES talantu </w:t>
            </w:r>
            <w:r>
              <w:rPr>
                <w:b/>
                <w:i/>
              </w:rPr>
              <w:t>fondā iesaistītajiem darba devējiem, jo īpaši attiecībā uz</w:t>
            </w:r>
            <w:r>
              <w:t>:</w:t>
            </w:r>
          </w:p>
        </w:tc>
        <w:tc>
          <w:tcPr>
            <w:tcW w:w="4876" w:type="dxa"/>
            <w:hideMark/>
          </w:tcPr>
          <w:p w:rsidR="004B69B0" w:rsidRPr="00823585" w:rsidRDefault="006F2F4F" w:rsidP="00F175A1">
            <w:pPr>
              <w:pStyle w:val="Normal6"/>
              <w:rPr>
                <w:szCs w:val="24"/>
              </w:rPr>
            </w:pPr>
            <w:r>
              <w:t>2.</w:t>
            </w:r>
            <w:r>
              <w:tab/>
            </w:r>
            <w:r>
              <w:rPr>
                <w:b/>
                <w:i/>
              </w:rPr>
              <w:t>Darba meklētāji no trešām valstīm, kas</w:t>
            </w:r>
            <w:r>
              <w:t xml:space="preserve"> ES Talantu fondā </w:t>
            </w:r>
            <w:r>
              <w:rPr>
                <w:b/>
                <w:i/>
              </w:rPr>
              <w:t>ir atlasīti</w:t>
            </w:r>
            <w:r>
              <w:t xml:space="preserve"> </w:t>
            </w:r>
            <w:r>
              <w:t xml:space="preserve">darba </w:t>
            </w:r>
            <w:r>
              <w:rPr>
                <w:b/>
                <w:i/>
              </w:rPr>
              <w:t>vakancei, saņem šādu</w:t>
            </w:r>
            <w:r>
              <w:t xml:space="preserve"> papildu </w:t>
            </w:r>
            <w:r>
              <w:rPr>
                <w:b/>
                <w:i/>
              </w:rPr>
              <w:t>informāciju</w:t>
            </w:r>
            <w:r>
              <w:t xml:space="preserve"> no </w:t>
            </w:r>
            <w:r>
              <w:rPr>
                <w:b/>
                <w:i/>
              </w:rPr>
              <w:t>attiecīgā</w:t>
            </w:r>
            <w:r>
              <w:t xml:space="preserve"> ES Talantu </w:t>
            </w:r>
            <w:r>
              <w:rPr>
                <w:b/>
                <w:i/>
              </w:rPr>
              <w:t>fonda valsts kontaktpunkta</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98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 xml:space="preserve">17. pants – 2. punkts – </w:t>
      </w:r>
      <w:r>
        <w:t>a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(a)</w:t>
            </w:r>
            <w:r>
              <w:tab/>
            </w:r>
            <w:r>
              <w:rPr>
                <w:b/>
                <w:i/>
              </w:rPr>
              <w:t>specifisku informāciju</w:t>
            </w:r>
            <w:r>
              <w:t xml:space="preserve"> par </w:t>
            </w:r>
            <w:r>
              <w:rPr>
                <w:b/>
                <w:i/>
              </w:rPr>
              <w:t>valstu imigrācijas</w:t>
            </w:r>
            <w:r>
              <w:t xml:space="preserve"> procedūrām</w:t>
            </w:r>
            <w:r>
              <w:rPr>
                <w:b/>
                <w:i/>
              </w:rPr>
              <w:t>, lai saņemtu vīzas</w:t>
            </w:r>
            <w:r>
              <w:t xml:space="preserve"> un </w:t>
            </w:r>
            <w:r>
              <w:rPr>
                <w:b/>
                <w:i/>
              </w:rPr>
              <w:t xml:space="preserve">uzturēšanās atļaujas darba vajadzībām </w:t>
            </w:r>
            <w:r>
              <w:rPr>
                <w:b/>
                <w:i/>
              </w:rPr>
              <w:lastRenderedPageBreak/>
              <w:t>pēc atlases procesa</w:t>
            </w:r>
            <w:r>
              <w:t>;</w:t>
            </w:r>
          </w:p>
        </w:tc>
        <w:tc>
          <w:tcPr>
            <w:tcW w:w="4876" w:type="dxa"/>
            <w:hideMark/>
          </w:tcPr>
          <w:p w:rsidR="004B69B0" w:rsidRPr="00823585" w:rsidRDefault="006F2F4F" w:rsidP="00F175A1">
            <w:pPr>
              <w:pStyle w:val="Normal6"/>
              <w:rPr>
                <w:szCs w:val="24"/>
              </w:rPr>
            </w:pPr>
            <w:r>
              <w:lastRenderedPageBreak/>
              <w:t>(a)</w:t>
            </w:r>
            <w:r>
              <w:tab/>
            </w:r>
            <w:r>
              <w:rPr>
                <w:b/>
                <w:i/>
              </w:rPr>
              <w:t xml:space="preserve">šā panta 1. punkta a) apakšpunktā minētā </w:t>
            </w:r>
            <w:r>
              <w:rPr>
                <w:b/>
                <w:i/>
              </w:rPr>
              <w:t>informācija</w:t>
            </w:r>
            <w:r>
              <w:t xml:space="preserve"> par </w:t>
            </w:r>
            <w:r>
              <w:rPr>
                <w:b/>
                <w:i/>
              </w:rPr>
              <w:t>attiecīgās dalībvalsts</w:t>
            </w:r>
            <w:r>
              <w:t xml:space="preserve"> procedūrām</w:t>
            </w:r>
            <w:r>
              <w:rPr>
                <w:b/>
                <w:i/>
              </w:rPr>
              <w:t xml:space="preserve"> vīzu</w:t>
            </w:r>
            <w:r>
              <w:t xml:space="preserve"> un </w:t>
            </w:r>
            <w:r>
              <w:rPr>
                <w:b/>
                <w:i/>
              </w:rPr>
              <w:t xml:space="preserve">uzturēšanas atļauju saņemšanai darba </w:t>
            </w:r>
            <w:r>
              <w:rPr>
                <w:b/>
                <w:i/>
              </w:rPr>
              <w:lastRenderedPageBreak/>
              <w:t>nolūkā</w:t>
            </w:r>
            <w:r>
              <w:t>;</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99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2. punkt</w:t>
      </w:r>
      <w:r>
        <w:t>s – e apakšpunkts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(e)</w:t>
            </w:r>
            <w:r>
              <w:tab/>
              <w:t>ja ir pieejama, to organizāciju kontaktinformācija, kuras piedāvā trešo valstu valstspiederīgajiem palīdzību pēc darbā pieņemšanas.</w:t>
            </w:r>
          </w:p>
        </w:tc>
        <w:tc>
          <w:tcPr>
            <w:tcW w:w="4876" w:type="dxa"/>
            <w:hideMark/>
          </w:tcPr>
          <w:p w:rsidR="004B69B0" w:rsidRPr="00823585" w:rsidRDefault="006F2F4F" w:rsidP="00F175A1">
            <w:pPr>
              <w:pStyle w:val="Normal6"/>
              <w:rPr>
                <w:szCs w:val="24"/>
              </w:rPr>
            </w:pPr>
            <w:r>
              <w:t>(e)</w:t>
            </w:r>
            <w:r>
              <w:tab/>
              <w:t xml:space="preserve">ja ir pieejama, to organizāciju </w:t>
            </w:r>
            <w:r>
              <w:t>kontaktinformācija, kuras piedāvā trešo valstu valstspiederīgajiem palīdzību pēc darbā pieņemšanas</w:t>
            </w:r>
            <w:r>
              <w:rPr>
                <w:b/>
                <w:i/>
              </w:rPr>
              <w:t>, piemēram, pārejas programmas</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2. punkts – 1.a daļa (jauna)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 xml:space="preserve">Pirmās daļas c) un d) apakšpunkta nolūkā informāciju var sniegt sadarbībā ar sociālajiem partneriem un attiecīgā gadījumā organizācijām, kas trešo </w:t>
            </w:r>
            <w:r>
              <w:rPr>
                <w:b/>
                <w:i/>
              </w:rPr>
              <w:t xml:space="preserve">valstu valstspiederīgajiem piedāvā palīdzību pēc pieņemšanas darbā. </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17. pants – 3. punkts – 1.a daļa (jauna)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 xml:space="preserve">ES Talantu fonda sekretariāts sadarbībā </w:t>
            </w:r>
            <w:r>
              <w:rPr>
                <w:b/>
                <w:i/>
              </w:rPr>
              <w:lastRenderedPageBreak/>
              <w:t>ar vadības grupu īsteno uz darba devējiem, sevišķi MVU, vērstas informētības vairošanas kampaņas, lai uzlabotu sabiedrības izpratni par ES Talantu fondu un tādējādi tā izmant</w:t>
            </w:r>
            <w:r>
              <w:rPr>
                <w:b/>
                <w:i/>
              </w:rPr>
              <w:t>ošanu. Šīs informētības vairošanas kampaņas ietver informāciju par taisnīgas pieņemšanas darbā standartiem, kas noteikti SDO Vispārīgajos taisnīgas darbā pieņemšanas principos un darbības vadlīnijās.</w:t>
            </w:r>
          </w:p>
        </w:tc>
      </w:tr>
    </w:tbl>
    <w:p w:rsidR="004B69B0" w:rsidRPr="00823585" w:rsidRDefault="006F2F4F" w:rsidP="004B69B0">
      <w:pPr>
        <w:pStyle w:val="Olang"/>
        <w:rPr>
          <w:lang w:val="en-GB"/>
        </w:rPr>
      </w:pPr>
      <w:r w:rsidRPr="00823585">
        <w:rPr>
          <w:noProof w:val="0"/>
          <w:lang w:val="en-GB"/>
        </w:rPr>
        <w:lastRenderedPageBreak/>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102</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18.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r>
            <w:r>
              <w:rPr>
                <w:b/>
                <w:i/>
              </w:rPr>
              <w:t>Iesaistītās</w:t>
            </w:r>
            <w:r>
              <w:t xml:space="preserve"> dalībvalstis nodrošina efektīvus mehānismus, ar kuru palīdzību reģistrētie darba meklētāji no trešām valstīm var iesniegt sūdzības, ja ES talantu fondā iesaistītie darba devēji pārkāpj 13. panta 3. punktā noteiktos pienākumus un nosacījumus.</w:t>
            </w:r>
          </w:p>
        </w:tc>
        <w:tc>
          <w:tcPr>
            <w:tcW w:w="4876" w:type="dxa"/>
            <w:hideMark/>
          </w:tcPr>
          <w:p w:rsidR="004B69B0" w:rsidRPr="00823585" w:rsidRDefault="006F2F4F" w:rsidP="00F175A1">
            <w:pPr>
              <w:pStyle w:val="Normal6"/>
              <w:rPr>
                <w:szCs w:val="24"/>
              </w:rPr>
            </w:pPr>
            <w:r>
              <w:t>1.</w:t>
            </w:r>
            <w:r>
              <w:tab/>
              <w:t>Dalībvalst</w:t>
            </w:r>
            <w:r>
              <w:t xml:space="preserve">is nodrošina efektīvus </w:t>
            </w:r>
            <w:r>
              <w:rPr>
                <w:b/>
                <w:i/>
              </w:rPr>
              <w:t xml:space="preserve">un izmaksu ziņā piekļūstamus sūdzību </w:t>
            </w:r>
            <w:r>
              <w:t>mehānismus</w:t>
            </w:r>
            <w:r>
              <w:rPr>
                <w:b/>
                <w:i/>
              </w:rPr>
              <w:t xml:space="preserve"> vai citas sūdzību procedūras saskaņā ar valsts tiesību aktiem un praksi</w:t>
            </w:r>
            <w:r>
              <w:t>, ar kuru palīdzību reģistrētie darba meklētāji no trešām valstīm var iesniegt sūdzības, ja ES Talantu fondā iesai</w:t>
            </w:r>
            <w:r>
              <w:t>stītie darba devēji pārkāpj 13. panta 3. punktā noteiktos pienākumus un nosacījumus</w:t>
            </w:r>
            <w:r>
              <w:rPr>
                <w:b/>
                <w:i/>
              </w:rPr>
              <w:t xml:space="preserve"> vai citus attiecīgus noteikumus par šīs regulas piemērošanu</w:t>
            </w:r>
            <w:r>
              <w:t xml:space="preserve">. </w:t>
            </w:r>
            <w:r>
              <w:rPr>
                <w:b/>
                <w:i/>
              </w:rPr>
              <w:t>Sūdzību mehānismi un citas sūdzību procedūras ir dzimumvērīgi un nodrošina, ka darba meklētāji no trešām valstī</w:t>
            </w:r>
            <w:r>
              <w:rPr>
                <w:b/>
                <w:i/>
              </w:rPr>
              <w:t>m, kas iesniedz sūdzību, ir aizsargāti pret jebkādu atriebību.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103</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18. pants – 2.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 xml:space="preserve">Komisijas ierosinātais </w:t>
            </w:r>
            <w:r>
              <w:t>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r>
            <w:r>
              <w:rPr>
                <w:b/>
                <w:i/>
              </w:rPr>
              <w:t>Iesaistītās dalībvalstis nodrošina viegli pieejamu</w:t>
            </w:r>
            <w:r>
              <w:t xml:space="preserve"> informāciju par pieejamajiem </w:t>
            </w:r>
            <w:r>
              <w:rPr>
                <w:b/>
                <w:i/>
              </w:rPr>
              <w:t>tiesiskās aizsardzības mehānismiem</w:t>
            </w:r>
            <w:r>
              <w:t>.</w:t>
            </w:r>
          </w:p>
        </w:tc>
        <w:tc>
          <w:tcPr>
            <w:tcW w:w="4876" w:type="dxa"/>
            <w:hideMark/>
          </w:tcPr>
          <w:p w:rsidR="004B69B0" w:rsidRPr="00823585" w:rsidRDefault="006F2F4F" w:rsidP="00F175A1">
            <w:pPr>
              <w:pStyle w:val="Normal6"/>
              <w:rPr>
                <w:szCs w:val="24"/>
              </w:rPr>
            </w:pPr>
            <w:r>
              <w:t>2.</w:t>
            </w:r>
            <w:r>
              <w:tab/>
            </w:r>
            <w:r>
              <w:rPr>
                <w:b/>
                <w:i/>
              </w:rPr>
              <w:t>ES Talantu fonda valstu kontaktpunkti</w:t>
            </w:r>
            <w:r>
              <w:t xml:space="preserve"> informāciju par pieejamajiem </w:t>
            </w:r>
            <w:r>
              <w:rPr>
                <w:b/>
                <w:i/>
              </w:rPr>
              <w:t xml:space="preserve">sūdzību mehānismiem vai citām sūdzību procedūrām </w:t>
            </w:r>
            <w:r>
              <w:rPr>
                <w:b/>
                <w:i/>
              </w:rPr>
              <w:t>dara viegli piekļūstamu ES Talantu fonda IT platformā, arī personām ar invaliditāti, saskaņā ar Direktīvu (ES) 2016/2102</w:t>
            </w:r>
            <w:r>
              <w:t xml:space="preserve">. </w:t>
            </w:r>
            <w:r>
              <w:rPr>
                <w:b/>
                <w:i/>
              </w:rPr>
              <w:t>Minētā informācija ietver atbildīgo iestāžu kontaktinformāciju, informāciju par attiecīgajām valsts darba ņēmēju organizācijām un tādu</w:t>
            </w:r>
            <w:r>
              <w:rPr>
                <w:b/>
                <w:i/>
              </w:rPr>
              <w:t xml:space="preserve"> organizāciju kontaktinformāciju, kuras pārstāv trešo valstu valstspiederīgos.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104</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19.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 xml:space="preserve">Komisijas </w:t>
            </w:r>
            <w:r>
              <w:t>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r>
            <w:r>
              <w:rPr>
                <w:b/>
                <w:i/>
              </w:rPr>
              <w:t>Iesaistītās dalībvalstis var nolemt ieviest</w:t>
            </w:r>
            <w:r>
              <w:t xml:space="preserve"> paātrinātas imigrācijas procedūras, </w:t>
            </w:r>
            <w:r>
              <w:rPr>
                <w:b/>
                <w:i/>
              </w:rPr>
              <w:t>lai ļautu ātrāk pieņemt darbā reģistrētus trešo valstu</w:t>
            </w:r>
            <w:r>
              <w:t xml:space="preserve"> darba </w:t>
            </w:r>
            <w:r>
              <w:rPr>
                <w:b/>
                <w:i/>
              </w:rPr>
              <w:t>meklētājus</w:t>
            </w:r>
            <w:r>
              <w:t xml:space="preserve">, </w:t>
            </w:r>
            <w:r>
              <w:rPr>
                <w:b/>
                <w:i/>
              </w:rPr>
              <w:t>kuri ir atlasīti ES talantu fonda vakancēm</w:t>
            </w:r>
            <w:r>
              <w:t>.</w:t>
            </w:r>
          </w:p>
        </w:tc>
        <w:tc>
          <w:tcPr>
            <w:tcW w:w="4876" w:type="dxa"/>
            <w:hideMark/>
          </w:tcPr>
          <w:p w:rsidR="004B69B0" w:rsidRPr="00823585" w:rsidRDefault="006F2F4F" w:rsidP="00F175A1">
            <w:pPr>
              <w:pStyle w:val="Normal6"/>
              <w:rPr>
                <w:szCs w:val="24"/>
              </w:rPr>
            </w:pPr>
            <w:r>
              <w:t>1.</w:t>
            </w:r>
            <w:r>
              <w:tab/>
            </w:r>
            <w:r>
              <w:rPr>
                <w:b/>
                <w:i/>
              </w:rPr>
              <w:t>Lai varētu ātrāk pieņe</w:t>
            </w:r>
            <w:r>
              <w:rPr>
                <w:b/>
                <w:i/>
              </w:rPr>
              <w:t>mt darbā reģistrētus trešo valstu darba meklētājus, dalībvalstis ievieš</w:t>
            </w:r>
            <w:r>
              <w:t xml:space="preserve"> paātrinātas imigrācijas procedūras</w:t>
            </w:r>
            <w:r>
              <w:rPr>
                <w:b/>
                <w:i/>
              </w:rPr>
              <w:t xml:space="preserve"> reģistrētiem darba meklētājiem no trešām valstīm</w:t>
            </w:r>
            <w:r>
              <w:t xml:space="preserve">, </w:t>
            </w:r>
            <w:r>
              <w:rPr>
                <w:b/>
                <w:i/>
              </w:rPr>
              <w:t>kurus pieņem darbā profesijās, kurās trūkst darbaspēka, un reģistrētiem</w:t>
            </w:r>
            <w:r>
              <w:t xml:space="preserve"> darba </w:t>
            </w:r>
            <w:r>
              <w:rPr>
                <w:b/>
                <w:i/>
              </w:rPr>
              <w:t>meklētājiem no trešām</w:t>
            </w:r>
            <w:r>
              <w:rPr>
                <w:b/>
                <w:i/>
              </w:rPr>
              <w:t xml:space="preserve"> valstīm</w:t>
            </w:r>
            <w:r>
              <w:t xml:space="preserve">, </w:t>
            </w:r>
            <w:r>
              <w:rPr>
                <w:b/>
                <w:i/>
              </w:rPr>
              <w:t>kas saņēmuši “ES talantu partnerības apliecību” partnerībā, kurā attiecīgā dalībvalsts ir piedalījusies</w:t>
            </w:r>
            <w:r>
              <w:t xml:space="preserve">. </w:t>
            </w:r>
            <w:r>
              <w:rPr>
                <w:b/>
                <w:i/>
              </w:rPr>
              <w:t>Informāciju par šīm paātrinātajām procedūrām dara pieejamu gan darba devējiem, gan darba meklētājiem no trešām valstīm agrīnā darbā pieņemšan</w:t>
            </w:r>
            <w:r>
              <w:rPr>
                <w:b/>
                <w:i/>
              </w:rPr>
              <w:t>as procesa posmā.</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pPr>
        <w:pStyle w:val="AMNumberTabs0"/>
        <w:keepNext/>
      </w:pPr>
      <w:r>
        <w:rPr>
          <w:rStyle w:val="HideTWBExt"/>
          <w:lang w:val="en-GB"/>
        </w:rPr>
        <w:lastRenderedPageBreak/>
        <w:t>&lt;/Amend&gt;&lt;Amend&gt;</w:t>
      </w:r>
      <w:r>
        <w:t>Grozījums Nr.</w:t>
      </w:r>
      <w:r>
        <w:tab/>
      </w:r>
      <w:r>
        <w:tab/>
      </w:r>
      <w:r>
        <w:rPr>
          <w:rStyle w:val="HideTWBExt"/>
          <w:lang w:val="en-GB"/>
        </w:rPr>
        <w:t>&lt;NumAm&gt;</w:t>
      </w:r>
      <w:r>
        <w:t>105</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19. pants – 2. punkts – ievaddaļa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r>
            <w:r>
              <w:t xml:space="preserve">Šā panta 1. punktā </w:t>
            </w:r>
            <w:r>
              <w:rPr>
                <w:b/>
                <w:i/>
              </w:rPr>
              <w:t>minētā procedūra var aptvert</w:t>
            </w:r>
            <w:r>
              <w:t xml:space="preserve"> šādas darbības:</w:t>
            </w:r>
          </w:p>
        </w:tc>
        <w:tc>
          <w:tcPr>
            <w:tcW w:w="4876" w:type="dxa"/>
            <w:hideMark/>
          </w:tcPr>
          <w:p w:rsidR="004B69B0" w:rsidRPr="00823585" w:rsidRDefault="006F2F4F" w:rsidP="00F175A1">
            <w:pPr>
              <w:pStyle w:val="Normal6"/>
              <w:rPr>
                <w:szCs w:val="24"/>
              </w:rPr>
            </w:pPr>
            <w:r>
              <w:t>2.</w:t>
            </w:r>
            <w:r>
              <w:tab/>
              <w:t xml:space="preserve">Šā panta 1. punktā </w:t>
            </w:r>
            <w:r>
              <w:rPr>
                <w:b/>
                <w:i/>
              </w:rPr>
              <w:t>minētās paātrinātās imigrācijas procedūras aptver</w:t>
            </w:r>
            <w:r>
              <w:t xml:space="preserve"> šādas darbības:</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106</w:t>
      </w:r>
      <w:r>
        <w:rPr>
          <w:rStyle w:val="HideTWBExt"/>
          <w:lang w:val="en-GB"/>
        </w:rPr>
        <w:t>&lt;/NumAm&gt;</w:t>
      </w:r>
    </w:p>
    <w:p w:rsidR="004B69B0" w:rsidRPr="00823585" w:rsidRDefault="006F2F4F" w:rsidP="004B69B0">
      <w:pPr>
        <w:pStyle w:val="NormalBold12b"/>
        <w:keepNext/>
      </w:pPr>
      <w:r>
        <w:rPr>
          <w:rStyle w:val="HideTWBExt"/>
        </w:rPr>
        <w:t>&lt;DocAmend&gt;</w:t>
      </w:r>
      <w:r>
        <w:t>Regulas pri</w:t>
      </w:r>
      <w:r>
        <w:t>ekšlikums</w:t>
      </w:r>
      <w:r>
        <w:rPr>
          <w:rStyle w:val="HideTWBExt"/>
        </w:rPr>
        <w:t>&lt;/DocAmend&gt;</w:t>
      </w:r>
    </w:p>
    <w:p w:rsidR="004B69B0" w:rsidRPr="00823585" w:rsidRDefault="006F2F4F" w:rsidP="004B69B0">
      <w:pPr>
        <w:pStyle w:val="NormalBold"/>
      </w:pPr>
      <w:r>
        <w:rPr>
          <w:rStyle w:val="HideTWBExt"/>
        </w:rPr>
        <w:t>&lt;Article&gt;</w:t>
      </w:r>
      <w:r>
        <w:t>19. pants – 2.a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 xml:space="preserve">2.a </w:t>
            </w:r>
            <w:r>
              <w:rPr>
                <w:b/>
                <w:i/>
              </w:rPr>
              <w:tab/>
              <w:t xml:space="preserve">Dalībvalstis var nolemt 1. punktā minētās paātrinātās imigrācijas procedūras piemērot atsevišķiem darba meklētājiem no trešām valstīm, </w:t>
            </w:r>
            <w:r>
              <w:rPr>
                <w:b/>
                <w:i/>
              </w:rPr>
              <w:t>kuri jau iepriekš tikuši pieņemti darbā, izmantojot ES Talantu fondu.</w:t>
            </w:r>
          </w:p>
        </w:tc>
      </w:tr>
    </w:tbl>
    <w:p w:rsidR="004B69B0" w:rsidRPr="00823585" w:rsidRDefault="006F2F4F" w:rsidP="004B69B0">
      <w:pPr>
        <w:pStyle w:val="Olang"/>
        <w:rPr>
          <w:rStyle w:val="HideTWBExt"/>
          <w:noProof w:val="0"/>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107</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19.a pants (jauns)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 xml:space="preserve">Komisijas </w:t>
            </w:r>
            <w:r>
              <w:t>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6F2F4F" w:rsidP="00F175A1">
            <w:pPr>
              <w:pStyle w:val="Normal6"/>
              <w:jc w:val="center"/>
              <w:rPr>
                <w:b/>
                <w:i/>
              </w:rPr>
            </w:pPr>
            <w:r>
              <w:rPr>
                <w:b/>
                <w:i/>
              </w:rPr>
              <w:t>19.a pants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tcPr>
          <w:p w:rsidR="004B69B0" w:rsidRPr="00823585" w:rsidRDefault="004B69B0" w:rsidP="00F175A1">
            <w:pPr>
              <w:pStyle w:val="Normal6"/>
              <w:rPr>
                <w:b/>
                <w:i/>
                <w:lang w:val="en-GB"/>
              </w:rPr>
            </w:pP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Normal6"/>
              <w:rPr>
                <w:szCs w:val="24"/>
              </w:rPr>
            </w:pPr>
            <w:r>
              <w:rPr>
                <w:b/>
                <w:i/>
              </w:rPr>
              <w:t xml:space="preserve">Trešo valstu valstspiederīgie, kas ir atlasīti darba vakancei ES Talantu fondā, var izmantot arī 17., 18. un 19. pantā noteiktās tiesības.  </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lastRenderedPageBreak/>
        <w:t>&lt;Amend&gt;</w:t>
      </w:r>
      <w:r>
        <w:t>Grozījums Nr.</w:t>
      </w:r>
      <w:r>
        <w:tab/>
      </w:r>
      <w:r>
        <w:tab/>
      </w:r>
      <w:r>
        <w:rPr>
          <w:rStyle w:val="HideTWBExt"/>
          <w:lang w:val="en-GB"/>
        </w:rPr>
        <w:t>&lt;NumAm&gt;</w:t>
      </w:r>
      <w:r>
        <w:t>108</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20. pants – 1. punkts – ievaddaļa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1.</w:t>
            </w:r>
            <w:r>
              <w:tab/>
              <w:t xml:space="preserve">ES talantu fonda darbību regulāri uzrauga ES talantu fonda sekretariāts saskaņā ar 8. panta </w:t>
            </w:r>
            <w:r>
              <w:t>2. punkta e) apakšpunktu. Jo īpaši jāapkopo šādi dati:</w:t>
            </w:r>
          </w:p>
        </w:tc>
        <w:tc>
          <w:tcPr>
            <w:tcW w:w="4876" w:type="dxa"/>
            <w:hideMark/>
          </w:tcPr>
          <w:p w:rsidR="004B69B0" w:rsidRPr="00823585" w:rsidRDefault="006F2F4F" w:rsidP="00F175A1">
            <w:pPr>
              <w:pStyle w:val="Normal6"/>
              <w:rPr>
                <w:szCs w:val="24"/>
              </w:rPr>
            </w:pPr>
            <w:r>
              <w:t>1.</w:t>
            </w:r>
            <w:r>
              <w:tab/>
              <w:t xml:space="preserve">ES Talantu fonda darbību regulāri uzrauga ES Talantu fonda sekretariāts saskaņā ar 8. panta 2. punkta e) apakšpunktu. Jo īpaši jāapkopo šādi </w:t>
            </w:r>
            <w:r>
              <w:rPr>
                <w:b/>
                <w:i/>
              </w:rPr>
              <w:t xml:space="preserve">pa dzimumiem sadalīti </w:t>
            </w:r>
            <w:r>
              <w:t>dati:</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w:t>
      </w:r>
      <w:r w:rsidRPr="00823585">
        <w:rPr>
          <w:rStyle w:val="HideTWBExt"/>
          <w:noProof w:val="0"/>
          <w:lang w:val="en-GB"/>
        </w:rPr>
        <w:t>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109</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20. pants – 1. punkts – fa apakšpunkts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tcPr>
          <w:p w:rsidR="004B69B0" w:rsidRPr="00823585" w:rsidRDefault="004B69B0" w:rsidP="00F175A1">
            <w:pPr>
              <w:pStyle w:val="Normal6"/>
              <w:rPr>
                <w:lang w:val="en-GB"/>
              </w:rPr>
            </w:pPr>
          </w:p>
        </w:tc>
        <w:tc>
          <w:tcPr>
            <w:tcW w:w="4876" w:type="dxa"/>
            <w:hideMark/>
          </w:tcPr>
          <w:p w:rsidR="004B69B0" w:rsidRPr="00823585" w:rsidRDefault="006F2F4F" w:rsidP="00F175A1">
            <w:pPr>
              <w:pStyle w:val="CommentText"/>
              <w:rPr>
                <w:b/>
                <w:sz w:val="24"/>
                <w:szCs w:val="24"/>
              </w:rPr>
            </w:pPr>
            <w:r>
              <w:rPr>
                <w:b/>
                <w:i/>
                <w:sz w:val="24"/>
              </w:rPr>
              <w:t>(fa)</w:t>
            </w:r>
            <w:r>
              <w:rPr>
                <w:b/>
                <w:i/>
                <w:sz w:val="24"/>
              </w:rPr>
              <w:tab/>
              <w:t xml:space="preserve">to profilu skaits, kuri ES Talantu fonda IT </w:t>
            </w:r>
            <w:r>
              <w:rPr>
                <w:b/>
                <w:i/>
                <w:sz w:val="24"/>
              </w:rPr>
              <w:t>platformā dzēsti saskaņā ar 11. panta 2.b punktu;</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Pr="00823585" w:rsidRDefault="006F2F4F" w:rsidP="004B69B0">
      <w:r>
        <w:rPr>
          <w:rStyle w:val="HideTWBExt"/>
        </w:rPr>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110</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20. pants – 3.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3.</w:t>
            </w:r>
            <w:r>
              <w:tab/>
              <w:t>ES talantu fonda sekretariāts apkopo 1. punktā minētos datus ar ES talantu fonda valstu kontaktpunktu un ES talantu fonda vadības grupas atbalstu.</w:t>
            </w:r>
          </w:p>
        </w:tc>
        <w:tc>
          <w:tcPr>
            <w:tcW w:w="4876" w:type="dxa"/>
            <w:hideMark/>
          </w:tcPr>
          <w:p w:rsidR="004B69B0" w:rsidRPr="00823585" w:rsidRDefault="006F2F4F" w:rsidP="00F175A1">
            <w:pPr>
              <w:pStyle w:val="Normal6"/>
              <w:rPr>
                <w:szCs w:val="24"/>
              </w:rPr>
            </w:pPr>
            <w:r>
              <w:t>3.</w:t>
            </w:r>
            <w:r>
              <w:tab/>
              <w:t xml:space="preserve">ES Talantu fonda sekretariāts apkopo 1. punktā minētos datus ar ES Talantu fonda valstu </w:t>
            </w:r>
            <w:r>
              <w:t>kontaktpunktu un ES Talantu fonda vadības grupas atbalstu</w:t>
            </w:r>
            <w:r>
              <w:rPr>
                <w:b/>
                <w:i/>
              </w:rPr>
              <w:t>, kā arī sadarbībā ar sociālajiem partneriem un pilsoniskās sabiedrības organizācijām, it īpaši tām, kas strādā ar trešo valstu valstspiederīgajiem un personām ar invaliditāti</w:t>
            </w:r>
            <w:r>
              <w:t>.</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w:t>
      </w:r>
      <w:r w:rsidRPr="00823585">
        <w:rPr>
          <w:rStyle w:val="HideTWBExt"/>
          <w:noProof w:val="0"/>
          <w:lang w:val="en-GB"/>
        </w:rPr>
        <w:t>/Original&gt;</w:t>
      </w:r>
    </w:p>
    <w:p w:rsidR="004B69B0" w:rsidRPr="00823585" w:rsidRDefault="006F2F4F" w:rsidP="004B69B0">
      <w:r>
        <w:rPr>
          <w:rStyle w:val="HideTWBExt"/>
        </w:rPr>
        <w:lastRenderedPageBreak/>
        <w:t>&lt;/Amend&gt;</w:t>
      </w:r>
    </w:p>
    <w:p w:rsidR="004B69B0" w:rsidRPr="00823585" w:rsidRDefault="006F2F4F" w:rsidP="004B69B0">
      <w:pPr>
        <w:pStyle w:val="AMNumberTabs0"/>
        <w:keepNext/>
      </w:pPr>
      <w:r>
        <w:rPr>
          <w:rStyle w:val="HideTWBExt"/>
          <w:lang w:val="en-GB"/>
        </w:rPr>
        <w:t>&lt;Amend&gt;</w:t>
      </w:r>
      <w:r>
        <w:t>Grozījums Nr.</w:t>
      </w:r>
      <w:r>
        <w:tab/>
      </w:r>
      <w:r>
        <w:tab/>
      </w:r>
      <w:r>
        <w:rPr>
          <w:rStyle w:val="HideTWBExt"/>
          <w:lang w:val="en-GB"/>
        </w:rPr>
        <w:t>&lt;NumAm&gt;</w:t>
      </w:r>
      <w:r>
        <w:t>111</w:t>
      </w:r>
      <w:r>
        <w:rPr>
          <w:rStyle w:val="HideTWBExt"/>
          <w:lang w:val="en-GB"/>
        </w:rPr>
        <w:t>&lt;/NumAm&gt;</w:t>
      </w:r>
    </w:p>
    <w:p w:rsidR="004B69B0" w:rsidRPr="00823585" w:rsidRDefault="006F2F4F" w:rsidP="004B69B0">
      <w:pPr>
        <w:pStyle w:val="NormalBold12b"/>
        <w:keepNext/>
      </w:pPr>
      <w:r>
        <w:rPr>
          <w:rStyle w:val="HideTWBExt"/>
        </w:rPr>
        <w:t>&lt;DocAmend&gt;</w:t>
      </w:r>
      <w:r>
        <w:t>Regulas priekšlikums</w:t>
      </w:r>
      <w:r>
        <w:rPr>
          <w:rStyle w:val="HideTWBExt"/>
        </w:rPr>
        <w:t>&lt;/DocAmend&gt;</w:t>
      </w:r>
    </w:p>
    <w:p w:rsidR="004B69B0" w:rsidRPr="00823585" w:rsidRDefault="006F2F4F" w:rsidP="004B69B0">
      <w:pPr>
        <w:pStyle w:val="NormalBold"/>
      </w:pPr>
      <w:r>
        <w:rPr>
          <w:rStyle w:val="HideTWBExt"/>
        </w:rPr>
        <w:t>&lt;Article&gt;</w:t>
      </w:r>
      <w:r>
        <w:t>24. pants – 2. 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7295" w:rsidTr="00F175A1">
        <w:trPr>
          <w:jc w:val="center"/>
        </w:trPr>
        <w:tc>
          <w:tcPr>
            <w:tcW w:w="9752" w:type="dxa"/>
            <w:gridSpan w:val="2"/>
          </w:tcPr>
          <w:p w:rsidR="004B69B0" w:rsidRPr="00823585" w:rsidRDefault="004B69B0" w:rsidP="00F175A1">
            <w:pPr>
              <w:keepNext/>
            </w:pPr>
          </w:p>
        </w:tc>
      </w:tr>
      <w:tr w:rsidR="00707295" w:rsidTr="00F175A1">
        <w:trPr>
          <w:jc w:val="center"/>
        </w:trPr>
        <w:tc>
          <w:tcPr>
            <w:tcW w:w="4876" w:type="dxa"/>
            <w:hideMark/>
          </w:tcPr>
          <w:p w:rsidR="004B69B0" w:rsidRPr="00823585" w:rsidRDefault="006F2F4F" w:rsidP="00F175A1">
            <w:pPr>
              <w:pStyle w:val="ColumnHeading"/>
              <w:keepNext/>
            </w:pPr>
            <w:r>
              <w:t>Komisijas ierosinātais teksts</w:t>
            </w:r>
          </w:p>
        </w:tc>
        <w:tc>
          <w:tcPr>
            <w:tcW w:w="4876" w:type="dxa"/>
            <w:hideMark/>
          </w:tcPr>
          <w:p w:rsidR="004B69B0" w:rsidRPr="00823585" w:rsidRDefault="006F2F4F" w:rsidP="00F175A1">
            <w:pPr>
              <w:pStyle w:val="ColumnHeading"/>
              <w:keepNext/>
            </w:pPr>
            <w:r>
              <w:t>Grozījums</w:t>
            </w:r>
          </w:p>
        </w:tc>
      </w:tr>
      <w:tr w:rsidR="00707295" w:rsidTr="00F175A1">
        <w:trPr>
          <w:jc w:val="center"/>
        </w:trPr>
        <w:tc>
          <w:tcPr>
            <w:tcW w:w="4876" w:type="dxa"/>
            <w:hideMark/>
          </w:tcPr>
          <w:p w:rsidR="004B69B0" w:rsidRPr="00823585" w:rsidRDefault="006F2F4F" w:rsidP="00F175A1">
            <w:pPr>
              <w:pStyle w:val="Normal6"/>
            </w:pPr>
            <w:r>
              <w:t>2.</w:t>
            </w:r>
            <w:r>
              <w:tab/>
              <w:t xml:space="preserve">Šī regula uzliek saistības kopumā un ir tieši piemērojama </w:t>
            </w:r>
            <w:r>
              <w:rPr>
                <w:b/>
                <w:i/>
              </w:rPr>
              <w:t xml:space="preserve">iesaistītajās </w:t>
            </w:r>
            <w:r>
              <w:t>dalībvalstīs saskaņā ar Līgumiem.</w:t>
            </w:r>
          </w:p>
        </w:tc>
        <w:tc>
          <w:tcPr>
            <w:tcW w:w="4876" w:type="dxa"/>
            <w:hideMark/>
          </w:tcPr>
          <w:p w:rsidR="004B69B0" w:rsidRPr="00823585" w:rsidRDefault="006F2F4F" w:rsidP="00F175A1">
            <w:pPr>
              <w:pStyle w:val="Normal6"/>
              <w:rPr>
                <w:szCs w:val="24"/>
              </w:rPr>
            </w:pPr>
            <w:r>
              <w:t>2.</w:t>
            </w:r>
            <w:r>
              <w:tab/>
              <w:t>Šī regula uzliek saistības kopumā un ir tieši piemērojama dalībvalstīs saskaņā ar Līgumiem.</w:t>
            </w:r>
          </w:p>
        </w:tc>
      </w:tr>
    </w:tbl>
    <w:p w:rsidR="004B69B0" w:rsidRPr="00823585" w:rsidRDefault="006F2F4F" w:rsidP="004B69B0">
      <w:pPr>
        <w:pStyle w:val="Olang"/>
        <w:rPr>
          <w:lang w:val="en-GB"/>
        </w:rPr>
      </w:pPr>
      <w:r w:rsidRPr="00823585">
        <w:rPr>
          <w:noProof w:val="0"/>
          <w:lang w:val="en-GB"/>
        </w:rPr>
        <w:t xml:space="preserve">Or. </w:t>
      </w:r>
      <w:r w:rsidRPr="00823585">
        <w:rPr>
          <w:rStyle w:val="HideTWBExt"/>
          <w:noProof w:val="0"/>
          <w:lang w:val="en-GB"/>
        </w:rPr>
        <w:t>&lt;Original&gt;</w:t>
      </w:r>
      <w:r w:rsidRPr="00823585">
        <w:rPr>
          <w:rStyle w:val="HideTWBInt"/>
          <w:noProof w:val="0"/>
          <w:lang w:val="en-GB"/>
        </w:rPr>
        <w:t>{EN}</w:t>
      </w:r>
      <w:r w:rsidRPr="00823585">
        <w:rPr>
          <w:noProof w:val="0"/>
          <w:lang w:val="en-GB"/>
        </w:rPr>
        <w:t>en</w:t>
      </w:r>
      <w:r w:rsidRPr="00823585">
        <w:rPr>
          <w:rStyle w:val="HideTWBExt"/>
          <w:noProof w:val="0"/>
          <w:lang w:val="en-GB"/>
        </w:rPr>
        <w:t>&lt;/Original&gt;</w:t>
      </w:r>
    </w:p>
    <w:p w:rsidR="004B69B0" w:rsidRDefault="006F2F4F" w:rsidP="004B69B0">
      <w:pPr>
        <w:rPr>
          <w:rStyle w:val="HideTWBExt"/>
        </w:rPr>
        <w:sectPr w:rsidR="004B69B0" w:rsidSect="00455743">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sectPr>
      </w:pPr>
      <w:r>
        <w:rPr>
          <w:rStyle w:val="HideTWBExt"/>
        </w:rPr>
        <w:t>&lt;/Amend&gt;&lt;/RepeatBlock-Amend&gt;</w:t>
      </w:r>
    </w:p>
    <w:p w:rsidR="004B69B0" w:rsidRPr="004B69B0" w:rsidRDefault="006F2F4F" w:rsidP="004B69B0">
      <w:pPr>
        <w:pStyle w:val="PageHeading"/>
      </w:pPr>
      <w:bookmarkStart w:id="3" w:name="_Toc188018278"/>
      <w:r>
        <w:t>PASKAIDROJUMS</w:t>
      </w:r>
      <w:bookmarkEnd w:id="3"/>
    </w:p>
    <w:p w:rsidR="004B69B0" w:rsidRPr="00823585" w:rsidRDefault="006F2F4F" w:rsidP="004B69B0">
      <w:pPr>
        <w:spacing w:after="240"/>
      </w:pPr>
      <w:r>
        <w:t>Eiropas Savienība un tās dalībvalstis ļoti daudzās nozarēs — no būvniecības un veselības aprūpes līdz inženierzinātņu un informācijas un komunikācijas tehnoloģiju nozarei — saskaras ar darbaspēka trūkumu. Demogrāf</w:t>
      </w:r>
      <w:r>
        <w:t>isko tendenču dēļ darbaspēka trūkums nākamajos gados, visticamāk, saasināsies, Eiropai par talantiem globāli sacenšoties ar citiem kontinentiem un atsevišķām valstīm. Prasmju neatbilstība Eiropas darba tirgū arī rada ekonomikas zaudējumus līdz 2 % apmērā n</w:t>
      </w:r>
      <w:r>
        <w:t>o ikgadējās produktivitātes. Vienlaikus ir nepieciešams lielāks skaits likumīgu kanālu, lai novērstu neatbilstīgu migrāciju. Tā kā migrācija ir dabisks fenomens, kas turpinās pastāvēt, cita starpā arī klimata pārmaiņu un starptautisko norišu dēļ, ir kritis</w:t>
      </w:r>
      <w:r>
        <w:t>ki svarīga kopēja Eiropas pieeja likumīgai darbaspēka migrācijai.</w:t>
      </w:r>
    </w:p>
    <w:p w:rsidR="004B69B0" w:rsidRPr="00823585" w:rsidRDefault="006F2F4F" w:rsidP="004B69B0">
      <w:pPr>
        <w:spacing w:after="240"/>
      </w:pPr>
      <w:r>
        <w:t>Tādējādi ir acīmredzams, ka, lai Eiropa uzturētu savu konkurētspēju un sekmētu ekonomikas izaugsmi, tai ir jāsaglabā atvērtība pasaulei. Eiropai ir jāpiesaista visu līmeņu prasmes, kas ir ti</w:t>
      </w:r>
      <w:r>
        <w:t>eši un netieši vajadzīgas zaļās un digitālās pārkārtošanās norisei, pastāvīgai mūsu sociālās drošības sistēmu kvalitātei un Eiropas labklājībai. Tajā pašā laikā, tā kā Eiropa neatrodas vakuumā, ir arī skaidrs, ka ir būtiskas spēcīgas un ilgtspējīgas partne</w:t>
      </w:r>
      <w:r>
        <w:t>rības ar trešām valstīm. Talantu partnerības var palīdzēt sekmēt prasmju pilnveidi un labus darba apstākļus trešās valstīs, vienlaikus veicinot cirkulāro migrāciju, lai novērstu intelektuālā darbaspēka emigrāciju.</w:t>
      </w:r>
    </w:p>
    <w:p w:rsidR="004B69B0" w:rsidRPr="00823585" w:rsidRDefault="006F2F4F" w:rsidP="004B69B0">
      <w:pPr>
        <w:spacing w:after="240"/>
      </w:pPr>
      <w:r>
        <w:t>Tomēr, lai nodrošinātu efektīvāku faktisko</w:t>
      </w:r>
      <w:r>
        <w:t xml:space="preserve"> piemeklēšanu starp darba devējiem un trešo valstu valstspiederīgajiem, ir izveidots ES Talantu fonds. Šis ir atzinīgi vērtēts priekšlikums, ko Eiropas Parlaments bija pieprasījis vairākos leģislatīvajos ziņojumos. ES Talantu fonds būs pirmā ES mēroga plat</w:t>
      </w:r>
      <w:r>
        <w:t xml:space="preserve">forma, kuras mērķis ir atvieglot piemeklēšanu starp trešo valstu valstspiederīgajiem un Savienībā iedibinātiem darba devējiem. Tas smelsies iedvesmu no </w:t>
      </w:r>
      <w:r>
        <w:rPr>
          <w:i/>
          <w:iCs/>
        </w:rPr>
        <w:t>EURES</w:t>
      </w:r>
      <w:r>
        <w:t> — jau pastāvošās platformas, kurā notiek piemeklēšana starp ES pilsoņiem un darba devējiem, taču t</w:t>
      </w:r>
      <w:r>
        <w:t>as būs arī plašāks rīks. Tas papildinās esošos pasākumus un iniciatīvas un tādējādi nejauksies atsevišķu dalībvalstu kompetencē, piemēram, tiesībās noteikt to trešo valstu valstspiederīgo skaitu, kas tiek uzņemti darba nolūkā.</w:t>
      </w:r>
    </w:p>
    <w:p w:rsidR="004B69B0" w:rsidRPr="00823585" w:rsidRDefault="006F2F4F" w:rsidP="004B69B0">
      <w:pPr>
        <w:spacing w:after="240"/>
      </w:pPr>
      <w:r>
        <w:t>Pretēji Eiropas Komisijas pri</w:t>
      </w:r>
      <w:r>
        <w:t xml:space="preserve">ekšlikumam ziņojuma projektā ir paredzēts, ka ES Talantu fondu īsteno visas dalībvalstis. Tā kā darbaspēka trūkums ir Savienības mēroga problēma un ES </w:t>
      </w:r>
      <w:r>
        <w:lastRenderedPageBreak/>
        <w:t>Talantu fonda mērķis ir kalpot par kopēju platformu, lai apvienotu trešo valstu valstspiederīgos un Eirop</w:t>
      </w:r>
      <w:r>
        <w:t>as darba devējus, tam būtu jāpastāv visās dalībvalstīs, lai uzlabotu prognozējamību, pārredzamību un juridisko noteiktību ikvienam tā lietotājam. Darba devēji un trešo valstu valstspiederīgie joprojām varēs brīvi izvēlēties, vai izmantot ES Talantu fondu i</w:t>
      </w:r>
      <w:r>
        <w:t>espēju meklēšanai, taču kopēja īstenošana visā ES sekmēs piekļuvi platformai. Tā arī palīdzēs atrisināt vienu no galvenajām Eiropas mūsdienu darbaspēka migrācijas politikas problēmām, proti, sadrumstalotību.</w:t>
      </w:r>
    </w:p>
    <w:p w:rsidR="004B69B0" w:rsidRPr="00823585" w:rsidRDefault="006F2F4F" w:rsidP="004B69B0">
      <w:pPr>
        <w:spacing w:after="240"/>
      </w:pPr>
      <w:r>
        <w:t>Ziņojuma projekts, pilnveidojot Eiropas Komisija</w:t>
      </w:r>
      <w:r>
        <w:t xml:space="preserve">s priekšlikumu, arī nostiprina divus būtiskus ES Talantu fonda stūrakmeņus. Pirmkārt, tas nostiprina trešo valstu valstspiederīgo aizsardzību pret diskrimināciju un netaisnīgu pieņemšanu darbā, ciešāk saskaņojot ES Talantu fondu ar Vispārīgajiem taisnīgas </w:t>
      </w:r>
      <w:r>
        <w:t>darbā pieņemšanas principiem un darbības vadlīnijām, ko izstrādājusi Starptautiskā Darba organizācija (SDO). Tādējādi tā mērķis ir novērst nepilnību Eiropas tiesiskajā regulējumā, kurā līdz šim nav bijis kopīgu noteikumu par darbā pieņemšanas procedūrām. O</w:t>
      </w:r>
      <w:r>
        <w:t>trkārt, tas uzlabo ES Talantu fonda savienotību ar darba tirgus attīstību un tādējādi ar Eiropas darba devēju faktiskajām vajadzībām, ES Talantu fonda pārvaldībā skaidrāk iesaistot sociālos partnerus un citas ieinteresētās personas.</w:t>
      </w:r>
    </w:p>
    <w:p w:rsidR="004B69B0" w:rsidRPr="00823585" w:rsidRDefault="006F2F4F" w:rsidP="004B69B0">
      <w:pPr>
        <w:spacing w:after="240"/>
      </w:pPr>
      <w:r>
        <w:t xml:space="preserve">Šo stūrakmeņu gadījumā </w:t>
      </w:r>
      <w:r>
        <w:t xml:space="preserve">svarīgs elements ir informācija. Tādēļ ir precizēti un nostiprināti informācijas un atbalsta pakalpojumu noteikumi. Ziņojuma projektā ir nodalīts, kādai informācijai vajadzētu būt publiski pieejamai visiem (potenciālajiem) trešo valstu valstspiederīgajiem </w:t>
      </w:r>
      <w:r>
        <w:t>un darba devējiem un kāda informācija būtu jānodrošina trešās valsts valstspiederīgajam pēc darba devēja piemeklēšanas. Papildus informācijai kritiski svarīga ir piekļūstamība, lai nodrošinātu visu lietotāju vienlīdzīgu piekļuvi platformai. Ar ziņojuma pro</w:t>
      </w:r>
      <w:r>
        <w:t>jektu tiek ieviestas piekļūstamības prasības attiecībā uz visu ES Talantu fondu, ietverot informāciju par datu aizsardzību, ka arī informāciju, ko sniedz pašā platformā.</w:t>
      </w:r>
    </w:p>
    <w:p w:rsidR="004B69B0" w:rsidRPr="00823585" w:rsidRDefault="006F2F4F" w:rsidP="004B69B0">
      <w:pPr>
        <w:spacing w:after="240"/>
      </w:pPr>
      <w:r>
        <w:t>Tāpat ziņojuma projekts paredz samērīgus nosacījumus dalībai ES Talantu fondā. Pirms t</w:t>
      </w:r>
      <w:r>
        <w:t>iek atļauta vakanču publicēšana platformā, darba devējiem būtu jāsniedz tāda informācija, ko valstu kontaktpunkti var pārbaudīt. Šāda informācija ietver, piemēram, sodāmības reģistra pārbaudi fiziskajai(-ām) personai(-ām), kas atbild par uzņēmumu, lai nepi</w:t>
      </w:r>
      <w:r>
        <w:t>eļautu ļaunprātīgu darba devēju atgriešanos platformā. Ar ziņojuma projektu tiek ieviesti noteikumi, ar ko saskaņā uz laiku var tikt apturēta darba devēja dalība tīri administratīva pārkāpuma gadījumā, bet ir arī paredzēta apturēšana uz nenoteiktu laiku, j</w:t>
      </w:r>
      <w:r>
        <w:t>a tiek pārkāpti piemērojamie tiesību akti cilvēku tirdzniecības apkarošanas jomā un piemērotas sankcijas tādu trešo valstu valstspiederīgo darba devējiem, kuri valstī uzturas nelikumīgi.</w:t>
      </w:r>
    </w:p>
    <w:p w:rsidR="004B69B0" w:rsidRPr="00823585" w:rsidRDefault="006F2F4F" w:rsidP="004B69B0">
      <w:pPr>
        <w:spacing w:after="240"/>
      </w:pPr>
      <w:r>
        <w:t>Vienlaikus ziņojuma projekts saglabā konkrētus proporcionalitātes not</w:t>
      </w:r>
      <w:r>
        <w:t>eikumus trešo valstu valstspiederīgajiem, ar ko saskaņā personai, uz kuru attiecas tiesas vai administratīvais lēmums, ar kuru atteikta ieceļošana vai uzturēšanās dalībvalstī, vai ieceļošanas aizliegums Savienībā, netiks atļauta reģistrācija, ņemot vērā to</w:t>
      </w:r>
      <w:r>
        <w:t>, ka tai patlaban nav atļauts ieceļot un uzturēties Savienībā. Tomēr šis noteikums ir līdzsvarots, jo trešo valstu valstspiederīgajiem tiek atļauts iesniegt jaunu pieprasījumu pēc tam, kad ir beidzies i</w:t>
      </w:r>
      <w:bookmarkStart w:id="4" w:name="_GoBack"/>
      <w:bookmarkEnd w:id="4"/>
      <w:r>
        <w:t xml:space="preserve">eceļošanas aizlieguma termiņš, vienlaikus nodrošinot, </w:t>
      </w:r>
      <w:r>
        <w:t>ka personas, kas notiesātas par noziedzīgiem nodarījumiem, kuri ir vai ietver draudus kādas dalībvalsts valsts drošībai, nekad nevarēs reģistrēties ES Talantu fondā.</w:t>
      </w:r>
    </w:p>
    <w:p w:rsidR="004B69B0" w:rsidRDefault="006F2F4F" w:rsidP="004B69B0">
      <w:r>
        <w:t>Visbeidzot, tā kā ES Talantu fonds balstīsies uz MI iespējotām automatizētajām piemeklēšan</w:t>
      </w:r>
      <w:r>
        <w:t xml:space="preserve">as sistēmām, lai atrastu konkrētai vakancei piemērotākās prasmes, ir svarīgi </w:t>
      </w:r>
      <w:r>
        <w:lastRenderedPageBreak/>
        <w:t>nodrošināt aizsardzības pasākumus pret neobjektivitāti diskriminācijas dēļ.</w:t>
      </w:r>
    </w:p>
    <w:p w:rsidR="004B69B0" w:rsidRDefault="004B69B0" w:rsidP="004B69B0">
      <w:pPr>
        <w:sectPr w:rsidR="004B69B0" w:rsidSect="004B69B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B69B0" w:rsidRPr="004B69B0" w:rsidRDefault="006F2F4F" w:rsidP="004B69B0">
      <w:pPr>
        <w:pStyle w:val="PageHeading"/>
      </w:pPr>
      <w:bookmarkStart w:id="5" w:name="_Toc188018279"/>
      <w:r>
        <w:lastRenderedPageBreak/>
        <w:t>PIELIKUMS. VIENĪBAS VAI PERSONAS,</w:t>
      </w:r>
      <w:r>
        <w:br/>
        <w:t>NO KURĀM REFERENTE IR SAŅĒMUSI PIENESUM</w:t>
      </w:r>
      <w:r>
        <w:t>U</w:t>
      </w:r>
      <w:bookmarkStart w:id="6" w:name="iEnd"/>
      <w:bookmarkEnd w:id="6"/>
      <w:bookmarkEnd w:id="5"/>
    </w:p>
    <w:p w:rsidR="004B69B0" w:rsidRPr="00823585" w:rsidRDefault="006F2F4F" w:rsidP="004B69B0">
      <w:pPr>
        <w:pStyle w:val="Normal24a"/>
      </w:pPr>
      <w:r>
        <w:rPr>
          <w:rStyle w:val="HideTWBExt"/>
        </w:rPr>
        <w:t>&lt;FootprintIntro&gt;</w:t>
      </w:r>
      <w:r>
        <w:t>Saskaņā ar Reglamenta I pielikuma 8. pantu referente apliecina, ka, gatavojot ziņojuma projektu, viņa ir saņēmusi informāciju no šādām vienībām vai personām:</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pStyle w:val="NormalBoldCenter"/>
            </w:pPr>
            <w:r>
              <w:t>Vienība un/vai persona</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Adecco Group</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BusinessEurope</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Confederation of Swedish Enterprises</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European Commission</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European Network of Migrant Women</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European Trade Union Confederation</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HOTREC</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International Labour Organisation</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International Organisation of Migration</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rPr>
                <w:color w:val="1E1E1F"/>
                <w:shd w:val="clear" w:color="auto" w:fill="FFFFFF"/>
              </w:rPr>
              <w:t xml:space="preserve">Platform for International Cooperation on </w:t>
            </w:r>
            <w:r>
              <w:rPr>
                <w:color w:val="1E1E1F"/>
                <w:shd w:val="clear" w:color="auto" w:fill="FFFFFF"/>
              </w:rPr>
              <w:t>Undocumented Migrants (PICUM)</w:t>
            </w:r>
          </w:p>
        </w:tc>
      </w:tr>
      <w:tr w:rsidR="00707295" w:rsidTr="00F175A1">
        <w:tc>
          <w:tcPr>
            <w:tcW w:w="9060" w:type="dxa"/>
            <w:tcBorders>
              <w:top w:val="single" w:sz="4" w:space="0" w:color="auto"/>
              <w:left w:val="single" w:sz="4" w:space="0" w:color="auto"/>
              <w:bottom w:val="single" w:sz="4" w:space="0" w:color="auto"/>
              <w:right w:val="single" w:sz="4" w:space="0" w:color="auto"/>
            </w:tcBorders>
            <w:hideMark/>
          </w:tcPr>
          <w:p w:rsidR="004B69B0" w:rsidRPr="00823585" w:rsidRDefault="006F2F4F" w:rsidP="00F175A1">
            <w:pPr>
              <w:rPr>
                <w:b/>
              </w:rPr>
            </w:pPr>
            <w:r>
              <w:t>Swedish Trade Union Confederation</w:t>
            </w:r>
          </w:p>
        </w:tc>
      </w:tr>
    </w:tbl>
    <w:p w:rsidR="004B69B0" w:rsidRPr="00823585" w:rsidRDefault="004B69B0" w:rsidP="004B69B0"/>
    <w:p w:rsidR="004B69B0" w:rsidRPr="00823585" w:rsidRDefault="006F2F4F" w:rsidP="004B69B0">
      <w:r>
        <w:t>Par šī saraksta sagatavošanu ir atbildīga vienīgi referente.</w:t>
      </w:r>
    </w:p>
    <w:p w:rsidR="004B69B0" w:rsidRDefault="004B69B0" w:rsidP="004B69B0"/>
    <w:p w:rsidR="004B69B0" w:rsidRPr="00823585" w:rsidRDefault="004B69B0" w:rsidP="004B69B0"/>
    <w:sectPr w:rsidR="004B69B0" w:rsidRPr="00823585" w:rsidSect="004B69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F2F4F">
      <w:r>
        <w:separator/>
      </w:r>
    </w:p>
  </w:endnote>
  <w:endnote w:type="continuationSeparator" w:id="0">
    <w:p w:rsidR="00000000" w:rsidRDefault="006F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5E25C4" w:rsidRDefault="006F2F4F" w:rsidP="00F07062">
    <w:pPr>
      <w:pStyle w:val="EPFooter"/>
    </w:pPr>
    <w:r w:rsidRPr="005E25C4">
      <w:t>PE</w:t>
    </w:r>
    <w:r w:rsidRPr="005E25C4">
      <w:rPr>
        <w:rStyle w:val="HideTWBExt"/>
      </w:rPr>
      <w:t>&lt;NoPE&gt;</w:t>
    </w:r>
    <w:r w:rsidR="004B69B0" w:rsidRPr="004B69B0">
      <w:t>766.973</w:t>
    </w:r>
    <w:r w:rsidRPr="005E25C4">
      <w:rPr>
        <w:rStyle w:val="HideTWBExt"/>
      </w:rPr>
      <w:t>&lt;/NoPE&gt;&lt;Version&gt;</w:t>
    </w:r>
    <w:r w:rsidR="005E25C4" w:rsidRPr="005E25C4">
      <w:t>v</w:t>
    </w:r>
    <w:r w:rsidR="004B69B0" w:rsidRPr="004B69B0">
      <w:t>01-00</w:t>
    </w:r>
    <w:r w:rsidRPr="005E25C4">
      <w:rPr>
        <w:rStyle w:val="HideTWBExt"/>
      </w:rPr>
      <w:t>&lt;/Version&gt;</w:t>
    </w:r>
    <w:r w:rsidRPr="005E25C4">
      <w:tab/>
    </w:r>
    <w:r w:rsidR="00914537" w:rsidRPr="005E25C4">
      <w:fldChar w:fldCharType="begin"/>
    </w:r>
    <w:r w:rsidR="00914537" w:rsidRPr="005E25C4">
      <w:instrText xml:space="preserve"> PAGE </w:instrText>
    </w:r>
    <w:r w:rsidR="00914537" w:rsidRPr="005E25C4">
      <w:fldChar w:fldCharType="separate"/>
    </w:r>
    <w:r>
      <w:rPr>
        <w:noProof/>
      </w:rPr>
      <w:t>66</w:t>
    </w:r>
    <w:r w:rsidR="00914537" w:rsidRPr="005E25C4">
      <w:fldChar w:fldCharType="end"/>
    </w:r>
    <w:r w:rsidR="00914537" w:rsidRPr="005E25C4">
      <w:t>/</w:t>
    </w:r>
    <w:r w:rsidR="00914537" w:rsidRPr="005E25C4">
      <w:rPr>
        <w:rStyle w:val="PageNumber"/>
      </w:rPr>
      <w:fldChar w:fldCharType="begin"/>
    </w:r>
    <w:r w:rsidR="00914537" w:rsidRPr="005E25C4">
      <w:rPr>
        <w:rStyle w:val="PageNumber"/>
      </w:rPr>
      <w:instrText xml:space="preserve"> NUMPAGES </w:instrText>
    </w:r>
    <w:r w:rsidR="00914537" w:rsidRPr="005E25C4">
      <w:rPr>
        <w:rStyle w:val="PageNumber"/>
      </w:rPr>
      <w:fldChar w:fldCharType="separate"/>
    </w:r>
    <w:r>
      <w:rPr>
        <w:rStyle w:val="PageNumber"/>
        <w:noProof/>
      </w:rPr>
      <w:t>73</w:t>
    </w:r>
    <w:r w:rsidR="00914537" w:rsidRPr="005E25C4">
      <w:rPr>
        <w:rStyle w:val="PageNumber"/>
      </w:rPr>
      <w:fldChar w:fldCharType="end"/>
    </w:r>
    <w:r w:rsidRPr="005E25C4">
      <w:tab/>
    </w:r>
    <w:r w:rsidRPr="005E25C4">
      <w:rPr>
        <w:rStyle w:val="HideTWBExt"/>
      </w:rPr>
      <w:t>&lt;PathFdR&gt;</w:t>
    </w:r>
    <w:r w:rsidR="004B69B0" w:rsidRPr="004B69B0">
      <w:t>PR\1312684LV.docx</w:t>
    </w:r>
    <w:r w:rsidRPr="005E25C4">
      <w:rPr>
        <w:rStyle w:val="HideTWBExt"/>
      </w:rPr>
      <w:t>&lt;/PathFdR&gt;</w:t>
    </w:r>
  </w:p>
  <w:p w:rsidR="00FB52FE" w:rsidRPr="005E25C4" w:rsidRDefault="006F2F4F">
    <w:pPr>
      <w:pStyle w:val="EPFooter2"/>
    </w:pPr>
    <w:r w:rsidRPr="005E25C4">
      <w:fldChar w:fldCharType="begin"/>
    </w:r>
    <w:r w:rsidRPr="005E25C4">
      <w:instrText xml:space="preserve"> DOCPROPERTY "&lt;Extension&gt;" </w:instrText>
    </w:r>
    <w:r w:rsidRPr="005E25C4">
      <w:fldChar w:fldCharType="separate"/>
    </w:r>
    <w:r>
      <w:t>LV</w:t>
    </w:r>
    <w:r w:rsidRPr="005E25C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5E25C4" w:rsidRDefault="006F2F4F" w:rsidP="00F07062">
    <w:pPr>
      <w:pStyle w:val="EPFooter"/>
    </w:pPr>
    <w:r w:rsidRPr="005E25C4">
      <w:rPr>
        <w:rStyle w:val="HideTWBExt"/>
      </w:rPr>
      <w:t>&lt;PathFdR&gt;</w:t>
    </w:r>
    <w:r w:rsidR="004B69B0" w:rsidRPr="004B69B0">
      <w:t>PR\1312684LV.docx</w:t>
    </w:r>
    <w:r w:rsidRPr="005E25C4">
      <w:rPr>
        <w:rStyle w:val="HideTWBExt"/>
      </w:rPr>
      <w:t>&lt;/PathFdR&gt;</w:t>
    </w:r>
    <w:r w:rsidRPr="005E25C4">
      <w:tab/>
    </w:r>
    <w:r w:rsidR="00914537" w:rsidRPr="005E25C4">
      <w:fldChar w:fldCharType="begin"/>
    </w:r>
    <w:r w:rsidR="00914537" w:rsidRPr="005E25C4">
      <w:instrText xml:space="preserve"> PAGE </w:instrText>
    </w:r>
    <w:r w:rsidR="00914537" w:rsidRPr="005E25C4">
      <w:fldChar w:fldCharType="separate"/>
    </w:r>
    <w:r>
      <w:rPr>
        <w:noProof/>
      </w:rPr>
      <w:t>67</w:t>
    </w:r>
    <w:r w:rsidR="00914537" w:rsidRPr="005E25C4">
      <w:fldChar w:fldCharType="end"/>
    </w:r>
    <w:r w:rsidR="00914537" w:rsidRPr="005E25C4">
      <w:t>/</w:t>
    </w:r>
    <w:r w:rsidR="00914537" w:rsidRPr="005E25C4">
      <w:rPr>
        <w:rStyle w:val="PageNumber"/>
      </w:rPr>
      <w:fldChar w:fldCharType="begin"/>
    </w:r>
    <w:r w:rsidR="00914537" w:rsidRPr="005E25C4">
      <w:rPr>
        <w:rStyle w:val="PageNumber"/>
      </w:rPr>
      <w:instrText xml:space="preserve"> NUMPAGES </w:instrText>
    </w:r>
    <w:r w:rsidR="00914537" w:rsidRPr="005E25C4">
      <w:rPr>
        <w:rStyle w:val="PageNumber"/>
      </w:rPr>
      <w:fldChar w:fldCharType="separate"/>
    </w:r>
    <w:r>
      <w:rPr>
        <w:rStyle w:val="PageNumber"/>
        <w:noProof/>
      </w:rPr>
      <w:t>73</w:t>
    </w:r>
    <w:r w:rsidR="00914537" w:rsidRPr="005E25C4">
      <w:rPr>
        <w:rStyle w:val="PageNumber"/>
      </w:rPr>
      <w:fldChar w:fldCharType="end"/>
    </w:r>
    <w:r w:rsidRPr="005E25C4">
      <w:tab/>
      <w:t>PE</w:t>
    </w:r>
    <w:r w:rsidRPr="005E25C4">
      <w:rPr>
        <w:rStyle w:val="HideTWBExt"/>
      </w:rPr>
      <w:t>&lt;NoPE&gt;</w:t>
    </w:r>
    <w:r w:rsidR="004B69B0" w:rsidRPr="004B69B0">
      <w:t>766.973</w:t>
    </w:r>
    <w:r w:rsidRPr="005E25C4">
      <w:rPr>
        <w:rStyle w:val="HideTWBExt"/>
      </w:rPr>
      <w:t>&lt;/NoPE&gt;&lt;Version&gt;</w:t>
    </w:r>
    <w:r w:rsidR="005E25C4" w:rsidRPr="005E25C4">
      <w:t>v</w:t>
    </w:r>
    <w:r w:rsidR="004B69B0" w:rsidRPr="004B69B0">
      <w:t>01-00</w:t>
    </w:r>
    <w:r w:rsidRPr="005E25C4">
      <w:rPr>
        <w:rStyle w:val="HideTWBExt"/>
      </w:rPr>
      <w:t>&lt;/Version&gt;</w:t>
    </w:r>
  </w:p>
  <w:p w:rsidR="00FB52FE" w:rsidRPr="005E25C4" w:rsidRDefault="006F2F4F">
    <w:pPr>
      <w:pStyle w:val="EPFooter2"/>
    </w:pPr>
    <w:r w:rsidRPr="005E25C4">
      <w:tab/>
    </w:r>
    <w:r w:rsidRPr="005E25C4">
      <w:tab/>
    </w:r>
    <w:fldSimple w:instr=" DOCPROPERTY &quot;&lt;Extension&gt;&quot; ">
      <w:r>
        <w:t>LV</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5E25C4" w:rsidRDefault="006F2F4F" w:rsidP="00F07062">
    <w:pPr>
      <w:pStyle w:val="EPFooter"/>
    </w:pPr>
    <w:r w:rsidRPr="005E25C4">
      <w:rPr>
        <w:rStyle w:val="HideTWBExt"/>
      </w:rPr>
      <w:t>&lt;PathFdR&gt;</w:t>
    </w:r>
    <w:r w:rsidR="004B69B0" w:rsidRPr="004B69B0">
      <w:t>PR\1312684LV.docx</w:t>
    </w:r>
    <w:r w:rsidRPr="005E25C4">
      <w:rPr>
        <w:rStyle w:val="HideTWBExt"/>
      </w:rPr>
      <w:t>&lt;/PathFdR&gt;</w:t>
    </w:r>
    <w:r w:rsidRPr="005E25C4">
      <w:tab/>
    </w:r>
    <w:r w:rsidRPr="005E25C4">
      <w:tab/>
      <w:t>PE</w:t>
    </w:r>
    <w:r w:rsidRPr="005E25C4">
      <w:rPr>
        <w:rStyle w:val="HideTWBExt"/>
      </w:rPr>
      <w:t>&lt;NoPE&gt;</w:t>
    </w:r>
    <w:r w:rsidR="004B69B0" w:rsidRPr="004B69B0">
      <w:t>766.973</w:t>
    </w:r>
    <w:r w:rsidRPr="005E25C4">
      <w:rPr>
        <w:rStyle w:val="HideTWBExt"/>
      </w:rPr>
      <w:t>&lt;/NoPE&gt;&lt;Version&gt;</w:t>
    </w:r>
    <w:r w:rsidR="005E25C4" w:rsidRPr="005E25C4">
      <w:t>v</w:t>
    </w:r>
    <w:r w:rsidR="004B69B0" w:rsidRPr="004B69B0">
      <w:t>01-00</w:t>
    </w:r>
    <w:r w:rsidRPr="005E25C4">
      <w:rPr>
        <w:rStyle w:val="HideTWBExt"/>
      </w:rPr>
      <w:t>&lt;/Version&gt;</w:t>
    </w:r>
  </w:p>
  <w:p w:rsidR="00FB52FE" w:rsidRPr="005E25C4" w:rsidRDefault="006F2F4F" w:rsidP="00461601">
    <w:pPr>
      <w:pStyle w:val="EPFooter2"/>
      <w:tabs>
        <w:tab w:val="clear" w:pos="4535"/>
        <w:tab w:val="center" w:pos="4536"/>
      </w:tabs>
    </w:pPr>
    <w:r w:rsidRPr="005E25C4">
      <w:fldChar w:fldCharType="begin"/>
    </w:r>
    <w:r w:rsidRPr="005E25C4">
      <w:instrText xml:space="preserve"> DOCPROPERTY "&lt;Extension&gt;" </w:instrText>
    </w:r>
    <w:r w:rsidRPr="005E25C4">
      <w:fldChar w:fldCharType="separate"/>
    </w:r>
    <w:r>
      <w:t>LV</w:t>
    </w:r>
    <w:r w:rsidRPr="005E25C4">
      <w:fldChar w:fldCharType="end"/>
    </w:r>
    <w:r w:rsidRPr="005E25C4">
      <w:tab/>
    </w:r>
    <w:r w:rsidR="004B69B0">
      <w:rPr>
        <w:b w:val="0"/>
        <w:i/>
        <w:color w:val="C0C0C0"/>
        <w:sz w:val="22"/>
        <w:szCs w:val="22"/>
      </w:rPr>
      <w:t>Vienoti daudzveidībā</w:t>
    </w:r>
    <w:r w:rsidRPr="005E25C4">
      <w:tab/>
    </w:r>
    <w:r w:rsidRPr="005E25C4">
      <w:fldChar w:fldCharType="begin"/>
    </w:r>
    <w:r w:rsidRPr="005E25C4">
      <w:instrText xml:space="preserve"> DOCPROPERTY "&lt;Extension&gt;" </w:instrText>
    </w:r>
    <w:r w:rsidRPr="005E25C4">
      <w:fldChar w:fldCharType="separate"/>
    </w:r>
    <w:r>
      <w:t>LV</w:t>
    </w:r>
    <w:r w:rsidRPr="005E25C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5C4" w:rsidRPr="005E25C4" w:rsidRDefault="006F2F4F">
      <w:r w:rsidRPr="005E25C4">
        <w:separator/>
      </w:r>
    </w:p>
  </w:footnote>
  <w:footnote w:type="continuationSeparator" w:id="0">
    <w:p w:rsidR="005E25C4" w:rsidRPr="005E25C4" w:rsidRDefault="006F2F4F">
      <w:r w:rsidRPr="005E25C4">
        <w:continuationSeparator/>
      </w:r>
    </w:p>
  </w:footnote>
  <w:footnote w:id="1">
    <w:p w:rsidR="004B69B0" w:rsidRDefault="006F2F4F">
      <w:pPr>
        <w:pStyle w:val="FootnoteText"/>
      </w:pPr>
      <w:r>
        <w:rPr>
          <w:rStyle w:val="FootnoteReference"/>
        </w:rPr>
        <w:footnoteRef/>
      </w:r>
      <w:r>
        <w:t xml:space="preserve"> OV C C/2024/4067, 12.7.2024., ELI: </w:t>
      </w:r>
      <w:hyperlink r:id="rId1" w:tgtFrame="_blank" w:tooltip="Nodrošina piekļuvi šim dokumentam, izmantojot ELI URI." w:history="1">
        <w:r>
          <w:rPr>
            <w:rStyle w:val="Hyperlink"/>
          </w:rPr>
          <w:t>http://data.europa.eu/eli/C/2024/4067/oj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B0" w:rsidRDefault="004B6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B0" w:rsidRDefault="004B69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B0" w:rsidRDefault="004B6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LIBE"/>
    <w:docVar w:name="CVar" w:val="2"/>
    <w:docVar w:name="DOCDT" w:val="20/12/2024"/>
    <w:docVar w:name="DOCMNU" w:val=" 1"/>
    <w:docVar w:name="EPSTATMNU" w:val=" 5"/>
    <w:docVar w:name="EVABUDGMNU" w:val=" 2"/>
    <w:docVar w:name="iNoAmend" w:val="2"/>
    <w:docVar w:name="INSTITUTIONSMNU" w:val=" 1"/>
    <w:docVar w:name="JURI1MNU" w:val=" 2"/>
    <w:docVar w:name="JURI2MNU" w:val=" 2"/>
    <w:docVar w:name="LastEditedSection" w:val=" 1"/>
    <w:docVar w:name="OTHERSTATMNU" w:val=" 4"/>
    <w:docVar w:name="PARLIAMENTSMNU" w:val=" 2"/>
    <w:docVar w:name="RepeatBlock-AmendLV"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2917 HideTWBExt;}{\*\cs18 \additive \v\f1\fs20\cf15 _x000d__x000a_\spriority0 \styrsid11212917 HideTWBInt;}{\s19\ql \li0\ri0\sa120\nowidctlpar\wrapdefault\aspalpha\aspnum\faauto\adjustright\rin0\lin0\itap0 \rtlch\fcs1 \af0\afs20\alang1025 \ltrch\fcs0 \fs24\lang1062\langfe2057\cgrid\langnp1062\langfenp2057 _x000d__x000a_\sbasedon0 \snext19 \spriority0 \styrsid11212917 Normal6a;}{\s20\ql \li0\ri0\nowidctlpar\wrapdefault\aspalpha\aspnum\faauto\adjustright\rin0\lin0\itap0 \rtlch\fcs1 \af0\afs20\alang1025 \ltrch\fcs0 \b\fs24\lang1062\langfe2057\cgrid\langnp1062\langfenp2057 _x000d__x000a_\sbasedon0 \snext20 \spriority0 \styrsid11212917 NormalBold;}{\s21\ql \li0\ri0\sa240\nowidctlpar\wrapdefault\aspalpha\aspnum\faauto\adjustright\rin0\lin0\itap0 \rtlch\fcs1 \af0\afs20\alang1025 \ltrch\fcs0 _x000d__x000a_\i\fs24\lang1062\langfe2057\cgrid\langnp1062\langfenp2057 \sbasedon0 \snext21 \spriority0 \styrsid11212917 AmJustText;}{\s22\qc \li0\ri0\sb240\sa240\nowidctlpar\wrapdefault\aspalpha\aspnum\faauto\adjustright\rin0\lin0\itap0 \rtlch\fcs1 _x000d__x000a_\af0\afs20\alang1025 \ltrch\fcs0 \i\fs24\lang1062\langfe2057\cgrid\langnp1062\langfenp2057 \sbasedon0 \snext22 \spriority0 \styrsid11212917 AmCrossRef;}{_x000d__x000a_\s23\qc \li0\ri0\sb240\sa240\keepn\nowidctlpar\wrapdefault\aspalpha\aspnum\faauto\adjustright\rin0\lin0\itap0 \rtlch\fcs1 \af0\afs20\alang1025 \ltrch\fcs0 \i\fs24\lang1062\langfe2057\cgrid\langnp1062\langfenp2057 _x000d__x000a_\sbasedon0 \snext21 \spriority0 \styrsid11212917 AmJustTitle;}{\s24\qr \li0\ri0\sb240\sa240\nowidctlpar\wrapdefault\aspalpha\aspnum\faauto\adjustright\rin0\lin0\itap0 \rtlch\fcs1 \af0\afs20\alang1025 \ltrch\fcs0 _x000d__x000a_\fs24\lang1062\langfe2057\cgrid\langnp1062\langfenp2057 \sbasedon0 \snext24 \spriority0 \styrsid11212917 AmOrLang;}{\s25\qc \li0\ri0\sa240\nowidctlpar\wrapdefault\aspalpha\aspnum\faauto\adjustright\rin0\lin0\itap0 \rtlch\fcs1 \af0\afs20\alang1025 _x000d__x000a_\ltrch\fcs0 \i\fs24\lang1062\langfe2057\cgrid\langnp1062\langfenp2057 \sbasedon0 \snext25 \spriority0 \styrsid112129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1212917 AmNumberTabs;}{\s27\ql \li0\ri0\sb240\nowidctlpar\wrapdefault\aspalpha\aspnum\faauto\adjustright\rin0\lin0\itap0 \rtlch\fcs1 _x000d__x000a_\af0\afs20\alang1025 \ltrch\fcs0 \b\fs24\lang1062\langfe2057\cgrid\langnp1062\langfenp2057 \sbasedon0 \snext27 \spriority0 \styrsid11212917 NormalBold12b;}}{\*\rsidtbl \rsid24658\rsid223860\rsid735077\rsid1718133\rsid2892074\rsid3565327\rsid4666813_x000d__x000a_\rsid6641733\rsid7823322\rsid9636012\rsid10377208\rsid11212917\rsid11215221\rsid11549030\rsid12154954\rsid14382809\rsid14424199\rsid15204470\rsid15285974\rsid15869161\rsid15950462\rsid16324206\rsid16662270}{\mmathPr\mmathFont34\mbrkBin0\mbrkBinSub0_x000d__x000a_\msmallFrac0\mdispDef1\mlMargin0\mrMargin0\mdefJc1\mwrapIndent1440\mintLim0\mnaryLim1}{\info{\author PURINS Maris}{\operator PURINS Maris}{\creatim\yr2025\mo1\dy8\hr11\min8}{\revtim\yr2025\mo1\dy8\hr11\min8}{\version1}{\edmins0}{\nofpages1}{\nofwords104}_x000d__x000a_{\nofchars598}{\nofcharsws69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2917\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5869161 \chftnsep _x000d__x000a_\par }}{\*\ftnsepc \ltrpar \pard\plain \ltrpar\ql \li0\ri0\widctlpar\wrapdefault\aspalpha\aspnum\faauto\adjustright\rin0\lin0\itap0 \rtlch\fcs1 \af0\afs20\alang1025 \ltrch\fcs0 \fs24\lang2057\langfe2057\cgrid\langnp2057\langfenp2057 {\rtlch\fcs1 \af0 _x000d__x000a_\ltrch\fcs0 \insrsid15869161 \chftnsepc _x000d__x000a_\par }}{\*\aftnsep \ltrpar \pard\plain \ltrpar\ql \li0\ri0\widctlpar\wrapdefault\aspalpha\aspnum\faauto\adjustright\rin0\lin0\itap0 \rtlch\fcs1 \af0\afs20\alang1025 \ltrch\fcs0 \fs24\lang2057\langfe2057\cgrid\langnp2057\langfenp2057 {\rtlch\fcs1 \af0 _x000d__x000a_\ltrch\fcs0 \insrsid15869161 \chftnsep _x000d__x000a_\par }}{\*\aftnsepc \ltrpar \pard\plain \ltrpar\ql \li0\ri0\widctlpar\wrapdefault\aspalpha\aspnum\faauto\adjustright\rin0\lin0\itap0 \rtlch\fcs1 \af0\afs20\alang1025 \ltrch\fcs0 \fs24\lang2057\langfe2057\cgrid\langnp2057\langfenp2057 {\rtlch\fcs1 \af0 _x000d__x000a_\ltrch\fcs0 \insrsid158691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212917 \rtlch\fcs1 _x000d__x000a_\af0\afs20\alang1025 \ltrch\fcs0 \b\fs24\lang1062\langfe2057\cgrid\langnp1062\langfenp2057 {\rtlch\fcs1 \af0 \ltrch\fcs0 \cs17\b0\v\fs20\cf9\lang1024\langfe1024\loch\af1\hich\af1\dbch\af31501\noproof\insrsid11212917\charrsid6170052 {\*\bkmkstart restart}_x000d__x000a_\hich\af1\dbch\af31501\loch\f1 &lt;Amend&gt;}{\rtlch\fcs1 \af344 \ltrch\fcs0 \f344\insrsid11212917\charrsid6170052 Groz\'eejums Nr.}{\rtlch\fcs1 \af0 \ltrch\fcs0 \insrsid11212917\charrsid6170052 \tab \tab }{\rtlch\fcs1 \af0 \ltrch\fcs0 _x000d__x000a_\cs17\b0\v\fs20\cf9\lang1024\langfe1024\loch\af1\hich\af1\dbch\af31501\noproof\insrsid11212917\charrsid6170052 \hich\af1\dbch\af31501\loch\f1 &lt;NumAm&gt;}{\rtlch\fcs1 \af0 \ltrch\fcs0 \insrsid11212917\charrsid6170052 #}{\rtlch\fcs1 \af1 \ltrch\fcs0 _x000d__x000a_\cs18\v\f1\fs20\cf15\insrsid11212917\charrsid6170052 ENMIENDA@NRAM@}{\rtlch\fcs1 \af0 \ltrch\fcs0 \insrsid11212917\charrsid6170052 #}{\rtlch\fcs1 \af0 \ltrch\fcs0 _x000d__x000a_\cs17\b0\v\fs20\cf9\lang1024\langfe1024\loch\af1\hich\af1\dbch\af31501\noproof\insrsid11212917\charrsid6170052 \hich\af1\dbch\af31501\loch\f1 &lt;/NumAm&gt;}{\rtlch\fcs1 \af0 \ltrch\fcs0 \insrsid11212917\charrsid6170052 _x000d__x000a_\par }\pard\plain \ltrpar\s27\ql \li0\ri0\sb240\keepn\nowidctlpar\wrapdefault\aspalpha\aspnum\faauto\adjustright\rin0\lin0\itap0\pararsid11212917 \rtlch\fcs1 \af0\afs20\alang1025 \ltrch\fcs0 \b\fs24\lang1062\langfe2057\cgrid\langnp1062\langfenp2057 {_x000d__x000a_\rtlch\fcs1 \af0 \ltrch\fcs0 \cs17\b0\v\fs20\cf9\lang1024\langfe1024\loch\af1\hich\af1\dbch\af31501\noproof\insrsid11212917\charrsid6170052 \hich\af1\dbch\af31501\loch\f1 &lt;DocAmend&gt;}{\rtlch\fcs1 \af0 \ltrch\fcs0 \insrsid11212917\charrsid6170052 #}{_x000d__x000a_\rtlch\fcs1 \af1 \ltrch\fcs0 \cs18\v\f1\fs20\cf15\insrsid11212917\charrsid6170052 MNU[DOC1b][DOC2b][DOC3b]@DOCMSG@DOCMNU}{\rtlch\fcs1 \af0 \ltrch\fcs0 \insrsid11212917\charrsid6170052 # priek\'9alikums#}{\rtlch\fcs1 \af1 \ltrch\fcs0 _x000d__x000a_\cs18\v\f1\fs20\cf15\insrsid11212917\charrsid6170052 MNU[AMACTYES][NOTAPP]@CHOICE@AMACTMNU}{\rtlch\fcs1 \af0 \ltrch\fcs0 \insrsid11212917\charrsid6170052 #}{\rtlch\fcs1 \af0 \ltrch\fcs0 _x000d__x000a_\cs17\b0\v\fs20\cf9\lang1024\langfe1024\loch\af1\hich\af1\dbch\af31501\noproof\insrsid11212917\charrsid6170052 \hich\af1\dbch\af31501\loch\f1 &lt;/DocAmend&gt;}{\rtlch\fcs1 \af0 \ltrch\fcs0 \insrsid11212917\charrsid6170052 _x000d__x000a_\par }\pard\plain \ltrpar\s20\ql \li0\ri0\keepn\nowidctlpar\wrapdefault\aspalpha\aspnum\faauto\adjustright\rin0\lin0\itap0\pararsid11212917 \rtlch\fcs1 \af0\afs20\alang1025 \ltrch\fcs0 \b\fs24\lang1062\langfe2057\cgrid\langnp1062\langfenp2057 {\rtlch\fcs1 _x000d__x000a_\af0 \ltrch\fcs0 \cs17\b0\v\fs20\cf9\lang1024\langfe1024\loch\af1\hich\af1\dbch\af31501\noproof\insrsid11212917\charrsid6170052 \hich\af1\dbch\af31501\loch\f1 &lt;Article&gt;}{\rtlch\fcs1 \af0 \ltrch\fcs0 \insrsid11212917\charrsid6170052 #}{\rtlch\fcs1 \af1 _x000d__x000a_\ltrch\fcs0 \cs18\v\f1\fs20\cf15\insrsid11212917\charrsid6170052 MNU[AMACTPARTYES][AMACTPARTNO]@CHOICE@AMACTMNU}{\rtlch\fcs1 \af0 \ltrch\fcs0 \insrsid11212917\charrsid6170052 #}{\rtlch\fcs1 \af0 \ltrch\fcs0 _x000d__x000a_\cs17\b0\v\fs20\cf9\lang1024\langfe1024\loch\af1\hich\af1\dbch\af31501\noproof\insrsid11212917\charrsid6170052 \hich\af1\dbch\af31501\loch\f1 &lt;/Article&gt;}{\rtlch\fcs1 \af0 \ltrch\fcs0 \insrsid11212917\charrsid6170052 _x000d__x000a_\par }\pard\plain \ltrpar\ql \li0\ri0\keepn\widctlpar\wrapdefault\aspalpha\aspnum\faauto\adjustright\rin0\lin0\itap0\pararsid11212917 \rtlch\fcs1 \af0\afs20\alang1025 \ltrch\fcs0 \fs24\lang2057\langfe2057\cgrid\langnp2057\langfenp2057 {\rtlch\fcs1 \af0 _x000d__x000a_\ltrch\fcs0 \cs17\v\fs20\cf9\lang1024\langfe1024\loch\af1\hich\af1\dbch\af31501\noproof\langnp1062\insrsid11212917\charrsid6170052 \hich\af1\dbch\af31501\loch\f1 &lt;DocAmend2&gt;&lt;OptDel&gt;}{\rtlch\fcs1 \af0 \ltrch\fcs0 _x000d__x000a_\lang1062\langfe2057\langnp1062\insrsid11212917\charrsid6170052 #}{\rtlch\fcs1 \af1 \ltrch\fcs0 \cs18\v\f1\fs20\cf15\lang1062\langfe2057\langnp1062\insrsid11212917\charrsid6170052 MNU[OPTNRACTYES][NOTAPP]@CHOICE@AMACTMNU}{\rtlch\fcs1 \af0 \ltrch\fcs0 _x000d__x000a_\lang1062\langfe2057\langnp1062\insrsid11212917\charrsid6170052 #}{\rtlch\fcs1 \af0 \ltrch\fcs0 \cs17\v\fs20\cf9\lang1024\langfe1024\loch\af1\hich\af1\dbch\af31501\noproof\langnp1062\insrsid11212917\charrsid6170052 \hich\af1\dbch\af31501\loch\f1 _x000d__x000a_&lt;/OptDel&gt;&lt;/DocAmend2&gt;}{\rtlch\fcs1 \af0 \ltrch\fcs0 \lang1062\langfe2057\langnp1062\insrsid11212917\charrsid6170052 _x000d__x000a_\par }\pard \ltrpar\ql \li0\ri0\widctlpar\wrapdefault\aspalpha\aspnum\faauto\adjustright\rin0\lin0\itap0\pararsid11212917 {\rtlch\fcs1 \af0 \ltrch\fcs0 _x000d__x000a_\cs17\v\fs20\cf9\lang1024\langfe1024\loch\af1\hich\af1\dbch\af31501\noproof\langnp1062\insrsid11212917\charrsid6170052 \hich\af1\dbch\af31501\loch\f1 &lt;Article2&gt;&lt;OptDel&gt;}{\rtlch\fcs1 \af0 \ltrch\fcs0 _x000d__x000a_\lang1062\langfe2057\langnp1062\insrsid11212917\charrsid6170052 #}{\rtlch\fcs1 \af1 \ltrch\fcs0 \cs18\v\f1\fs20\cf15\lang1062\langfe2057\langnp1062\insrsid11212917\charrsid6170052 MNU[OPTACTPARTYES][NOTAPP]@CHOICE@AMACTMNU}{\rtlch\fcs1 \af0 \ltrch\fcs0 _x000d__x000a_\lang1062\langfe2057\langnp1062\insrsid11212917\charrsid6170052 #}{\rtlch\fcs1 \af0 \ltrch\fcs0 \cs17\v\fs20\cf9\lang1024\langfe1024\loch\af1\hich\af1\dbch\af31501\noproof\langnp1062\insrsid11212917\charrsid6170052 \hich\af1\dbch\af31501\loch\f1 _x000d__x000a_&lt;/OptDel&gt;&lt;/Article2&gt;}{\rtlch\fcs1 \af0 \ltrch\fcs0 \lang1062\langfe2057\langnp1062\insrsid11212917\charrsid617005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2\langfe2057\langnp1062\insrsid11212917\charrsid6170052 \cell }\pard\plain \ltrpar_x000d__x000a_\ql \li0\ri0\widctlpar\intbl\wrapdefault\aspalpha\aspnum\faauto\adjustright\rin0\lin0 \rtlch\fcs1 \af0\afs20\alang1025 \ltrch\fcs0 \fs24\lang2057\langfe2057\cgrid\langnp2057\langfenp2057 {\rtlch\fcs1 \af0 \ltrch\fcs0 _x000d__x000a_\lang1062\langfe2057\langnp1062\insrsid11212917\charrsid617005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2\langfe2057\cgrid\langnp1062\langfenp2057 {\rtlch\fcs1 \af0 \ltrch\fcs0 _x000d__x000a_\insrsid11212917\charrsid6170052 #}{\rtlch\fcs1 \af1 \ltrch\fcs0 \cs18\v\f1\fs20\cf15\insrsid11212917\charrsid6170052 MNU[OPTLEFTAMACT][LEFTPROP]@CHOICE@AMACTMNU}{\rtlch\fcs1 \af0 \ltrch\fcs0 \insrsid11212917\charrsid6170052 #\cell }{\rtlch\fcs1 \af344 _x000d__x000a_\ltrch\fcs0 \f344\insrsid11212917\charrsid6170052 Groz\'eejums}{\rtlch\fcs1 \af0 \ltrch\fcs0 \insrsid11212917\charrsid6170052 \cell }\pard\plain \ltrpar\ql \li0\ri0\widctlpar\intbl\wrapdefault\aspalpha\aspnum\faauto\adjustright\rin0\lin0 \rtlch\fcs1 _x000d__x000a_\af0\afs20\alang1025 \ltrch\fcs0 \fs24\lang2057\langfe2057\cgrid\langnp2057\langfenp2057 {\rtlch\fcs1 \af0 \ltrch\fcs0 \lang1062\langfe2057\langnp1062\insrsid11212917\charrsid6170052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2\langfe2057\cgrid\langnp1062\langfenp2057 {\rtlch\fcs1 \af0 \ltrch\fcs0 _x000d__x000a_\insrsid11212917\charrsid6170052 ##\cell ##}{\rtlch\fcs1 \af0\afs24 \ltrch\fcs0 \insrsid11212917\charrsid6170052 \cell }\pard\plain \ltrpar\ql \li0\ri0\widctlpar\intbl\wrapdefault\aspalpha\aspnum\faauto\adjustright\rin0\lin0 \rtlch\fcs1 _x000d__x000a_\af0\afs20\alang1025 \ltrch\fcs0 \fs24\lang2057\langfe2057\cgrid\langnp2057\langfenp2057 {\rtlch\fcs1 \af0 \ltrch\fcs0 \lang1062\langfe2057\langnp1062\insrsid11212917\charrsid617005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212917 \rtlch\fcs1 \af0\afs20\alang1025 \ltrch\fcs0 \fs24\lang1062\langfe2057\cgrid\langnp1062\langfenp2057 {\rtlch\fcs1 \af0 \ltrch\fcs0 _x000d__x000a_\insrsid11212917\charrsid6170052 Or. }{\rtlch\fcs1 \af0 \ltrch\fcs0 \cs17\v\fs20\cf9\lang1024\langfe1024\loch\af1\hich\af1\dbch\af31501\noproof\insrsid11212917\charrsid6170052 \hich\af1\dbch\af31501\loch\f1 &lt;Original&gt;}{\rtlch\fcs1 \af0 \ltrch\fcs0 _x000d__x000a_\insrsid11212917\charrsid6170052 #}{\rtlch\fcs1 \af1 \ltrch\fcs0 \cs18\v\f1\fs20\cf15\insrsid11212917\charrsid6170052 MNU[ORLANGONE][ORLANGMORE]@CHOICE@ORLANGMNU}{\rtlch\fcs1 \af0 \ltrch\fcs0 \insrsid11212917\charrsid6170052 #}{\rtlch\fcs1 \af0 _x000d__x000a_\ltrch\fcs0 \cs17\v\fs20\cf9\lang1024\langfe1024\loch\af1\hich\af1\dbch\af31501\noproof\insrsid11212917\charrsid6170052 \hich\af1\dbch\af31501\loch\f1 &lt;/Original&gt;}{\rtlch\fcs1 \af0 \ltrch\fcs0 \insrsid11212917\charrsid6170052 _x000d__x000a_\par }\pard\plain \ltrpar\s22\qc \li0\ri0\sb240\sa240\nowidctlpar\wrapdefault\aspalpha\aspnum\faauto\adjustright\rin0\lin0\itap0\pararsid11212917 \rtlch\fcs1 \af0\afs20\alang1025 \ltrch\fcs0 \i\fs24\lang1062\langfe2057\cgrid\langnp1062\langfenp2057 {_x000d__x000a_\rtlch\fcs1 \af0 \ltrch\fcs0 \cs17\i0\v\fs20\cf9\lang1024\langfe1024\loch\af1\hich\af1\dbch\af31501\noproof\insrsid11212917\charrsid6170052 \hich\af1\dbch\af31501\loch\f1 &lt;OptDel&gt;}{\rtlch\fcs1 \af0 \ltrch\fcs0 \insrsid11212917\charrsid6170052 #}{_x000d__x000a_\rtlch\fcs1 \af1 \ltrch\fcs0 \cs18\v\f1\fs20\cf15\insrsid11212917\charrsid6170052 MNU[CROSSREFNO][CROSSREFYES]@CHOICE@}{\rtlch\fcs1 \af0 \ltrch\fcs0 \insrsid11212917\charrsid6170052 #}{\rtlch\fcs1 \af0 \ltrch\fcs0 _x000d__x000a_\cs17\i0\v\fs20\cf9\lang1024\langfe1024\loch\af1\hich\af1\dbch\af31501\noproof\insrsid11212917\charrsid6170052 \hich\af1\dbch\af31501\loch\f1 &lt;/OptDel&gt;}{\rtlch\fcs1 \af0 \ltrch\fcs0 \insrsid11212917\charrsid6170052 _x000d__x000a_\par }\pard\plain \ltrpar\s23\qc \li0\ri0\sb240\sa240\keepn\nowidctlpar\wrapdefault\aspalpha\aspnum\faauto\adjustright\rin0\lin0\itap0\pararsid11212917 \rtlch\fcs1 \af0\afs20\alang1025 \ltrch\fcs0 \i\fs24\lang1062\langfe2057\cgrid\langnp1062\langfenp2057 {_x000d__x000a_\rtlch\fcs1 \af0 \ltrch\fcs0 \cs17\i0\v\fs20\cf9\lang1024\langfe1024\loch\af1\hich\af1\dbch\af31501\noproof\insrsid11212917\charrsid6170052 \hich\af1\dbch\af31501\loch\f1 &lt;TitreJust&gt;}{\rtlch\fcs1 \af0 \ltrch\fcs0 \insrsid11212917\charrsid6170052 _x000d__x000a_Pamatojums}{\rtlch\fcs1 \af0 \ltrch\fcs0 \cs17\i0\v\fs20\cf9\lang1024\langfe1024\loch\af1\hich\af1\dbch\af31501\noproof\insrsid11212917\charrsid6170052 \hich\af1\dbch\af31501\loch\f1 &lt;/TitreJust&gt;}{\rtlch\fcs1 \af0 \ltrch\fcs0 _x000d__x000a_\insrsid11212917\charrsid6170052 _x000d__x000a_\par }\pard\plain \ltrpar\s21\ql \li0\ri0\sa240\nowidctlpar\wrapdefault\aspalpha\aspnum\faauto\adjustright\rin0\lin0\itap0\pararsid11212917 \rtlch\fcs1 \af0\afs20\alang1025 \ltrch\fcs0 \i\fs24\lang1062\langfe2057\cgrid\langnp1062\langfenp2057 {\rtlch\fcs1 _x000d__x000a_\af0 \ltrch\fcs0 \cs17\i0\v\fs20\cf9\lang1024\langfe1024\loch\af1\hich\af1\dbch\af31501\noproof\insrsid11212917\charrsid6170052 \hich\af1\dbch\af31501\loch\f1 &lt;OptDelPrev&gt;}{\rtlch\fcs1 \af0 \ltrch\fcs0 \insrsid11212917\charrsid6170052 #}{\rtlch\fcs1 \af1 _x000d__x000a_\ltrch\fcs0 \cs18\v\f1\fs20\cf15\insrsid11212917\charrsid6170052 MNU[TEXTJUSTYES][TEXTJUSTNO]@CHOICE@}{\rtlch\fcs1 \af0 \ltrch\fcs0 \insrsid11212917\charrsid6170052 #}{\rtlch\fcs1 \af0 \ltrch\fcs0 _x000d__x000a_\cs17\i0\v\fs20\cf9\lang1024\langfe1024\loch\af1\hich\af1\dbch\af31501\noproof\insrsid11212917\charrsid6170052 \hich\af1\dbch\af31501\loch\f1 &lt;/OptDelPrev&gt;}{\rtlch\fcs1 \af0 \ltrch\fcs0 \insrsid11212917\charrsid6170052 _x000d__x000a_\par }\pard\plain \ltrpar\ql \li0\ri0\widctlpar\wrapdefault\aspalpha\aspnum\faauto\adjustright\rin0\lin0\itap0\pararsid11212917 \rtlch\fcs1 \af0\afs20\alang1025 \ltrch\fcs0 \fs24\lang2057\langfe2057\cgrid\langnp2057\langfenp2057 {\rtlch\fcs1 \af0 \ltrch\fcs0 _x000d__x000a_\cs17\v\fs20\cf9\lang1024\langfe1024\loch\af1\hich\af1\dbch\af31501\noproof\langnp1062\insrsid11212917\charrsid6170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8_x000d__x000a_324fb56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AUTHOR" w:val="Abir Al_x001e_Sahlani"/>
    <w:docVar w:name="TXTLANGUE" w:val="LV"/>
    <w:docVar w:name="TXTLANGUEMIN" w:val="lv"/>
    <w:docVar w:name="TXTNRC" w:val="0413/2023"/>
    <w:docVar w:name="TXTNRCOD" w:val="2023/0404"/>
    <w:docVar w:name="TXTNRCOM" w:val="(2023)0716"/>
    <w:docVar w:name="TXTNRFIRSTAM" w:val="1"/>
    <w:docVar w:name="TXTNRLASTAM" w:val="2"/>
    <w:docVar w:name="TXTNRPE" w:val="766.973"/>
    <w:docVar w:name="TXTPEorAP" w:val="PE"/>
    <w:docVar w:name="TXTROUTE" w:val="PR\1312684LV.docx"/>
    <w:docVar w:name="TXTVERSION" w:val="01-00"/>
  </w:docVars>
  <w:rsids>
    <w:rsidRoot w:val="005E25C4"/>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24E1E"/>
    <w:rsid w:val="002346B0"/>
    <w:rsid w:val="002667C3"/>
    <w:rsid w:val="002669B6"/>
    <w:rsid w:val="002905C0"/>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B69B0"/>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25C4"/>
    <w:rsid w:val="00642325"/>
    <w:rsid w:val="0069092A"/>
    <w:rsid w:val="006A2F5D"/>
    <w:rsid w:val="006F2F4F"/>
    <w:rsid w:val="006F7907"/>
    <w:rsid w:val="00707295"/>
    <w:rsid w:val="00743189"/>
    <w:rsid w:val="00743D33"/>
    <w:rsid w:val="007932B3"/>
    <w:rsid w:val="00793EA9"/>
    <w:rsid w:val="007D6F68"/>
    <w:rsid w:val="00817843"/>
    <w:rsid w:val="00823585"/>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02C27"/>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17D7A"/>
    <w:rsid w:val="00D30DE2"/>
    <w:rsid w:val="00D32924"/>
    <w:rsid w:val="00D503A3"/>
    <w:rsid w:val="00DA6ED0"/>
    <w:rsid w:val="00DC5011"/>
    <w:rsid w:val="00E171B6"/>
    <w:rsid w:val="00E72695"/>
    <w:rsid w:val="00EB1753"/>
    <w:rsid w:val="00EB6CFF"/>
    <w:rsid w:val="00EE3996"/>
    <w:rsid w:val="00F07062"/>
    <w:rsid w:val="00F175A1"/>
    <w:rsid w:val="00F23CFC"/>
    <w:rsid w:val="00F433E2"/>
    <w:rsid w:val="00F904AE"/>
    <w:rsid w:val="00F91E6A"/>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FC949B"/>
  <w15:chartTrackingRefBased/>
  <w15:docId w15:val="{EAC14119-97C4-46EE-88DC-9AC488B2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B69B0"/>
    <w:pPr>
      <w:tabs>
        <w:tab w:val="right" w:pos="454"/>
        <w:tab w:val="left" w:pos="737"/>
      </w:tabs>
      <w:ind w:left="737" w:hanging="737"/>
    </w:pPr>
    <w:rPr>
      <w:snapToGrid w:val="0"/>
      <w:sz w:val="18"/>
      <w:lang w:eastAsia="en-US"/>
    </w:rPr>
  </w:style>
  <w:style w:type="paragraph" w:customStyle="1" w:styleId="Lgendetitre">
    <w:name w:val="Légende titre"/>
    <w:basedOn w:val="Normal"/>
    <w:rsid w:val="004B69B0"/>
    <w:pPr>
      <w:spacing w:before="240" w:after="240"/>
    </w:pPr>
    <w:rPr>
      <w:b/>
      <w:i/>
      <w:snapToGrid w:val="0"/>
      <w:lang w:eastAsia="en-US"/>
    </w:rPr>
  </w:style>
  <w:style w:type="paragraph" w:customStyle="1" w:styleId="Lgendestandard">
    <w:name w:val="Légende standard"/>
    <w:basedOn w:val="Normal"/>
    <w:rsid w:val="004B69B0"/>
    <w:rPr>
      <w:sz w:val="18"/>
    </w:rPr>
  </w:style>
  <w:style w:type="paragraph" w:styleId="FootnoteText">
    <w:name w:val="footnote text"/>
    <w:basedOn w:val="Normal"/>
    <w:link w:val="FootnoteTextChar"/>
    <w:rsid w:val="004B69B0"/>
    <w:rPr>
      <w:sz w:val="20"/>
    </w:rPr>
  </w:style>
  <w:style w:type="character" w:customStyle="1" w:styleId="FootnoteTextChar">
    <w:name w:val="Footnote Text Char"/>
    <w:basedOn w:val="DefaultParagraphFont"/>
    <w:link w:val="FootnoteText"/>
    <w:rsid w:val="004B69B0"/>
    <w:rPr>
      <w:lang w:val="lv-LV"/>
    </w:rPr>
  </w:style>
  <w:style w:type="character" w:styleId="FootnoteReference">
    <w:name w:val="footnote reference"/>
    <w:basedOn w:val="DefaultParagraphFont"/>
    <w:rsid w:val="004B69B0"/>
    <w:rPr>
      <w:vertAlign w:val="superscript"/>
    </w:rPr>
  </w:style>
  <w:style w:type="character" w:styleId="Hyperlink">
    <w:name w:val="Hyperlink"/>
    <w:basedOn w:val="DefaultParagraphFont"/>
    <w:uiPriority w:val="99"/>
    <w:unhideWhenUsed/>
    <w:rsid w:val="004B69B0"/>
    <w:rPr>
      <w:color w:val="0000FF"/>
      <w:u w:val="single"/>
    </w:rPr>
  </w:style>
  <w:style w:type="character" w:customStyle="1" w:styleId="Heading1Char">
    <w:name w:val="Heading 1 Char"/>
    <w:basedOn w:val="DefaultParagraphFont"/>
    <w:link w:val="Heading1"/>
    <w:rsid w:val="004B69B0"/>
    <w:rPr>
      <w:rFonts w:ascii="Arial" w:hAnsi="Arial"/>
      <w:b/>
      <w:kern w:val="28"/>
      <w:sz w:val="28"/>
      <w:lang w:val="lv-LV"/>
    </w:rPr>
  </w:style>
  <w:style w:type="character" w:customStyle="1" w:styleId="Heading2Char">
    <w:name w:val="Heading 2 Char"/>
    <w:basedOn w:val="DefaultParagraphFont"/>
    <w:link w:val="Heading2"/>
    <w:semiHidden/>
    <w:rsid w:val="004B69B0"/>
    <w:rPr>
      <w:rFonts w:ascii="Arial" w:hAnsi="Arial"/>
      <w:b/>
      <w:i/>
      <w:sz w:val="24"/>
      <w:lang w:val="lv-LV"/>
    </w:rPr>
  </w:style>
  <w:style w:type="character" w:customStyle="1" w:styleId="Heading3Char">
    <w:name w:val="Heading 3 Char"/>
    <w:basedOn w:val="DefaultParagraphFont"/>
    <w:link w:val="Heading3"/>
    <w:semiHidden/>
    <w:rsid w:val="004B69B0"/>
    <w:rPr>
      <w:rFonts w:ascii="Arial" w:hAnsi="Arial"/>
      <w:sz w:val="24"/>
      <w:lang w:val="lv-LV"/>
    </w:rPr>
  </w:style>
  <w:style w:type="character" w:customStyle="1" w:styleId="Heading4Char">
    <w:name w:val="Heading 4 Char"/>
    <w:basedOn w:val="DefaultParagraphFont"/>
    <w:link w:val="Heading4"/>
    <w:semiHidden/>
    <w:rsid w:val="004B69B0"/>
    <w:rPr>
      <w:rFonts w:ascii="Arial" w:hAnsi="Arial"/>
      <w:b/>
      <w:sz w:val="24"/>
      <w:lang w:val="lv-LV"/>
    </w:rPr>
  </w:style>
  <w:style w:type="character" w:customStyle="1" w:styleId="Heading5Char">
    <w:name w:val="Heading 5 Char"/>
    <w:basedOn w:val="DefaultParagraphFont"/>
    <w:link w:val="Heading5"/>
    <w:semiHidden/>
    <w:rsid w:val="004B69B0"/>
    <w:rPr>
      <w:sz w:val="22"/>
      <w:lang w:val="lv-LV"/>
    </w:rPr>
  </w:style>
  <w:style w:type="character" w:customStyle="1" w:styleId="Heading6Char">
    <w:name w:val="Heading 6 Char"/>
    <w:basedOn w:val="DefaultParagraphFont"/>
    <w:link w:val="Heading6"/>
    <w:semiHidden/>
    <w:rsid w:val="004B69B0"/>
    <w:rPr>
      <w:i/>
      <w:sz w:val="22"/>
      <w:lang w:val="lv-LV"/>
    </w:rPr>
  </w:style>
  <w:style w:type="character" w:customStyle="1" w:styleId="Heading7Char">
    <w:name w:val="Heading 7 Char"/>
    <w:basedOn w:val="DefaultParagraphFont"/>
    <w:link w:val="Heading7"/>
    <w:semiHidden/>
    <w:rsid w:val="004B69B0"/>
    <w:rPr>
      <w:rFonts w:ascii="Arial" w:hAnsi="Arial"/>
      <w:sz w:val="24"/>
      <w:lang w:val="lv-LV"/>
    </w:rPr>
  </w:style>
  <w:style w:type="character" w:customStyle="1" w:styleId="Heading8Char">
    <w:name w:val="Heading 8 Char"/>
    <w:basedOn w:val="DefaultParagraphFont"/>
    <w:link w:val="Heading8"/>
    <w:semiHidden/>
    <w:rsid w:val="004B69B0"/>
    <w:rPr>
      <w:rFonts w:ascii="Arial" w:hAnsi="Arial"/>
      <w:i/>
      <w:sz w:val="24"/>
      <w:lang w:val="lv-LV"/>
    </w:rPr>
  </w:style>
  <w:style w:type="character" w:customStyle="1" w:styleId="Heading9Char">
    <w:name w:val="Heading 9 Char"/>
    <w:basedOn w:val="DefaultParagraphFont"/>
    <w:link w:val="Heading9"/>
    <w:semiHidden/>
    <w:rsid w:val="004B69B0"/>
    <w:rPr>
      <w:rFonts w:ascii="Arial" w:hAnsi="Arial"/>
      <w:b/>
      <w:i/>
      <w:sz w:val="18"/>
      <w:lang w:val="lv-LV"/>
    </w:rPr>
  </w:style>
  <w:style w:type="character" w:customStyle="1" w:styleId="NormalBoldChar">
    <w:name w:val="NormalBold Char"/>
    <w:basedOn w:val="DefaultParagraphFont"/>
    <w:link w:val="NormalBold"/>
    <w:locked/>
    <w:rsid w:val="004B69B0"/>
    <w:rPr>
      <w:b/>
      <w:sz w:val="24"/>
      <w:lang w:val="lv-LV"/>
    </w:rPr>
  </w:style>
  <w:style w:type="paragraph" w:customStyle="1" w:styleId="msonormal0">
    <w:name w:val="msonormal"/>
    <w:basedOn w:val="Normal"/>
    <w:rsid w:val="004B69B0"/>
    <w:pPr>
      <w:widowControl/>
      <w:spacing w:before="100" w:beforeAutospacing="1" w:after="100" w:afterAutospacing="1"/>
    </w:pPr>
    <w:rPr>
      <w:szCs w:val="24"/>
    </w:rPr>
  </w:style>
  <w:style w:type="paragraph" w:styleId="CommentText">
    <w:name w:val="annotation text"/>
    <w:basedOn w:val="Normal"/>
    <w:link w:val="CommentTextChar"/>
    <w:unhideWhenUsed/>
    <w:rsid w:val="004B69B0"/>
    <w:rPr>
      <w:sz w:val="20"/>
    </w:rPr>
  </w:style>
  <w:style w:type="character" w:customStyle="1" w:styleId="CommentTextChar">
    <w:name w:val="Comment Text Char"/>
    <w:basedOn w:val="DefaultParagraphFont"/>
    <w:link w:val="CommentText"/>
    <w:rsid w:val="004B69B0"/>
  </w:style>
  <w:style w:type="character" w:customStyle="1" w:styleId="FooterChar">
    <w:name w:val="Footer Char"/>
    <w:basedOn w:val="DefaultParagraphFont"/>
    <w:link w:val="Footer"/>
    <w:rsid w:val="004B69B0"/>
    <w:rPr>
      <w:sz w:val="22"/>
      <w:lang w:val="lv-LV" w:eastAsia="ca-ES"/>
    </w:rPr>
  </w:style>
  <w:style w:type="paragraph" w:styleId="Footer">
    <w:name w:val="footer"/>
    <w:link w:val="FooterChar"/>
    <w:unhideWhenUsed/>
    <w:rsid w:val="004B69B0"/>
    <w:pPr>
      <w:tabs>
        <w:tab w:val="center" w:pos="4536"/>
        <w:tab w:val="right" w:pos="9072"/>
      </w:tabs>
      <w:spacing w:before="240" w:after="240" w:line="220" w:lineRule="auto"/>
    </w:pPr>
    <w:rPr>
      <w:sz w:val="22"/>
      <w:lang w:eastAsia="ca-ES"/>
    </w:rPr>
  </w:style>
  <w:style w:type="character" w:customStyle="1" w:styleId="FooterChar1">
    <w:name w:val="Footer Char1"/>
    <w:basedOn w:val="DefaultParagraphFont"/>
    <w:semiHidden/>
    <w:rsid w:val="004B69B0"/>
    <w:rPr>
      <w:sz w:val="24"/>
      <w:lang w:val="lv-LV"/>
    </w:rPr>
  </w:style>
  <w:style w:type="paragraph" w:styleId="CommentSubject">
    <w:name w:val="annotation subject"/>
    <w:basedOn w:val="CommentText"/>
    <w:next w:val="CommentText"/>
    <w:link w:val="CommentSubjectChar"/>
    <w:semiHidden/>
    <w:unhideWhenUsed/>
    <w:rsid w:val="004B69B0"/>
    <w:rPr>
      <w:b/>
      <w:bCs/>
    </w:rPr>
  </w:style>
  <w:style w:type="character" w:customStyle="1" w:styleId="CommentSubjectChar">
    <w:name w:val="Comment Subject Char"/>
    <w:basedOn w:val="CommentTextChar"/>
    <w:link w:val="CommentSubject"/>
    <w:semiHidden/>
    <w:rsid w:val="004B69B0"/>
    <w:rPr>
      <w:b/>
      <w:bCs/>
    </w:rPr>
  </w:style>
  <w:style w:type="paragraph" w:styleId="BalloonText">
    <w:name w:val="Balloon Text"/>
    <w:basedOn w:val="Normal"/>
    <w:link w:val="BalloonTextChar"/>
    <w:semiHidden/>
    <w:unhideWhenUsed/>
    <w:rsid w:val="004B69B0"/>
    <w:rPr>
      <w:rFonts w:ascii="Segoe UI" w:hAnsi="Segoe UI" w:cs="Segoe UI"/>
      <w:sz w:val="18"/>
      <w:szCs w:val="18"/>
    </w:rPr>
  </w:style>
  <w:style w:type="character" w:customStyle="1" w:styleId="BalloonTextChar">
    <w:name w:val="Balloon Text Char"/>
    <w:basedOn w:val="DefaultParagraphFont"/>
    <w:link w:val="BalloonText"/>
    <w:semiHidden/>
    <w:rsid w:val="004B69B0"/>
    <w:rPr>
      <w:rFonts w:ascii="Segoe UI" w:hAnsi="Segoe UI" w:cs="Segoe UI"/>
      <w:sz w:val="18"/>
      <w:szCs w:val="18"/>
    </w:rPr>
  </w:style>
  <w:style w:type="character" w:customStyle="1" w:styleId="Normal12Char">
    <w:name w:val="Normal12 Char"/>
    <w:basedOn w:val="DefaultParagraphFont"/>
    <w:link w:val="Normal12"/>
    <w:locked/>
    <w:rsid w:val="004B69B0"/>
    <w:rPr>
      <w:noProof/>
      <w:sz w:val="24"/>
    </w:rPr>
  </w:style>
  <w:style w:type="paragraph" w:customStyle="1" w:styleId="Normal12">
    <w:name w:val="Normal12"/>
    <w:basedOn w:val="Normal"/>
    <w:link w:val="Normal12Char"/>
    <w:rsid w:val="004B69B0"/>
    <w:pPr>
      <w:spacing w:after="240"/>
    </w:pPr>
    <w:rPr>
      <w:noProof/>
    </w:rPr>
  </w:style>
  <w:style w:type="character" w:customStyle="1" w:styleId="Normal6Char">
    <w:name w:val="Normal6 Char"/>
    <w:basedOn w:val="DefaultParagraphFont"/>
    <w:link w:val="Normal6"/>
    <w:locked/>
    <w:rsid w:val="004B69B0"/>
    <w:rPr>
      <w:sz w:val="24"/>
      <w:lang w:val="lv-LV"/>
    </w:rPr>
  </w:style>
  <w:style w:type="paragraph" w:customStyle="1" w:styleId="Normal6">
    <w:name w:val="Normal6"/>
    <w:basedOn w:val="Normal"/>
    <w:link w:val="Normal6Char"/>
    <w:rsid w:val="004B69B0"/>
    <w:pPr>
      <w:spacing w:after="120"/>
    </w:pPr>
  </w:style>
  <w:style w:type="paragraph" w:customStyle="1" w:styleId="Normal12Italic">
    <w:name w:val="Normal12Italic"/>
    <w:basedOn w:val="Normal12"/>
    <w:rsid w:val="004B69B0"/>
    <w:rPr>
      <w:i/>
    </w:rPr>
  </w:style>
  <w:style w:type="paragraph" w:customStyle="1" w:styleId="Footer2">
    <w:name w:val="Footer2"/>
    <w:basedOn w:val="Normal12"/>
    <w:rsid w:val="004B69B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4B69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B69B0"/>
    <w:pPr>
      <w:spacing w:after="240"/>
      <w:jc w:val="center"/>
    </w:pPr>
    <w:rPr>
      <w:i/>
    </w:rPr>
  </w:style>
  <w:style w:type="paragraph" w:customStyle="1" w:styleId="Olang">
    <w:name w:val="Olang"/>
    <w:basedOn w:val="Normal"/>
    <w:rsid w:val="004B69B0"/>
    <w:pPr>
      <w:spacing w:before="240" w:after="240"/>
      <w:jc w:val="right"/>
    </w:pPr>
    <w:rPr>
      <w:noProof/>
      <w:szCs w:val="24"/>
    </w:rPr>
  </w:style>
  <w:style w:type="paragraph" w:customStyle="1" w:styleId="Normal24a">
    <w:name w:val="Normal24a"/>
    <w:basedOn w:val="Normal"/>
    <w:rsid w:val="004B69B0"/>
    <w:pPr>
      <w:spacing w:after="480"/>
    </w:pPr>
  </w:style>
  <w:style w:type="paragraph" w:customStyle="1" w:styleId="NormalBoldCenter">
    <w:name w:val="NormalBoldCenter"/>
    <w:basedOn w:val="Normal"/>
    <w:rsid w:val="004B69B0"/>
    <w:pPr>
      <w:jc w:val="center"/>
    </w:pPr>
    <w:rPr>
      <w:b/>
    </w:rPr>
  </w:style>
  <w:style w:type="paragraph" w:customStyle="1" w:styleId="EntPE">
    <w:name w:val="EntPE"/>
    <w:basedOn w:val="Normal12"/>
    <w:rsid w:val="004B69B0"/>
    <w:pPr>
      <w:jc w:val="center"/>
    </w:pPr>
    <w:rPr>
      <w:noProof w:val="0"/>
      <w:sz w:val="56"/>
    </w:rPr>
  </w:style>
  <w:style w:type="character" w:styleId="CommentReference">
    <w:name w:val="annotation reference"/>
    <w:basedOn w:val="DefaultParagraphFont"/>
    <w:rsid w:val="004B69B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8E9DC-0632-4634-AD0A-D962E1AEF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16640</Words>
  <Characters>113158</Characters>
  <Application>Microsoft Office Word</Application>
  <DocSecurity>0</DocSecurity>
  <Lines>4191</Lines>
  <Paragraphs>1272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PURINS Maris</dc:creator>
  <cp:lastModifiedBy>LEINERTS Dainis</cp:lastModifiedBy>
  <cp:revision>2</cp:revision>
  <cp:lastPrinted>2004-11-04T09:41:00Z</cp:lastPrinted>
  <dcterms:created xsi:type="dcterms:W3CDTF">2025-01-17T13:58:00Z</dcterms:created>
  <dcterms:modified xsi:type="dcterms:W3CDTF">2025-01-17T13:58:00Z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\\eiciBRUpr1\pdocep$\DocEP\TRANSFIL\LV\PR_COD_1amCom.LV(01/10/2024 09:14:00)</vt:lpwstr>
  </property>
  <property fmtid="{D5CDD505-2E9C-101B-9397-08002B2CF9AE}" pid="7" name="&lt;Type&gt;">
    <vt:lpwstr>PR</vt:lpwstr>
  </property>
  <property fmtid="{D5CDD505-2E9C-101B-9397-08002B2CF9AE}" pid="8" name="Bookout">
    <vt:lpwstr>OK - 2025/01/17 14:57</vt:lpwstr>
  </property>
  <property fmtid="{D5CDD505-2E9C-101B-9397-08002B2CF9AE}" pid="9" name="Created with">
    <vt:lpwstr>10.0.0 Build [20241202]</vt:lpwstr>
  </property>
  <property fmtid="{D5CDD505-2E9C-101B-9397-08002B2CF9AE}" pid="10" name="FooterPath">
    <vt:lpwstr>PR\1312684LV.docx</vt:lpwstr>
  </property>
  <property fmtid="{D5CDD505-2E9C-101B-9397-08002B2CF9AE}" pid="11" name="LastEdited with">
    <vt:lpwstr>10.0.0 Build [20241202]</vt:lpwstr>
  </property>
  <property fmtid="{D5CDD505-2E9C-101B-9397-08002B2CF9AE}" pid="12" name="PE number">
    <vt:lpwstr>766.973</vt:lpwstr>
  </property>
  <property fmtid="{D5CDD505-2E9C-101B-9397-08002B2CF9AE}" pid="13" name="SDLStudio">
    <vt:lpwstr/>
  </property>
</Properties>
</file>