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C05DD8" w:rsidRPr="005A1EB4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C05DD8" w:rsidRPr="005A1EB4" w:rsidRDefault="005A1EB4" w:rsidP="00C85D0F">
            <w:pPr>
              <w:pStyle w:val="EPName"/>
            </w:pPr>
            <w:r>
              <w:t>Evropský parlament</w:t>
            </w:r>
          </w:p>
          <w:p w:rsidR="00C05DD8" w:rsidRPr="000F23CD" w:rsidRDefault="000F23CD" w:rsidP="000F23CD">
            <w:pPr>
              <w:pStyle w:val="EPTerm"/>
            </w:pPr>
            <w:r>
              <w:t>2024-2029</w:t>
            </w:r>
          </w:p>
        </w:tc>
        <w:tc>
          <w:tcPr>
            <w:tcW w:w="2268" w:type="dxa"/>
            <w:shd w:val="clear" w:color="auto" w:fill="auto"/>
          </w:tcPr>
          <w:p w:rsidR="00C05DD8" w:rsidRPr="005A1EB4" w:rsidRDefault="00C05DD8" w:rsidP="00C85D0F">
            <w:pPr>
              <w:pStyle w:val="EPLogo"/>
            </w:pPr>
            <w:r w:rsidRPr="005A1EB4">
              <w:rPr>
                <w:noProof/>
                <w:lang w:eastAsia="cs-CZ"/>
              </w:rPr>
              <w:drawing>
                <wp:inline distT="0" distB="0" distL="0" distR="0" wp14:anchorId="4B8BE00E" wp14:editId="501F4E6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612AA" w:rsidRPr="005A1EB4" w:rsidRDefault="009612AA" w:rsidP="009612AA">
      <w:pPr>
        <w:pStyle w:val="LineTop"/>
      </w:pPr>
    </w:p>
    <w:p w:rsidR="009612AA" w:rsidRPr="005A1EB4" w:rsidRDefault="009612AA" w:rsidP="009612AA">
      <w:pPr>
        <w:pStyle w:val="EPBody"/>
      </w:pPr>
      <w:r>
        <w:rPr>
          <w:rStyle w:val="HideTWBExt"/>
        </w:rPr>
        <w:t>&lt;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  <w:r>
        <w:rPr>
          <w:rStyle w:val="HideTWBInt"/>
        </w:rPr>
        <w:t>{LIBE}</w:t>
      </w:r>
      <w:r>
        <w:t>Výbor pro občanské svobody, spravedlnost</w:t>
      </w:r>
      <w:r w:rsidR="00A9419E">
        <w:t xml:space="preserve"> a </w:t>
      </w:r>
      <w:r>
        <w:t>vnitřní věci</w:t>
      </w:r>
      <w:r>
        <w:rPr>
          <w:rStyle w:val="HideTWBExt"/>
        </w:rPr>
        <w:t>&lt;/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</w:p>
    <w:p w:rsidR="009612AA" w:rsidRPr="005A1EB4" w:rsidRDefault="009612AA" w:rsidP="009612AA">
      <w:pPr>
        <w:pStyle w:val="LineBottom"/>
      </w:pPr>
    </w:p>
    <w:p w:rsidR="00363B94" w:rsidRPr="005A1EB4" w:rsidRDefault="00363B94">
      <w:pPr>
        <w:pStyle w:val="CoverReference"/>
      </w:pPr>
      <w:r>
        <w:rPr>
          <w:rStyle w:val="HideTWBExt"/>
          <w:b w:val="0"/>
        </w:rPr>
        <w:t>&lt;RefProc&gt;</w:t>
      </w:r>
      <w:r>
        <w:t>2024/0051</w:t>
      </w:r>
      <w:r>
        <w:rPr>
          <w:rStyle w:val="HideTWBExt"/>
          <w:b w:val="0"/>
        </w:rPr>
        <w:t>&lt;/RefProc&gt;&lt;RefTypeProc&gt;</w:t>
      </w:r>
      <w:r>
        <w:t>(NLE)</w:t>
      </w:r>
      <w:r>
        <w:rPr>
          <w:rStyle w:val="HideTWBExt"/>
          <w:b w:val="0"/>
        </w:rPr>
        <w:t>&lt;/RefTypeProc&gt;</w:t>
      </w:r>
    </w:p>
    <w:p w:rsidR="00363B94" w:rsidRPr="005A1EB4" w:rsidRDefault="00363B94">
      <w:pPr>
        <w:pStyle w:val="CoverDate"/>
      </w:pPr>
      <w:r>
        <w:rPr>
          <w:rStyle w:val="HideTWBExt"/>
        </w:rPr>
        <w:t>&lt;Date&gt;</w:t>
      </w:r>
      <w:r>
        <w:rPr>
          <w:rStyle w:val="HideTWBInt"/>
        </w:rPr>
        <w:t>{14/01/2025}</w:t>
      </w:r>
      <w:r>
        <w:t>14.1.2025</w:t>
      </w:r>
      <w:r>
        <w:rPr>
          <w:rStyle w:val="HideTWBExt"/>
        </w:rPr>
        <w:t>&lt;/Date&gt;</w:t>
      </w:r>
    </w:p>
    <w:p w:rsidR="00363B94" w:rsidRPr="005A1EB4" w:rsidRDefault="00363B94">
      <w:pPr>
        <w:pStyle w:val="CoverDocType"/>
      </w:pPr>
      <w:r>
        <w:rPr>
          <w:rStyle w:val="HideTWBExt"/>
          <w:b w:val="0"/>
        </w:rPr>
        <w:t>&lt;RefProcLect&gt;</w:t>
      </w:r>
      <w:r>
        <w:t>***</w:t>
      </w:r>
      <w:r>
        <w:rPr>
          <w:rStyle w:val="HideTWBExt"/>
          <w:b w:val="0"/>
        </w:rPr>
        <w:t>&lt;/RefProcLect&gt;</w:t>
      </w:r>
    </w:p>
    <w:p w:rsidR="00363B94" w:rsidRPr="005A1EB4" w:rsidRDefault="00363B94">
      <w:pPr>
        <w:pStyle w:val="CoverDocType24a"/>
      </w:pPr>
      <w:r>
        <w:rPr>
          <w:rStyle w:val="HideTWBExt"/>
          <w:b w:val="0"/>
        </w:rPr>
        <w:t>&lt;TitreType&gt;</w:t>
      </w:r>
      <w:r>
        <w:t>NÁVRH DOPORUČENÍ</w:t>
      </w:r>
      <w:r>
        <w:rPr>
          <w:rStyle w:val="HideTWBExt"/>
          <w:b w:val="0"/>
        </w:rPr>
        <w:t>&lt;/TitreType&gt;</w:t>
      </w:r>
    </w:p>
    <w:p w:rsidR="00363B94" w:rsidRPr="005A1EB4" w:rsidRDefault="00363B94">
      <w:pPr>
        <w:pStyle w:val="CoverNormal"/>
      </w:pPr>
      <w:r>
        <w:rPr>
          <w:rStyle w:val="HideTWBExt"/>
        </w:rPr>
        <w:t>&lt;Titre&gt;</w:t>
      </w:r>
      <w:r>
        <w:t>k návrhu rozhodnutí Rady</w:t>
      </w:r>
      <w:r w:rsidR="00A9419E">
        <w:t xml:space="preserve"> o </w:t>
      </w:r>
      <w:r>
        <w:t>uzavření Dohody mezi Kanadou</w:t>
      </w:r>
      <w:r w:rsidR="00A9419E">
        <w:t xml:space="preserve"> a </w:t>
      </w:r>
      <w:r>
        <w:t>Evropskou unií</w:t>
      </w:r>
      <w:r w:rsidR="00A9419E">
        <w:t xml:space="preserve"> o </w:t>
      </w:r>
      <w:r>
        <w:t>předávání</w:t>
      </w:r>
      <w:r w:rsidR="00A9419E">
        <w:t xml:space="preserve"> a </w:t>
      </w:r>
      <w:r>
        <w:t>zpracování údajů jmenné evidence cestujících jménem Unie</w:t>
      </w:r>
      <w:r>
        <w:rPr>
          <w:rStyle w:val="HideTWBExt"/>
        </w:rPr>
        <w:t>&lt;/Titre&gt;</w:t>
      </w:r>
    </w:p>
    <w:p w:rsidR="00363B94" w:rsidRPr="005A1EB4" w:rsidRDefault="00363B94">
      <w:pPr>
        <w:pStyle w:val="CoverNormal24a"/>
      </w:pPr>
      <w:r>
        <w:rPr>
          <w:rStyle w:val="HideTWBExt"/>
        </w:rPr>
        <w:t>&lt;DocRef&gt;</w:t>
      </w:r>
      <w:r>
        <w:t>(08897/2024 – C10</w:t>
      </w:r>
      <w:r>
        <w:noBreakHyphen/>
        <w:t>0125/2024 – 2024/0051(NLE))</w:t>
      </w:r>
      <w:r>
        <w:rPr>
          <w:rStyle w:val="HideTWBExt"/>
        </w:rPr>
        <w:t>&lt;/DocRef&gt;</w:t>
      </w:r>
    </w:p>
    <w:p w:rsidR="00363B94" w:rsidRPr="005A1EB4" w:rsidRDefault="00363B94">
      <w:pPr>
        <w:pStyle w:val="CoverNormal24a"/>
      </w:pPr>
      <w:r>
        <w:rPr>
          <w:rStyle w:val="HideTWBExt"/>
        </w:rPr>
        <w:t>&lt;Commission&gt;</w:t>
      </w:r>
      <w:r>
        <w:rPr>
          <w:rStyle w:val="HideTWBInt"/>
        </w:rPr>
        <w:t>{LIBE}</w:t>
      </w:r>
      <w:r>
        <w:t>Výbor pro občanské svobody, spravedlnost</w:t>
      </w:r>
      <w:r w:rsidR="00A9419E">
        <w:t xml:space="preserve"> a </w:t>
      </w:r>
      <w:r>
        <w:t>vnitřní věci</w:t>
      </w:r>
      <w:r>
        <w:rPr>
          <w:rStyle w:val="HideTWBExt"/>
        </w:rPr>
        <w:t>&lt;/Commission&gt;</w:t>
      </w:r>
    </w:p>
    <w:p w:rsidR="00363B94" w:rsidRPr="005A1EB4" w:rsidRDefault="000F23CD">
      <w:pPr>
        <w:pStyle w:val="CoverNormal24a"/>
      </w:pPr>
      <w:r>
        <w:t xml:space="preserve">Zpravodaj: </w:t>
      </w:r>
      <w:r>
        <w:rPr>
          <w:rStyle w:val="HideTWBExt"/>
        </w:rPr>
        <w:t>&lt;Depute&gt;</w:t>
      </w:r>
      <w:r>
        <w:t>Nikola Minchev</w:t>
      </w:r>
      <w:r>
        <w:rPr>
          <w:rStyle w:val="HideTWBExt"/>
        </w:rPr>
        <w:t>&lt;/Depute&gt;</w:t>
      </w:r>
    </w:p>
    <w:p w:rsidR="00B42885" w:rsidRPr="005A1EB4" w:rsidRDefault="00B42885" w:rsidP="00B42885">
      <w:pPr>
        <w:pStyle w:val="CoverNormal"/>
      </w:pPr>
    </w:p>
    <w:p w:rsidR="000F23CD" w:rsidRDefault="00363B94" w:rsidP="00016E55">
      <w:r>
        <w:br w:type="page"/>
      </w:r>
      <w:r w:rsidR="00A9419E">
        <w:lastRenderedPageBreak/>
        <w:fldChar w:fldCharType="begin"/>
      </w:r>
      <w:r w:rsidR="00A9419E">
        <w:instrText xml:space="preserve"> TITLE  \* MERGEFORMAT </w:instrText>
      </w:r>
      <w:r w:rsidR="00A9419E">
        <w:fldChar w:fldCharType="separate"/>
      </w:r>
      <w:r w:rsidR="00A9419E">
        <w:t>PR_NLE-AP_Agreement</w:t>
      </w:r>
      <w:r w:rsidR="00A9419E">
        <w:fldChar w:fldCharType="end"/>
      </w:r>
    </w:p>
    <w:p w:rsidR="000F23CD" w:rsidRPr="00F0423E" w:rsidRDefault="000F23CD" w:rsidP="00016E55"/>
    <w:p w:rsidR="000F23CD" w:rsidRPr="00F0423E" w:rsidRDefault="000F23CD" w:rsidP="00016E55"/>
    <w:tbl>
      <w:tblPr>
        <w:tblW w:w="0" w:type="auto"/>
        <w:tblInd w:w="1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811"/>
      </w:tblGrid>
      <w:tr w:rsidR="000F23CD">
        <w:tc>
          <w:tcPr>
            <w:tcW w:w="5811" w:type="dxa"/>
          </w:tcPr>
          <w:p w:rsidR="000F23CD" w:rsidRDefault="000F23CD" w:rsidP="00016E55">
            <w:pPr>
              <w:pStyle w:val="Lgendetitre"/>
            </w:pPr>
            <w:r>
              <w:t>Vysvětlivky</w:t>
            </w:r>
          </w:p>
        </w:tc>
      </w:tr>
      <w:tr w:rsidR="000F23CD" w:rsidTr="00114A3C">
        <w:trPr>
          <w:cantSplit/>
          <w:trHeight w:val="1807"/>
        </w:trPr>
        <w:tc>
          <w:tcPr>
            <w:tcW w:w="5811" w:type="dxa"/>
            <w:tcBorders>
              <w:bottom w:val="single" w:sz="4" w:space="0" w:color="auto"/>
            </w:tcBorders>
          </w:tcPr>
          <w:p w:rsidR="000F23CD" w:rsidRDefault="000F23CD" w:rsidP="00343C61">
            <w:pPr>
              <w:pStyle w:val="Lgendesigne"/>
            </w:pPr>
            <w:r>
              <w:tab/>
              <w:t>*</w:t>
            </w:r>
            <w:r>
              <w:tab/>
              <w:t>Postup konzultace</w:t>
            </w:r>
            <w:r>
              <w:tab/>
            </w:r>
          </w:p>
          <w:p w:rsidR="000F23CD" w:rsidRDefault="000F23CD" w:rsidP="00343C61">
            <w:pPr>
              <w:pStyle w:val="Lgendesigne"/>
            </w:pPr>
            <w:r>
              <w:tab/>
              <w:t>***</w:t>
            </w:r>
            <w:r>
              <w:tab/>
              <w:t>Postup souhlasu</w:t>
            </w:r>
          </w:p>
          <w:p w:rsidR="000F23CD" w:rsidRDefault="000F23CD" w:rsidP="00343C61">
            <w:pPr>
              <w:pStyle w:val="Lgendesigne"/>
            </w:pPr>
            <w:r>
              <w:tab/>
              <w:t>***I</w:t>
            </w:r>
            <w:r>
              <w:tab/>
              <w:t>Řádný legislativní postup (první čtení)</w:t>
            </w:r>
          </w:p>
          <w:p w:rsidR="000F23CD" w:rsidRDefault="000F23CD" w:rsidP="00343C61">
            <w:pPr>
              <w:pStyle w:val="Lgendesigne"/>
            </w:pPr>
            <w:r>
              <w:tab/>
              <w:t>***II</w:t>
            </w:r>
            <w:r>
              <w:tab/>
              <w:t>Řádný legislativní postup (druhé čtení)</w:t>
            </w:r>
          </w:p>
          <w:p w:rsidR="000F23CD" w:rsidRDefault="000F23CD" w:rsidP="00343C61">
            <w:pPr>
              <w:pStyle w:val="Lgendesigne"/>
              <w:rPr>
                <w:noProof/>
              </w:rPr>
            </w:pPr>
            <w:r>
              <w:tab/>
              <w:t>***III</w:t>
            </w:r>
            <w:r>
              <w:tab/>
              <w:t>Řádný legislativní postup (třetí čtení)</w:t>
            </w:r>
          </w:p>
          <w:p w:rsidR="000F23CD" w:rsidRDefault="000F23CD" w:rsidP="00016E55">
            <w:pPr>
              <w:pStyle w:val="Lgendestandard"/>
            </w:pPr>
          </w:p>
          <w:p w:rsidR="000F23CD" w:rsidRDefault="000F23CD" w:rsidP="00016E55">
            <w:pPr>
              <w:pStyle w:val="Lgendestandard"/>
            </w:pPr>
            <w:r>
              <w:t>(Druh postupu závisí na právním základu navrženém</w:t>
            </w:r>
            <w:r w:rsidR="00A9419E">
              <w:t xml:space="preserve"> v </w:t>
            </w:r>
            <w:r>
              <w:t>návrhu aktu.)</w:t>
            </w:r>
          </w:p>
          <w:p w:rsidR="000F23CD" w:rsidRDefault="000F23CD" w:rsidP="002B1E3A">
            <w:pPr>
              <w:pStyle w:val="Lgendestandard"/>
            </w:pPr>
          </w:p>
        </w:tc>
      </w:tr>
    </w:tbl>
    <w:p w:rsidR="000F23CD" w:rsidRPr="00F0423E" w:rsidRDefault="000F23CD" w:rsidP="00016E55"/>
    <w:p w:rsidR="00363B94" w:rsidRPr="000F23CD" w:rsidRDefault="00363B94" w:rsidP="00613F2E">
      <w:pPr>
        <w:widowControl/>
        <w:tabs>
          <w:tab w:val="center" w:pos="4677"/>
        </w:tabs>
      </w:pPr>
    </w:p>
    <w:p w:rsidR="00363B94" w:rsidRPr="005A1EB4" w:rsidRDefault="00363B94">
      <w:pPr>
        <w:pStyle w:val="TOCHeading"/>
      </w:pPr>
      <w:r>
        <w:br w:type="page"/>
        <w:t>OBSAH</w:t>
      </w:r>
    </w:p>
    <w:p w:rsidR="00363B94" w:rsidRPr="005A1EB4" w:rsidRDefault="005A1EB4">
      <w:pPr>
        <w:pStyle w:val="TOCPage"/>
      </w:pPr>
      <w:r>
        <w:t>Strana</w:t>
      </w:r>
    </w:p>
    <w:p w:rsidR="00A9419E" w:rsidRDefault="00EF48F2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cs-CZ"/>
        </w:rPr>
      </w:pPr>
      <w:r w:rsidRPr="005A1EB4">
        <w:fldChar w:fldCharType="begin"/>
      </w:r>
      <w:r w:rsidRPr="005A1EB4">
        <w:instrText xml:space="preserve"> TOC \t "PageHeading</w:instrText>
      </w:r>
      <w:r w:rsidR="009269A8">
        <w:instrText>;</w:instrText>
      </w:r>
      <w:r w:rsidRPr="005A1EB4">
        <w:instrText xml:space="preserve">1" </w:instrText>
      </w:r>
      <w:r w:rsidRPr="005A1EB4">
        <w:fldChar w:fldCharType="separate"/>
      </w:r>
      <w:r w:rsidR="00A9419E">
        <w:rPr>
          <w:noProof/>
        </w:rPr>
        <w:t>NÁVRH LEGISLATIVNÍHO USNESENÍ EVROPSKÉHO PARLAMENTU</w:t>
      </w:r>
      <w:r w:rsidR="00A9419E">
        <w:rPr>
          <w:noProof/>
        </w:rPr>
        <w:tab/>
      </w:r>
      <w:r w:rsidR="00A9419E">
        <w:rPr>
          <w:noProof/>
        </w:rPr>
        <w:fldChar w:fldCharType="begin"/>
      </w:r>
      <w:r w:rsidR="00A9419E">
        <w:rPr>
          <w:noProof/>
        </w:rPr>
        <w:instrText xml:space="preserve"> PAGEREF _Toc188528819 \h </w:instrText>
      </w:r>
      <w:r w:rsidR="00A9419E">
        <w:rPr>
          <w:noProof/>
        </w:rPr>
      </w:r>
      <w:r w:rsidR="00A9419E">
        <w:rPr>
          <w:noProof/>
        </w:rPr>
        <w:fldChar w:fldCharType="separate"/>
      </w:r>
      <w:r w:rsidR="00A9419E">
        <w:rPr>
          <w:noProof/>
        </w:rPr>
        <w:t>4</w:t>
      </w:r>
      <w:r w:rsidR="00A9419E">
        <w:rPr>
          <w:noProof/>
        </w:rPr>
        <w:fldChar w:fldCharType="end"/>
      </w:r>
    </w:p>
    <w:p w:rsidR="00A9419E" w:rsidRDefault="00A9419E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cs-CZ"/>
        </w:rPr>
      </w:pPr>
      <w:r>
        <w:rPr>
          <w:noProof/>
        </w:rPr>
        <w:t>VYSVĚTLUJÍCÍ PROHLÁŠENÍ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_Toc188528820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4E1650" w:rsidRPr="005A1EB4" w:rsidRDefault="00EF48F2" w:rsidP="00F04010">
      <w:r w:rsidRPr="005A1EB4">
        <w:fldChar w:fldCharType="end"/>
      </w:r>
    </w:p>
    <w:p w:rsidR="00363B94" w:rsidRPr="005A1EB4" w:rsidRDefault="00363B94" w:rsidP="0006167F">
      <w:pPr>
        <w:pStyle w:val="PageHeading"/>
      </w:pPr>
      <w:r>
        <w:br w:type="page"/>
      </w:r>
      <w:bookmarkStart w:id="0" w:name="_Toc188528819"/>
      <w:r>
        <w:t>NÁVRH LEGISLATIVNÍHO USNESENÍ EVROPSKÉHO PARLAMENTU</w:t>
      </w:r>
      <w:bookmarkEnd w:id="0"/>
    </w:p>
    <w:p w:rsidR="00363B94" w:rsidRPr="005A1EB4" w:rsidRDefault="005A1EB4">
      <w:pPr>
        <w:pStyle w:val="NormalBold"/>
      </w:pPr>
      <w:r>
        <w:t>o návrhu rozhodnutí Rady</w:t>
      </w:r>
      <w:r w:rsidR="00A9419E">
        <w:t xml:space="preserve"> o </w:t>
      </w:r>
      <w:r>
        <w:t>uzavření Dohody mezi Kanadou</w:t>
      </w:r>
      <w:r w:rsidR="00A9419E">
        <w:t xml:space="preserve"> a </w:t>
      </w:r>
      <w:r>
        <w:t>Evropskou unií</w:t>
      </w:r>
      <w:r w:rsidR="00A9419E">
        <w:t xml:space="preserve"> o </w:t>
      </w:r>
      <w:r>
        <w:t>předávání</w:t>
      </w:r>
      <w:r w:rsidR="00A9419E">
        <w:t xml:space="preserve"> a </w:t>
      </w:r>
      <w:r>
        <w:t>zpracování údajů jmenné evidence cestujících jménem Unie</w:t>
      </w:r>
    </w:p>
    <w:p w:rsidR="00363B94" w:rsidRPr="005A1EB4" w:rsidRDefault="005A1EB4">
      <w:pPr>
        <w:pStyle w:val="NormalBold12a"/>
      </w:pPr>
      <w:r>
        <w:t>(08897/2024 – C10</w:t>
      </w:r>
      <w:r>
        <w:noBreakHyphen/>
        <w:t>0125/2024 – 2024/0051(NLE))</w:t>
      </w:r>
    </w:p>
    <w:p w:rsidR="00363B94" w:rsidRPr="005A1EB4" w:rsidRDefault="005A1EB4" w:rsidP="00893FBD">
      <w:pPr>
        <w:pStyle w:val="NormalBold"/>
      </w:pPr>
      <w:r>
        <w:t>(Souhlas)</w:t>
      </w:r>
    </w:p>
    <w:p w:rsidR="00363B94" w:rsidRPr="005A1EB4" w:rsidRDefault="005A1EB4">
      <w:pPr>
        <w:pStyle w:val="EPComma"/>
      </w:pPr>
      <w:r>
        <w:rPr>
          <w:i/>
        </w:rPr>
        <w:t>Evropský parlament</w:t>
      </w:r>
      <w:r>
        <w:t>,</w:t>
      </w:r>
    </w:p>
    <w:p w:rsidR="00BF7F55" w:rsidRPr="005A1EB4" w:rsidRDefault="00BF7F55" w:rsidP="00BF7F55">
      <w:pPr>
        <w:pStyle w:val="NormalHanging12a"/>
      </w:pPr>
      <w:r>
        <w:t>–</w:t>
      </w:r>
      <w:r>
        <w:tab/>
        <w:t>s ohledem na návrh rozhodnutí Rady (08897/2024),</w:t>
      </w:r>
    </w:p>
    <w:p w:rsidR="00363B94" w:rsidRPr="005A1EB4" w:rsidRDefault="00363B94">
      <w:pPr>
        <w:pStyle w:val="NormalHanging12a"/>
      </w:pPr>
      <w:r>
        <w:t>–</w:t>
      </w:r>
      <w:r>
        <w:tab/>
        <w:t>s ohledem na návrh Dohody mezi Kanadou</w:t>
      </w:r>
      <w:r w:rsidR="00A9419E">
        <w:t xml:space="preserve"> a </w:t>
      </w:r>
      <w:r>
        <w:t>Evropskou unií</w:t>
      </w:r>
      <w:r w:rsidR="00A9419E">
        <w:t xml:space="preserve"> o </w:t>
      </w:r>
      <w:r>
        <w:t>předávání</w:t>
      </w:r>
      <w:r w:rsidR="00A9419E">
        <w:t xml:space="preserve"> a </w:t>
      </w:r>
      <w:r>
        <w:t>zpracování údajů jmenné evidence cestujících (08896/2024),</w:t>
      </w:r>
    </w:p>
    <w:p w:rsidR="00363B94" w:rsidRPr="005A1EB4" w:rsidRDefault="005F5D6C">
      <w:pPr>
        <w:pStyle w:val="NormalHanging12a"/>
      </w:pPr>
      <w:r>
        <w:t>–</w:t>
      </w:r>
      <w:r>
        <w:tab/>
        <w:t>s ohledem na žádost</w:t>
      </w:r>
      <w:r w:rsidR="00A9419E">
        <w:t xml:space="preserve"> o </w:t>
      </w:r>
      <w:r>
        <w:t>udělení souhlasu, kterou předložila Rada</w:t>
      </w:r>
      <w:r w:rsidR="00A9419E">
        <w:t xml:space="preserve"> v </w:t>
      </w:r>
      <w:r>
        <w:t>souladu</w:t>
      </w:r>
      <w:r w:rsidR="00A9419E">
        <w:t xml:space="preserve"> s </w:t>
      </w:r>
      <w:r>
        <w:t>čl. 16 odst. 2, čl. 87 odst. 2 písm. a)</w:t>
      </w:r>
      <w:r w:rsidR="00A9419E">
        <w:t xml:space="preserve"> a </w:t>
      </w:r>
      <w:r>
        <w:t>čl. 218 odst. 6 druhým pododstavcem písm. a) bodem v) Smlouvy</w:t>
      </w:r>
      <w:r w:rsidR="00A9419E">
        <w:t xml:space="preserve"> o </w:t>
      </w:r>
      <w:r>
        <w:t>fungování Evropské unie (C10</w:t>
      </w:r>
      <w:r>
        <w:noBreakHyphen/>
        <w:t>0125/2024),</w:t>
      </w:r>
    </w:p>
    <w:p w:rsidR="00363B94" w:rsidRPr="005A1EB4" w:rsidRDefault="00363B94">
      <w:pPr>
        <w:pStyle w:val="NormalHanging12a"/>
      </w:pPr>
      <w:r>
        <w:t>–</w:t>
      </w:r>
      <w:r>
        <w:tab/>
        <w:t>s ohledem na čl. 107 odst. 1</w:t>
      </w:r>
      <w:r w:rsidR="00A9419E">
        <w:t xml:space="preserve"> a </w:t>
      </w:r>
      <w:r>
        <w:t>4</w:t>
      </w:r>
      <w:r w:rsidR="00A9419E">
        <w:t xml:space="preserve"> a </w:t>
      </w:r>
      <w:r>
        <w:t>čl. 117 odst. 7 jednacího řádu,</w:t>
      </w:r>
    </w:p>
    <w:p w:rsidR="00363B94" w:rsidRPr="005A1EB4" w:rsidRDefault="00363B94">
      <w:pPr>
        <w:pStyle w:val="NormalHanging12a"/>
      </w:pPr>
      <w:r>
        <w:t>–</w:t>
      </w:r>
      <w:r>
        <w:tab/>
        <w:t>s ohledem na doporučení Výboru pro občanské svobody, spravedlnost</w:t>
      </w:r>
      <w:r w:rsidR="00A9419E">
        <w:t xml:space="preserve"> a </w:t>
      </w:r>
      <w:r>
        <w:t>vnitřní věci (A10</w:t>
      </w:r>
      <w:r>
        <w:noBreakHyphen/>
        <w:t>0000/2025),</w:t>
      </w:r>
    </w:p>
    <w:p w:rsidR="00363B94" w:rsidRPr="005A1EB4" w:rsidRDefault="00363B94">
      <w:pPr>
        <w:pStyle w:val="NormalHanging12a"/>
      </w:pPr>
      <w:r>
        <w:t>1.</w:t>
      </w:r>
      <w:r>
        <w:tab/>
        <w:t>uděluje souhlas</w:t>
      </w:r>
      <w:r w:rsidR="00A9419E">
        <w:t xml:space="preserve"> s </w:t>
      </w:r>
      <w:r>
        <w:t>uzavřením dohody;</w:t>
      </w:r>
    </w:p>
    <w:p w:rsidR="001D02E3" w:rsidRPr="005A1EB4" w:rsidRDefault="001D02E3">
      <w:pPr>
        <w:pStyle w:val="NormalHanging12a"/>
      </w:pPr>
      <w:r>
        <w:t>2.</w:t>
      </w:r>
      <w:r>
        <w:tab/>
        <w:t>pověřuje svou předsedkyni, aby předala postoj Parlamentu Radě, Komisi, jakož</w:t>
      </w:r>
      <w:r w:rsidR="00A9419E">
        <w:t xml:space="preserve"> i </w:t>
      </w:r>
      <w:r>
        <w:t>vládám</w:t>
      </w:r>
      <w:r w:rsidR="00A9419E">
        <w:t xml:space="preserve"> a </w:t>
      </w:r>
      <w:r>
        <w:t>parlamentům členských států</w:t>
      </w:r>
      <w:r w:rsidR="00A9419E">
        <w:t xml:space="preserve"> a </w:t>
      </w:r>
      <w:r>
        <w:t>Kanady.</w:t>
      </w:r>
    </w:p>
    <w:p w:rsidR="000F23CD" w:rsidRDefault="000F23CD">
      <w:pPr>
        <w:widowControl/>
      </w:pPr>
      <w:r>
        <w:br w:type="page"/>
      </w:r>
    </w:p>
    <w:p w:rsidR="000F23CD" w:rsidRPr="00C565C8" w:rsidRDefault="000F23CD" w:rsidP="000F23CD">
      <w:pPr>
        <w:pStyle w:val="PageHeading"/>
      </w:pPr>
      <w:bookmarkStart w:id="1" w:name="_Toc187847805"/>
      <w:bookmarkStart w:id="2" w:name="_Toc188528820"/>
      <w:r>
        <w:t>VYSVĚTLUJÍCÍ PROHLÁŠENÍ</w:t>
      </w:r>
      <w:bookmarkEnd w:id="1"/>
      <w:bookmarkEnd w:id="2"/>
    </w:p>
    <w:p w:rsidR="000F23CD" w:rsidRPr="00C565C8" w:rsidRDefault="000F23CD" w:rsidP="000F23CD">
      <w:r>
        <w:rPr>
          <w:b/>
        </w:rPr>
        <w:t>a. Souvislosti</w:t>
      </w:r>
    </w:p>
    <w:p w:rsidR="000F23CD" w:rsidRPr="00C565C8" w:rsidRDefault="000F23CD" w:rsidP="000F23CD">
      <w:pPr>
        <w:spacing w:before="240" w:after="240"/>
        <w:jc w:val="both"/>
      </w:pPr>
      <w:r>
        <w:t>Tento postup souhlasu se týká návrhu rozhodnutí Rady</w:t>
      </w:r>
      <w:r w:rsidR="00A9419E">
        <w:t xml:space="preserve"> o </w:t>
      </w:r>
      <w:r>
        <w:t>uzavření Dohody mezi Kanadou</w:t>
      </w:r>
      <w:r w:rsidR="00A9419E">
        <w:t xml:space="preserve"> a </w:t>
      </w:r>
      <w:r>
        <w:t>Evropskou unií</w:t>
      </w:r>
      <w:r w:rsidR="00A9419E">
        <w:t xml:space="preserve"> o </w:t>
      </w:r>
      <w:r>
        <w:t>předávání</w:t>
      </w:r>
      <w:r w:rsidR="00A9419E">
        <w:t xml:space="preserve"> a </w:t>
      </w:r>
      <w:r>
        <w:t>zpracovávání údajů jmenné evidence cestujících (PNR).</w:t>
      </w:r>
    </w:p>
    <w:p w:rsidR="000F23CD" w:rsidRPr="00C565C8" w:rsidRDefault="000F23CD" w:rsidP="000F23CD">
      <w:pPr>
        <w:jc w:val="both"/>
      </w:pPr>
      <w:r>
        <w:t>Evropský parlament si vyžádal posudek Soudního dvora EU</w:t>
      </w:r>
      <w:r w:rsidR="00A9419E">
        <w:t xml:space="preserve"> k </w:t>
      </w:r>
      <w:r>
        <w:t>předchozí dohodě</w:t>
      </w:r>
      <w:r w:rsidR="00A9419E">
        <w:t xml:space="preserve"> o </w:t>
      </w:r>
      <w:r>
        <w:t>PNR</w:t>
      </w:r>
      <w:r w:rsidR="00A9419E">
        <w:t xml:space="preserve"> s </w:t>
      </w:r>
      <w:r>
        <w:t>Kanadou</w:t>
      </w:r>
      <w:r w:rsidR="00A9419E">
        <w:t xml:space="preserve"> z </w:t>
      </w:r>
      <w:r>
        <w:t>roku 2014 ohledně její slučitelnosti se Smlouvami EU</w:t>
      </w:r>
      <w:r w:rsidR="00A9419E">
        <w:t xml:space="preserve"> a </w:t>
      </w:r>
      <w:r>
        <w:t>Listinou základních práv Evropské unie. Dne 26. července 2017 vydal Soudní dvůr posudek 1/15,</w:t>
      </w:r>
      <w:r w:rsidR="00A9419E">
        <w:t xml:space="preserve"> v </w:t>
      </w:r>
      <w:r>
        <w:t>němž uvedl, že zamýšlená dohoda</w:t>
      </w:r>
      <w:r w:rsidR="00A9419E">
        <w:t xml:space="preserve"> o </w:t>
      </w:r>
      <w:r>
        <w:t>PNR mezi EU</w:t>
      </w:r>
      <w:r w:rsidR="00A9419E">
        <w:t xml:space="preserve"> a </w:t>
      </w:r>
      <w:r>
        <w:t>Kanadou nemůže být ve stávající podobě uzavřena, neboť některá její ustanovení nejsou slučitelná se základními právy uznanými EU.</w:t>
      </w:r>
      <w:r w:rsidR="00A9419E">
        <w:t xml:space="preserve"> V </w:t>
      </w:r>
      <w:r>
        <w:t>návaznosti na vydání tohoto posudku obnovily EU</w:t>
      </w:r>
      <w:r w:rsidR="00A9419E">
        <w:t xml:space="preserve"> a </w:t>
      </w:r>
      <w:r>
        <w:t>Kanada jednání</w:t>
      </w:r>
      <w:r w:rsidR="00A9419E">
        <w:t xml:space="preserve"> s </w:t>
      </w:r>
      <w:r>
        <w:t>cílem podepsat novou dohodu, která bude</w:t>
      </w:r>
      <w:r w:rsidR="00A9419E">
        <w:t xml:space="preserve"> v </w:t>
      </w:r>
      <w:r>
        <w:t>souladu</w:t>
      </w:r>
      <w:r w:rsidR="00A9419E">
        <w:t xml:space="preserve"> s </w:t>
      </w:r>
      <w:r>
        <w:t>požadavky Soudního dvora.</w:t>
      </w:r>
    </w:p>
    <w:p w:rsidR="000F23CD" w:rsidRPr="00C565C8" w:rsidRDefault="000F23CD" w:rsidP="000F23CD">
      <w:pPr>
        <w:spacing w:before="240" w:after="240"/>
        <w:jc w:val="both"/>
      </w:pPr>
      <w:r>
        <w:t>Jednání</w:t>
      </w:r>
      <w:r w:rsidR="00A9419E">
        <w:t xml:space="preserve"> o </w:t>
      </w:r>
      <w:r>
        <w:t>této verzi dohody byla zahájena</w:t>
      </w:r>
      <w:r w:rsidR="00A9419E">
        <w:t xml:space="preserve"> v </w:t>
      </w:r>
      <w:r>
        <w:t>roce 2018</w:t>
      </w:r>
      <w:r w:rsidR="00A9419E">
        <w:t xml:space="preserve"> a </w:t>
      </w:r>
      <w:r>
        <w:t>po uzavření jednání</w:t>
      </w:r>
      <w:r w:rsidR="00A9419E">
        <w:t xml:space="preserve"> v </w:t>
      </w:r>
      <w:r>
        <w:t>roce 2023 byl konečný návrh znění předložen Radě</w:t>
      </w:r>
      <w:r w:rsidR="00A9419E">
        <w:t xml:space="preserve"> a </w:t>
      </w:r>
      <w:r>
        <w:t>Evropskému parlamentu. Dne 4. března 2024 vydala Evropská komise dva návrhy rozhodnutí Rady</w:t>
      </w:r>
      <w:r w:rsidR="00A9419E">
        <w:t xml:space="preserve"> o </w:t>
      </w:r>
      <w:r>
        <w:t>podpisu</w:t>
      </w:r>
      <w:r w:rsidR="00A9419E">
        <w:t xml:space="preserve"> a o </w:t>
      </w:r>
      <w:r>
        <w:t>uzavření Dohody mezi Kanadou</w:t>
      </w:r>
      <w:r w:rsidR="00A9419E">
        <w:t xml:space="preserve"> a </w:t>
      </w:r>
      <w:r>
        <w:t>Evropskou unií</w:t>
      </w:r>
      <w:r w:rsidR="00A9419E">
        <w:t xml:space="preserve"> o </w:t>
      </w:r>
      <w:r>
        <w:t>předávání</w:t>
      </w:r>
      <w:r w:rsidR="00A9419E">
        <w:t xml:space="preserve"> a </w:t>
      </w:r>
      <w:r>
        <w:t>zpracování údajů jmenné evidence cestujících (PNR) jménem Evropské unie.</w:t>
      </w:r>
    </w:p>
    <w:p w:rsidR="000F23CD" w:rsidRPr="00C565C8" w:rsidRDefault="000F23CD" w:rsidP="000F23CD">
      <w:pPr>
        <w:spacing w:after="240"/>
        <w:jc w:val="both"/>
      </w:pPr>
      <w:r>
        <w:t>Byl konzultován evropský inspektor ochrany údajů (EIOÚ), který dne 29. dubna 2024 vydal stanovisko 15/2024,</w:t>
      </w:r>
      <w:r w:rsidR="00A9419E">
        <w:t xml:space="preserve"> v </w:t>
      </w:r>
      <w:r>
        <w:t>němž dospěl</w:t>
      </w:r>
      <w:r w:rsidR="00A9419E">
        <w:t xml:space="preserve"> k </w:t>
      </w:r>
      <w:r>
        <w:t>závěru, že návrh dohody obsahuje nezbytné záruky nutné pro jeho slučitelnost</w:t>
      </w:r>
      <w:r w:rsidR="00A9419E">
        <w:t xml:space="preserve"> s </w:t>
      </w:r>
      <w:r>
        <w:t>Listinou základních práv</w:t>
      </w:r>
      <w:r w:rsidR="00A9419E">
        <w:t xml:space="preserve"> v </w:t>
      </w:r>
      <w:r>
        <w:t>souladu</w:t>
      </w:r>
      <w:r w:rsidR="00A9419E">
        <w:t xml:space="preserve"> s </w:t>
      </w:r>
      <w:r>
        <w:t>posudkem 1/15 SDEU. Stanovisko rovněž obsahovalo řadu doporučení týkajících se provádění této dohody.</w:t>
      </w:r>
    </w:p>
    <w:p w:rsidR="000F23CD" w:rsidRPr="00C565C8" w:rsidRDefault="000F23CD" w:rsidP="000F23CD">
      <w:pPr>
        <w:spacing w:before="240" w:after="240"/>
      </w:pPr>
      <w:r>
        <w:rPr>
          <w:b/>
        </w:rPr>
        <w:t>b. Postoj zpravodaje</w:t>
      </w:r>
    </w:p>
    <w:p w:rsidR="000F23CD" w:rsidRPr="00C565C8" w:rsidRDefault="000F23CD" w:rsidP="000F23CD">
      <w:pPr>
        <w:jc w:val="both"/>
      </w:pPr>
      <w:r>
        <w:t>Zpravodaj považuje uzavření mezinárodní dohody, která stanoví jasný právní rámec pro výměnu údajů PNR</w:t>
      </w:r>
      <w:r w:rsidR="00A9419E">
        <w:t xml:space="preserve"> s </w:t>
      </w:r>
      <w:r>
        <w:t>Kanadou, za důležitý krok</w:t>
      </w:r>
      <w:r w:rsidR="00A9419E">
        <w:t xml:space="preserve"> v </w:t>
      </w:r>
      <w:r>
        <w:t>úsilí EU</w:t>
      </w:r>
      <w:r w:rsidR="00A9419E">
        <w:t xml:space="preserve"> o </w:t>
      </w:r>
      <w:r>
        <w:t>prevenci, odhalování, vyšetřování</w:t>
      </w:r>
      <w:r w:rsidR="00A9419E">
        <w:t xml:space="preserve"> a </w:t>
      </w:r>
      <w:r>
        <w:t>stíhání závažn</w:t>
      </w:r>
      <w:r w:rsidR="00F0423E">
        <w:t>é trestné činnosti</w:t>
      </w:r>
      <w:r w:rsidR="00A9419E">
        <w:t xml:space="preserve"> a </w:t>
      </w:r>
      <w:r w:rsidR="00F0423E">
        <w:t>terorismu.</w:t>
      </w:r>
    </w:p>
    <w:p w:rsidR="000F23CD" w:rsidRPr="00C565C8" w:rsidRDefault="000F23CD" w:rsidP="000F23CD">
      <w:pPr>
        <w:spacing w:before="240" w:after="240"/>
        <w:jc w:val="both"/>
      </w:pPr>
      <w:r>
        <w:t>Chtěl by rovněž ocenit důležitou práci, kterou Evropský parlament vykonal</w:t>
      </w:r>
      <w:r w:rsidR="00A9419E">
        <w:t xml:space="preserve"> v </w:t>
      </w:r>
      <w:r>
        <w:t>minulosti, včetně práce předchozí zpravodajky jmenované pro tento postup, Sophie in’t Veldové,</w:t>
      </w:r>
      <w:r w:rsidR="00A9419E">
        <w:t xml:space="preserve"> s </w:t>
      </w:r>
      <w:r>
        <w:t>cílem zajistit, aby tato dohoda dodržovala normy EU týkající se dodržování Smluv, Listiny základních práv EU</w:t>
      </w:r>
      <w:r w:rsidR="00A9419E">
        <w:t xml:space="preserve"> i </w:t>
      </w:r>
      <w:r>
        <w:t>nedávných rozhodnutí Evropského soudního dvora.</w:t>
      </w:r>
    </w:p>
    <w:p w:rsidR="000F23CD" w:rsidRPr="00C565C8" w:rsidRDefault="000F23CD" w:rsidP="000F23CD">
      <w:pPr>
        <w:spacing w:after="240"/>
        <w:jc w:val="both"/>
      </w:pPr>
      <w:r>
        <w:t>Podle nejnovější zprávy Europolu</w:t>
      </w:r>
      <w:r w:rsidRPr="00C565C8">
        <w:rPr>
          <w:rStyle w:val="FootnoteReference"/>
        </w:rPr>
        <w:footnoteReference w:id="1"/>
      </w:r>
      <w:r>
        <w:t xml:space="preserve"> bylo jen</w:t>
      </w:r>
      <w:r w:rsidR="00A9419E">
        <w:t xml:space="preserve"> v </w:t>
      </w:r>
      <w:r>
        <w:t>roce 2023</w:t>
      </w:r>
      <w:r w:rsidR="00A9419E">
        <w:t xml:space="preserve"> v </w:t>
      </w:r>
      <w:r>
        <w:t>členských státech EU provedeno celkem 120 teroristických útoků. To dokazuje současný rozsah terorismu</w:t>
      </w:r>
      <w:r w:rsidR="00A9419E">
        <w:t xml:space="preserve"> v </w:t>
      </w:r>
      <w:r>
        <w:t>EU</w:t>
      </w:r>
      <w:r w:rsidR="00A9419E">
        <w:t xml:space="preserve"> a </w:t>
      </w:r>
      <w:r>
        <w:t>potřebu zajistit, aby orgány pověřené bojem proti této hrozbě byly vybaveny všemi dostupnými nástroji, aby takovým útokům zabránily. Shromažďování</w:t>
      </w:r>
      <w:r w:rsidR="00A9419E">
        <w:t xml:space="preserve"> a </w:t>
      </w:r>
      <w:r>
        <w:t>analýza údajů PNR může příslušným orgánům poskytnout důležité informace, které jim umožní odhalovat podezřelé vzorce cestování</w:t>
      </w:r>
      <w:r w:rsidR="00A9419E">
        <w:t xml:space="preserve"> a </w:t>
      </w:r>
      <w:r>
        <w:t>identifikovat spolupachatele zločinců</w:t>
      </w:r>
      <w:r w:rsidR="00A9419E">
        <w:t xml:space="preserve"> a </w:t>
      </w:r>
      <w:r>
        <w:t>teroristů,</w:t>
      </w:r>
      <w:r w:rsidR="00A9419E">
        <w:t xml:space="preserve"> a </w:t>
      </w:r>
      <w:r>
        <w:t>přispět</w:t>
      </w:r>
      <w:r w:rsidR="00A9419E">
        <w:t xml:space="preserve"> k </w:t>
      </w:r>
      <w:r>
        <w:t>vyšetřování</w:t>
      </w:r>
      <w:r w:rsidR="00A9419E">
        <w:t xml:space="preserve"> a </w:t>
      </w:r>
      <w:r>
        <w:t>stíhání případů páchání protiprávní činnosti. Zpravodaj je přesvědčen, že je třeba umožnit mezinárodní policejní</w:t>
      </w:r>
      <w:r w:rsidR="00A9419E">
        <w:t xml:space="preserve"> a </w:t>
      </w:r>
      <w:r>
        <w:t>justiční spolupráci,</w:t>
      </w:r>
      <w:r w:rsidR="00A9419E">
        <w:t xml:space="preserve"> a </w:t>
      </w:r>
      <w:r>
        <w:t>to zejména</w:t>
      </w:r>
      <w:r w:rsidR="00A9419E">
        <w:t xml:space="preserve"> v </w:t>
      </w:r>
      <w:r>
        <w:t>případě Kanady, která je spolehlivým</w:t>
      </w:r>
      <w:r w:rsidR="00A9419E">
        <w:t xml:space="preserve"> a </w:t>
      </w:r>
      <w:r>
        <w:t>důvěryhodným mezinárodním partnerem EU.</w:t>
      </w:r>
    </w:p>
    <w:p w:rsidR="000F23CD" w:rsidRPr="00C565C8" w:rsidRDefault="000F23CD" w:rsidP="000F23CD">
      <w:pPr>
        <w:jc w:val="both"/>
      </w:pPr>
      <w:r>
        <w:t>Zpravodaj uznává, že zpracování údajů jmenné ev</w:t>
      </w:r>
      <w:bookmarkStart w:id="3" w:name="_GoBack"/>
      <w:bookmarkEnd w:id="3"/>
      <w:r>
        <w:t>idence cestujících představuje zásah do soukromí</w:t>
      </w:r>
      <w:r w:rsidR="00A9419E">
        <w:t xml:space="preserve"> a </w:t>
      </w:r>
      <w:r>
        <w:t>práv cestujících na ochranu údajů, domnívá se však, že tento omezený</w:t>
      </w:r>
      <w:r w:rsidR="00A9419E">
        <w:t xml:space="preserve"> a </w:t>
      </w:r>
      <w:r>
        <w:t>přísně regulovaný zásah donucovacích orgánů je nezbytný</w:t>
      </w:r>
      <w:r w:rsidR="00A9419E">
        <w:t xml:space="preserve"> a </w:t>
      </w:r>
      <w:r>
        <w:t>přiměřený vzhledem</w:t>
      </w:r>
      <w:r w:rsidR="00A9419E">
        <w:t xml:space="preserve"> k </w:t>
      </w:r>
      <w:r>
        <w:t>důležité úloze, kterou může hrát mezinárodní výměna</w:t>
      </w:r>
      <w:r w:rsidR="00A9419E">
        <w:t xml:space="preserve"> a </w:t>
      </w:r>
      <w:r>
        <w:t>analýza údajů PNR</w:t>
      </w:r>
      <w:r w:rsidR="00A9419E">
        <w:t xml:space="preserve"> v </w:t>
      </w:r>
      <w:r>
        <w:t>boji proti závažné nadnárodn</w:t>
      </w:r>
      <w:r w:rsidR="00F0423E">
        <w:t>í trestné činnosti</w:t>
      </w:r>
      <w:r w:rsidR="00A9419E">
        <w:t xml:space="preserve"> a </w:t>
      </w:r>
      <w:r w:rsidR="00F0423E">
        <w:t>terorismu.</w:t>
      </w:r>
    </w:p>
    <w:p w:rsidR="000F23CD" w:rsidRPr="00C565C8" w:rsidRDefault="000F23CD" w:rsidP="000F23CD">
      <w:pPr>
        <w:spacing w:before="240"/>
        <w:jc w:val="both"/>
      </w:pPr>
      <w:r>
        <w:t>Na základě kladného stanoviska EIOÚ</w:t>
      </w:r>
      <w:r w:rsidR="00A9419E">
        <w:t xml:space="preserve"> a s </w:t>
      </w:r>
      <w:r>
        <w:t>ohledem na rozsudek Soudního dvora</w:t>
      </w:r>
      <w:r w:rsidR="00A9419E">
        <w:t xml:space="preserve"> z </w:t>
      </w:r>
      <w:r>
        <w:t>roku 2022, kterým se potvrzuje právní rámec Unie pro zpracování údajů PNR, je zpravodaj přesvědčen</w:t>
      </w:r>
      <w:r w:rsidR="00A9419E">
        <w:t xml:space="preserve"> o </w:t>
      </w:r>
      <w:r>
        <w:t>cílech této dohody</w:t>
      </w:r>
      <w:r w:rsidR="00A9419E">
        <w:t xml:space="preserve"> a </w:t>
      </w:r>
      <w:r>
        <w:t>zárukách, které obsahuje. Zejména je přesvědčen, že dohoda obsahuje záruky týkající se nediskriminace, uchovávání</w:t>
      </w:r>
      <w:r w:rsidR="00A9419E">
        <w:t xml:space="preserve"> a </w:t>
      </w:r>
      <w:r>
        <w:t>bezpečnosti údajů, dohledu, transparentnosti</w:t>
      </w:r>
      <w:r w:rsidR="00A9419E">
        <w:t xml:space="preserve"> a </w:t>
      </w:r>
      <w:r>
        <w:t>informování cestujících, individuálního přístupu</w:t>
      </w:r>
      <w:r w:rsidR="00A9419E">
        <w:t xml:space="preserve"> k </w:t>
      </w:r>
      <w:r>
        <w:t>údajům PNR</w:t>
      </w:r>
      <w:r w:rsidR="00A9419E">
        <w:t xml:space="preserve"> a </w:t>
      </w:r>
      <w:r>
        <w:t>jejich opravy</w:t>
      </w:r>
      <w:r w:rsidR="00A9419E">
        <w:t xml:space="preserve"> a </w:t>
      </w:r>
      <w:r>
        <w:t>správních</w:t>
      </w:r>
      <w:r w:rsidR="00A9419E">
        <w:t xml:space="preserve"> a </w:t>
      </w:r>
      <w:r>
        <w:t>soudních opravných prostředků.</w:t>
      </w:r>
    </w:p>
    <w:p w:rsidR="000F23CD" w:rsidRPr="00C565C8" w:rsidRDefault="000F23CD" w:rsidP="000F23CD">
      <w:pPr>
        <w:spacing w:before="240"/>
        <w:jc w:val="both"/>
      </w:pPr>
      <w:r>
        <w:t>Zpravodaj zdůrazňuje, že očekává, že tato dohoda bude uplatňována</w:t>
      </w:r>
      <w:r w:rsidR="00A9419E">
        <w:t xml:space="preserve"> v </w:t>
      </w:r>
      <w:r>
        <w:t>přísném souladu</w:t>
      </w:r>
      <w:r w:rsidR="00A9419E">
        <w:t xml:space="preserve"> s </w:t>
      </w:r>
      <w:r>
        <w:t>těmito zárukami, judikaturou SDEU</w:t>
      </w:r>
      <w:r w:rsidR="00A9419E">
        <w:t xml:space="preserve"> a </w:t>
      </w:r>
      <w:r>
        <w:t>doporučeními vydanými EIOÚ. Připomíná proto Komisi, aby při přezkumech stanovených</w:t>
      </w:r>
      <w:r w:rsidR="00A9419E">
        <w:t xml:space="preserve"> v </w:t>
      </w:r>
      <w:r>
        <w:t>dohodě věnovala těmto aspektům</w:t>
      </w:r>
      <w:r w:rsidR="00A9419E">
        <w:t xml:space="preserve"> i </w:t>
      </w:r>
      <w:r>
        <w:t>výkonu práv subjektů údajů zvláštní pozornost.</w:t>
      </w:r>
    </w:p>
    <w:p w:rsidR="000F23CD" w:rsidRPr="00C565C8" w:rsidRDefault="000F23CD" w:rsidP="000F23CD">
      <w:pPr>
        <w:spacing w:before="240"/>
        <w:jc w:val="both"/>
      </w:pPr>
      <w:r>
        <w:t>Závěrem zpravodaj konstatuje, že uzavření této dohody je pozitivním krokem</w:t>
      </w:r>
      <w:r w:rsidR="00A9419E">
        <w:t xml:space="preserve"> v </w:t>
      </w:r>
      <w:r>
        <w:t>boji proti závažné trestné činnosti</w:t>
      </w:r>
      <w:r w:rsidR="00A9419E">
        <w:t xml:space="preserve"> a </w:t>
      </w:r>
      <w:r>
        <w:t>terorismu při zachování nezbytných omezení</w:t>
      </w:r>
      <w:r w:rsidR="00A9419E">
        <w:t xml:space="preserve"> a </w:t>
      </w:r>
      <w:r>
        <w:t>záruk</w:t>
      </w:r>
      <w:r w:rsidR="00A9419E">
        <w:t xml:space="preserve"> k </w:t>
      </w:r>
      <w:r>
        <w:t>zajištění dodržová</w:t>
      </w:r>
      <w:r w:rsidR="00F0423E">
        <w:t>ní základních práv cestujících.</w:t>
      </w:r>
    </w:p>
    <w:p w:rsidR="000F23CD" w:rsidRPr="00C565C8" w:rsidRDefault="000F23CD" w:rsidP="00F0423E">
      <w:pPr>
        <w:spacing w:before="240"/>
        <w:jc w:val="both"/>
      </w:pPr>
      <w:r>
        <w:t>S ohledem na výše uvedené zpravodaj doporučuje, aby Parlament návrh rozhodnutí Rady schválil.</w:t>
      </w:r>
    </w:p>
    <w:p w:rsidR="00363B94" w:rsidRPr="005A1EB4" w:rsidRDefault="00363B94" w:rsidP="00822206"/>
    <w:sectPr w:rsidR="00363B94" w:rsidRPr="005A1EB4" w:rsidSect="001874D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1EB4" w:rsidRPr="005A1EB4" w:rsidRDefault="005A1EB4">
      <w:r w:rsidRPr="005A1EB4">
        <w:separator/>
      </w:r>
    </w:p>
  </w:endnote>
  <w:endnote w:type="continuationSeparator" w:id="0">
    <w:p w:rsidR="005A1EB4" w:rsidRPr="005A1EB4" w:rsidRDefault="005A1EB4">
      <w:r w:rsidRPr="005A1EB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501C" w:rsidRPr="005A1EB4" w:rsidRDefault="0085501C" w:rsidP="00B6769C">
    <w:pPr>
      <w:pStyle w:val="EPFooter"/>
    </w:pPr>
    <w:r w:rsidRPr="005A1EB4">
      <w:t>PE</w:t>
    </w:r>
    <w:r w:rsidRPr="005A1EB4">
      <w:rPr>
        <w:rStyle w:val="HideTWBExt"/>
      </w:rPr>
      <w:t>&lt;NoPE&gt;</w:t>
    </w:r>
    <w:r w:rsidR="000F23CD" w:rsidRPr="000F23CD">
      <w:t>767.911</w:t>
    </w:r>
    <w:r w:rsidRPr="005A1EB4">
      <w:rPr>
        <w:rStyle w:val="HideTWBExt"/>
      </w:rPr>
      <w:t>&lt;/NoPE&gt;&lt;Version&gt;</w:t>
    </w:r>
    <w:r w:rsidR="005A1EB4" w:rsidRPr="005A1EB4">
      <w:t>v</w:t>
    </w:r>
    <w:r w:rsidR="000F23CD" w:rsidRPr="000F23CD">
      <w:t>01-00</w:t>
    </w:r>
    <w:r w:rsidRPr="005A1EB4">
      <w:rPr>
        <w:rStyle w:val="HideTWBExt"/>
      </w:rPr>
      <w:t>&lt;/Version&gt;</w:t>
    </w:r>
    <w:r w:rsidRPr="005A1EB4">
      <w:tab/>
    </w:r>
    <w:r w:rsidR="00337C92" w:rsidRPr="005A1EB4">
      <w:fldChar w:fldCharType="begin"/>
    </w:r>
    <w:r w:rsidR="00337C92" w:rsidRPr="005A1EB4">
      <w:instrText xml:space="preserve"> PAGE </w:instrText>
    </w:r>
    <w:r w:rsidR="00337C92" w:rsidRPr="005A1EB4">
      <w:fldChar w:fldCharType="separate"/>
    </w:r>
    <w:r w:rsidR="00A9419E">
      <w:rPr>
        <w:noProof/>
      </w:rPr>
      <w:t>6</w:t>
    </w:r>
    <w:r w:rsidR="00337C92" w:rsidRPr="005A1EB4">
      <w:fldChar w:fldCharType="end"/>
    </w:r>
    <w:r w:rsidR="00337C92" w:rsidRPr="005A1EB4">
      <w:t>/</w:t>
    </w:r>
    <w:r w:rsidR="00A9419E">
      <w:fldChar w:fldCharType="begin"/>
    </w:r>
    <w:r w:rsidR="00A9419E">
      <w:instrText xml:space="preserve"> NUMPAGES </w:instrText>
    </w:r>
    <w:r w:rsidR="00A9419E">
      <w:fldChar w:fldCharType="separate"/>
    </w:r>
    <w:r w:rsidR="00A9419E">
      <w:rPr>
        <w:noProof/>
      </w:rPr>
      <w:t>6</w:t>
    </w:r>
    <w:r w:rsidR="00A9419E">
      <w:rPr>
        <w:noProof/>
      </w:rPr>
      <w:fldChar w:fldCharType="end"/>
    </w:r>
    <w:r w:rsidRPr="005A1EB4">
      <w:tab/>
    </w:r>
    <w:r w:rsidRPr="005A1EB4">
      <w:rPr>
        <w:rStyle w:val="HideTWBExt"/>
      </w:rPr>
      <w:t>&lt;PathFdR&gt;</w:t>
    </w:r>
    <w:r w:rsidR="000F23CD" w:rsidRPr="000F23CD">
      <w:t>PR\1313184CS.docx</w:t>
    </w:r>
    <w:r w:rsidRPr="005A1EB4">
      <w:rPr>
        <w:rStyle w:val="HideTWBExt"/>
      </w:rPr>
      <w:t>&lt;/PathFdR&gt;</w:t>
    </w:r>
  </w:p>
  <w:p w:rsidR="0085501C" w:rsidRPr="005A1EB4" w:rsidRDefault="00A9419E">
    <w:pPr>
      <w:pStyle w:val="EPFooter2"/>
    </w:pPr>
    <w:r>
      <w:fldChar w:fldCharType="begin"/>
    </w:r>
    <w:r>
      <w:instrText xml:space="preserve"> DOCPROPERTY "&lt;Extension&gt;" </w:instrText>
    </w:r>
    <w:r>
      <w:fldChar w:fldCharType="separate"/>
    </w:r>
    <w:r>
      <w:t>CS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501C" w:rsidRPr="005A1EB4" w:rsidRDefault="0085501C" w:rsidP="00B6769C">
    <w:pPr>
      <w:pStyle w:val="EPFooter"/>
    </w:pPr>
    <w:r w:rsidRPr="005A1EB4">
      <w:rPr>
        <w:rStyle w:val="HideTWBExt"/>
      </w:rPr>
      <w:t>&lt;PathFdR&gt;</w:t>
    </w:r>
    <w:r w:rsidR="000F23CD" w:rsidRPr="000F23CD">
      <w:t>PR\1313184CS.docx</w:t>
    </w:r>
    <w:r w:rsidRPr="005A1EB4">
      <w:rPr>
        <w:rStyle w:val="HideTWBExt"/>
      </w:rPr>
      <w:t>&lt;/PathFdR&gt;</w:t>
    </w:r>
    <w:r w:rsidRPr="005A1EB4">
      <w:tab/>
    </w:r>
    <w:r w:rsidR="00337C92" w:rsidRPr="005A1EB4">
      <w:fldChar w:fldCharType="begin"/>
    </w:r>
    <w:r w:rsidR="00337C92" w:rsidRPr="005A1EB4">
      <w:instrText xml:space="preserve"> PAGE </w:instrText>
    </w:r>
    <w:r w:rsidR="00337C92" w:rsidRPr="005A1EB4">
      <w:fldChar w:fldCharType="separate"/>
    </w:r>
    <w:r w:rsidR="00A9419E">
      <w:rPr>
        <w:noProof/>
      </w:rPr>
      <w:t>5</w:t>
    </w:r>
    <w:r w:rsidR="00337C92" w:rsidRPr="005A1EB4">
      <w:fldChar w:fldCharType="end"/>
    </w:r>
    <w:r w:rsidR="00337C92" w:rsidRPr="005A1EB4">
      <w:t>/</w:t>
    </w:r>
    <w:r w:rsidR="00A9419E">
      <w:fldChar w:fldCharType="begin"/>
    </w:r>
    <w:r w:rsidR="00A9419E">
      <w:instrText xml:space="preserve"> NUMPAGES </w:instrText>
    </w:r>
    <w:r w:rsidR="00A9419E">
      <w:fldChar w:fldCharType="separate"/>
    </w:r>
    <w:r w:rsidR="00A9419E">
      <w:rPr>
        <w:noProof/>
      </w:rPr>
      <w:t>6</w:t>
    </w:r>
    <w:r w:rsidR="00A9419E">
      <w:rPr>
        <w:noProof/>
      </w:rPr>
      <w:fldChar w:fldCharType="end"/>
    </w:r>
    <w:r w:rsidRPr="005A1EB4">
      <w:tab/>
      <w:t>PE</w:t>
    </w:r>
    <w:r w:rsidRPr="005A1EB4">
      <w:rPr>
        <w:rStyle w:val="HideTWBExt"/>
      </w:rPr>
      <w:t>&lt;NoPE&gt;</w:t>
    </w:r>
    <w:r w:rsidR="000F23CD" w:rsidRPr="000F23CD">
      <w:t>767.911</w:t>
    </w:r>
    <w:r w:rsidRPr="005A1EB4">
      <w:rPr>
        <w:rStyle w:val="HideTWBExt"/>
      </w:rPr>
      <w:t>&lt;/NoPE&gt;&lt;Version&gt;</w:t>
    </w:r>
    <w:r w:rsidR="005A1EB4" w:rsidRPr="005A1EB4">
      <w:t>v</w:t>
    </w:r>
    <w:r w:rsidR="000F23CD" w:rsidRPr="000F23CD">
      <w:t>01-00</w:t>
    </w:r>
    <w:r w:rsidRPr="005A1EB4">
      <w:rPr>
        <w:rStyle w:val="HideTWBExt"/>
      </w:rPr>
      <w:t>&lt;/Version&gt;</w:t>
    </w:r>
  </w:p>
  <w:p w:rsidR="0085501C" w:rsidRPr="005A1EB4" w:rsidRDefault="00337C92">
    <w:pPr>
      <w:pStyle w:val="EPFooter2"/>
    </w:pPr>
    <w:r w:rsidRPr="005A1EB4">
      <w:tab/>
    </w:r>
    <w:r w:rsidR="0085501C" w:rsidRPr="005A1EB4">
      <w:tab/>
    </w:r>
    <w:r w:rsidR="00A9419E">
      <w:fldChar w:fldCharType="begin"/>
    </w:r>
    <w:r w:rsidR="00A9419E">
      <w:instrText xml:space="preserve"> DOCPROPERTY "&lt;Extension&gt;" </w:instrText>
    </w:r>
    <w:r w:rsidR="00A9419E">
      <w:fldChar w:fldCharType="separate"/>
    </w:r>
    <w:r w:rsidR="00A9419E">
      <w:t>CS</w:t>
    </w:r>
    <w:r w:rsidR="00A9419E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501C" w:rsidRPr="005A1EB4" w:rsidRDefault="0085501C" w:rsidP="00B6769C">
    <w:pPr>
      <w:pStyle w:val="EPFooter"/>
    </w:pPr>
    <w:r w:rsidRPr="005A1EB4">
      <w:rPr>
        <w:rStyle w:val="HideTWBExt"/>
      </w:rPr>
      <w:t>&lt;PathFdR&gt;</w:t>
    </w:r>
    <w:r w:rsidR="000F23CD" w:rsidRPr="000F23CD">
      <w:t>PR\1313184CS.docx</w:t>
    </w:r>
    <w:r w:rsidRPr="005A1EB4">
      <w:rPr>
        <w:rStyle w:val="HideTWBExt"/>
      </w:rPr>
      <w:t>&lt;/PathFdR&gt;</w:t>
    </w:r>
    <w:r w:rsidRPr="005A1EB4">
      <w:tab/>
    </w:r>
    <w:r w:rsidRPr="005A1EB4">
      <w:tab/>
      <w:t>PE</w:t>
    </w:r>
    <w:r w:rsidRPr="005A1EB4">
      <w:rPr>
        <w:rStyle w:val="HideTWBExt"/>
      </w:rPr>
      <w:t>&lt;NoPE&gt;</w:t>
    </w:r>
    <w:r w:rsidR="000F23CD" w:rsidRPr="000F23CD">
      <w:t>767.911</w:t>
    </w:r>
    <w:r w:rsidRPr="005A1EB4">
      <w:rPr>
        <w:rStyle w:val="HideTWBExt"/>
      </w:rPr>
      <w:t>&lt;/NoPE&gt;&lt;Version&gt;</w:t>
    </w:r>
    <w:r w:rsidR="005A1EB4" w:rsidRPr="005A1EB4">
      <w:t>v</w:t>
    </w:r>
    <w:r w:rsidR="000F23CD" w:rsidRPr="000F23CD">
      <w:t>01-00</w:t>
    </w:r>
    <w:r w:rsidRPr="005A1EB4">
      <w:rPr>
        <w:rStyle w:val="HideTWBExt"/>
      </w:rPr>
      <w:t>&lt;/Version&gt;</w:t>
    </w:r>
  </w:p>
  <w:p w:rsidR="0085501C" w:rsidRPr="005A1EB4" w:rsidRDefault="00A9419E" w:rsidP="009612AA">
    <w:pPr>
      <w:pStyle w:val="EPFooter2"/>
      <w:tabs>
        <w:tab w:val="clear" w:pos="4535"/>
        <w:tab w:val="center" w:pos="4536"/>
      </w:tabs>
    </w:pPr>
    <w:r>
      <w:fldChar w:fldCharType="begin"/>
    </w:r>
    <w:r>
      <w:instrText xml:space="preserve"> DOCPROPERTY "&lt;Extension&gt;" </w:instrText>
    </w:r>
    <w:r>
      <w:fldChar w:fldCharType="separate"/>
    </w:r>
    <w:r>
      <w:t>CS</w:t>
    </w:r>
    <w:r>
      <w:fldChar w:fldCharType="end"/>
    </w:r>
    <w:r w:rsidR="0085501C" w:rsidRPr="005A1EB4">
      <w:tab/>
    </w:r>
    <w:r w:rsidR="000F23CD">
      <w:rPr>
        <w:b w:val="0"/>
        <w:i/>
        <w:color w:val="C0C0C0"/>
        <w:sz w:val="22"/>
        <w:szCs w:val="22"/>
      </w:rPr>
      <w:t>Jednotná v rozmanitosti</w:t>
    </w:r>
    <w:r w:rsidR="0085501C" w:rsidRPr="005A1EB4">
      <w:tab/>
    </w:r>
    <w:r>
      <w:fldChar w:fldCharType="begin"/>
    </w:r>
    <w:r>
      <w:instrText xml:space="preserve"> DOCPROPERTY "&lt;Extension&gt;" </w:instrText>
    </w:r>
    <w:r>
      <w:fldChar w:fldCharType="separate"/>
    </w:r>
    <w:r>
      <w:t>CS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1EB4" w:rsidRPr="005A1EB4" w:rsidRDefault="005A1EB4">
      <w:r w:rsidRPr="005A1EB4">
        <w:separator/>
      </w:r>
    </w:p>
  </w:footnote>
  <w:footnote w:type="continuationSeparator" w:id="0">
    <w:p w:rsidR="005A1EB4" w:rsidRPr="005A1EB4" w:rsidRDefault="005A1EB4">
      <w:r w:rsidRPr="005A1EB4">
        <w:continuationSeparator/>
      </w:r>
    </w:p>
  </w:footnote>
  <w:footnote w:id="1">
    <w:p w:rsidR="000F23CD" w:rsidRPr="00C565C8" w:rsidRDefault="000F23CD" w:rsidP="000F23CD">
      <w:pPr>
        <w:pStyle w:val="FootnoteText"/>
      </w:pPr>
      <w:r>
        <w:rPr>
          <w:rStyle w:val="FootnoteReference"/>
        </w:rPr>
        <w:footnoteRef/>
      </w:r>
      <w:r>
        <w:t xml:space="preserve"> Zpráva Europolu o situaci a vývoji terorismu v EU, 2024.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23CD" w:rsidRDefault="000F23C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23CD" w:rsidRDefault="000F23C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23CD" w:rsidRDefault="000F23C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activeWritingStyle w:appName="MSWord" w:lang="fr-FR" w:vendorID="64" w:dllVersion="131078" w:nlCheck="1" w:checkStyle="0"/>
  <w:activeWritingStyle w:appName="MSWord" w:lang="en-GB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GREEMENTMNU" w:val=" 1"/>
    <w:docVar w:name="AUTHORMNU" w:val=" 1"/>
    <w:docVar w:name="CIT1MNU" w:val=" 4"/>
    <w:docVar w:name="CIT2MNU" w:val=" 4"/>
    <w:docVar w:name="CIT3MNU" w:val=" 4"/>
    <w:docVar w:name="COMKEY" w:val="LIBE"/>
    <w:docVar w:name="CONSENTMNU" w:val=" 1"/>
    <w:docVar w:name="DOCDT" w:val="14/01/2025"/>
    <w:docVar w:name="LastEditedSection" w:val=" 1"/>
    <w:docVar w:name="strDocTypeID" w:val="PR_NLE-AP_Agreement"/>
    <w:docVar w:name="strSubDir" w:val="1313"/>
    <w:docVar w:name="TITLEMNU" w:val=" 1"/>
    <w:docVar w:name="TXTAUTHOR" w:val="Nikola Minchev"/>
    <w:docVar w:name="TXTLANGUE" w:val="CS"/>
    <w:docVar w:name="TXTLANGUEMIN" w:val="cs"/>
    <w:docVar w:name="TXTNRC" w:val="0125/2024"/>
    <w:docVar w:name="TXTNRCOM" w:val="08897/2024"/>
    <w:docVar w:name="TXTNRNLE" w:val="2024/0051"/>
    <w:docVar w:name="TXTNRPE" w:val="767.911"/>
    <w:docVar w:name="TXTPEorAP" w:val="PE"/>
    <w:docVar w:name="TXTROUTE" w:val="PR\1313184CS.docx"/>
    <w:docVar w:name="TXTTITLE" w:val="o uzavření Dohody mezi Kanadou a Evropskou unií o předávání a zpracování údajů jmenné evidence cestujících jménem Unie"/>
    <w:docVar w:name="TXTVERSION" w:val="01-00"/>
  </w:docVars>
  <w:rsids>
    <w:rsidRoot w:val="005A1EB4"/>
    <w:rsid w:val="00001D52"/>
    <w:rsid w:val="0000443F"/>
    <w:rsid w:val="000053E3"/>
    <w:rsid w:val="0006167F"/>
    <w:rsid w:val="00061EFE"/>
    <w:rsid w:val="00095D8B"/>
    <w:rsid w:val="000A2F73"/>
    <w:rsid w:val="000C123D"/>
    <w:rsid w:val="000D78AF"/>
    <w:rsid w:val="000F23CD"/>
    <w:rsid w:val="00180664"/>
    <w:rsid w:val="001874D8"/>
    <w:rsid w:val="001D02E3"/>
    <w:rsid w:val="001F7BBE"/>
    <w:rsid w:val="0021049A"/>
    <w:rsid w:val="0022685A"/>
    <w:rsid w:val="002E2E20"/>
    <w:rsid w:val="002F5A83"/>
    <w:rsid w:val="003072BE"/>
    <w:rsid w:val="00337C92"/>
    <w:rsid w:val="00363B94"/>
    <w:rsid w:val="003B598C"/>
    <w:rsid w:val="004174FC"/>
    <w:rsid w:val="00460BD6"/>
    <w:rsid w:val="004859B3"/>
    <w:rsid w:val="004C083C"/>
    <w:rsid w:val="004E1650"/>
    <w:rsid w:val="005027B1"/>
    <w:rsid w:val="0053367A"/>
    <w:rsid w:val="00544D48"/>
    <w:rsid w:val="005877C0"/>
    <w:rsid w:val="005A1EB4"/>
    <w:rsid w:val="005A6B14"/>
    <w:rsid w:val="005D0B97"/>
    <w:rsid w:val="005F5D6C"/>
    <w:rsid w:val="006132CE"/>
    <w:rsid w:val="00613F2E"/>
    <w:rsid w:val="006A1A75"/>
    <w:rsid w:val="006A2CF5"/>
    <w:rsid w:val="006F1B6F"/>
    <w:rsid w:val="00791637"/>
    <w:rsid w:val="0080122F"/>
    <w:rsid w:val="00822206"/>
    <w:rsid w:val="008368CB"/>
    <w:rsid w:val="0085501C"/>
    <w:rsid w:val="00893FBD"/>
    <w:rsid w:val="008B75A4"/>
    <w:rsid w:val="008D23C6"/>
    <w:rsid w:val="008D3030"/>
    <w:rsid w:val="008E3848"/>
    <w:rsid w:val="00924EE0"/>
    <w:rsid w:val="009269A8"/>
    <w:rsid w:val="009612AA"/>
    <w:rsid w:val="009E39A7"/>
    <w:rsid w:val="00A415B7"/>
    <w:rsid w:val="00A9419E"/>
    <w:rsid w:val="00AD5D0C"/>
    <w:rsid w:val="00B31D18"/>
    <w:rsid w:val="00B42885"/>
    <w:rsid w:val="00B50C20"/>
    <w:rsid w:val="00B6769C"/>
    <w:rsid w:val="00BB22CC"/>
    <w:rsid w:val="00BB41C8"/>
    <w:rsid w:val="00BE5E72"/>
    <w:rsid w:val="00BF0A0F"/>
    <w:rsid w:val="00BF2E15"/>
    <w:rsid w:val="00BF7F55"/>
    <w:rsid w:val="00C05DD8"/>
    <w:rsid w:val="00C15447"/>
    <w:rsid w:val="00C35D01"/>
    <w:rsid w:val="00CB5651"/>
    <w:rsid w:val="00CC20CB"/>
    <w:rsid w:val="00CF44DF"/>
    <w:rsid w:val="00D04E0B"/>
    <w:rsid w:val="00D62DA0"/>
    <w:rsid w:val="00D6543C"/>
    <w:rsid w:val="00DF594D"/>
    <w:rsid w:val="00E14FEE"/>
    <w:rsid w:val="00E71368"/>
    <w:rsid w:val="00E93816"/>
    <w:rsid w:val="00EA59ED"/>
    <w:rsid w:val="00EF48F2"/>
    <w:rsid w:val="00F04010"/>
    <w:rsid w:val="00F0423E"/>
    <w:rsid w:val="00FC6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30B792"/>
  <w15:chartTrackingRefBased/>
  <w15:docId w15:val="{C8D7CA58-217D-448F-9EBF-61C26EED7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367A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893FBD"/>
    <w:pPr>
      <w:spacing w:before="480" w:after="240"/>
    </w:pPr>
  </w:style>
  <w:style w:type="paragraph" w:styleId="TOC1">
    <w:name w:val="toc 1"/>
    <w:basedOn w:val="Normal"/>
    <w:next w:val="Normal"/>
    <w:autoRedefine/>
    <w:uiPriority w:val="39"/>
    <w:rsid w:val="0006167F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613F2E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B6769C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rsid w:val="008E3848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B6769C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22685A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rsid w:val="009612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9612AA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9612AA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9612AA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613F2E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613F2E"/>
    <w:pPr>
      <w:jc w:val="right"/>
    </w:pPr>
  </w:style>
  <w:style w:type="paragraph" w:customStyle="1" w:styleId="EPFooter">
    <w:name w:val="EPFooter"/>
    <w:basedOn w:val="Normal"/>
    <w:rsid w:val="00B6769C"/>
    <w:pPr>
      <w:tabs>
        <w:tab w:val="center" w:pos="4535"/>
        <w:tab w:val="right" w:pos="9071"/>
      </w:tabs>
      <w:spacing w:before="240" w:after="240"/>
    </w:pPr>
    <w:rPr>
      <w:sz w:val="22"/>
    </w:rPr>
  </w:style>
  <w:style w:type="character" w:customStyle="1" w:styleId="HeaderChar">
    <w:name w:val="Header Char"/>
    <w:basedOn w:val="DefaultParagraphFont"/>
    <w:link w:val="Header"/>
    <w:semiHidden/>
    <w:rsid w:val="0022685A"/>
    <w:rPr>
      <w:sz w:val="24"/>
    </w:rPr>
  </w:style>
  <w:style w:type="paragraph" w:customStyle="1" w:styleId="Lgendesigne">
    <w:name w:val="Légende signe"/>
    <w:basedOn w:val="Normal"/>
    <w:rsid w:val="000F23CD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0F23CD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0F23CD"/>
    <w:rPr>
      <w:sz w:val="18"/>
    </w:rPr>
  </w:style>
  <w:style w:type="paragraph" w:styleId="FootnoteText">
    <w:name w:val="footnote text"/>
    <w:basedOn w:val="Normal"/>
    <w:link w:val="FootnoteTextChar"/>
    <w:rsid w:val="000F23CD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0F23CD"/>
  </w:style>
  <w:style w:type="character" w:styleId="FootnoteReference">
    <w:name w:val="footnote reference"/>
    <w:basedOn w:val="DefaultParagraphFont"/>
    <w:rsid w:val="000F23CD"/>
    <w:rPr>
      <w:vertAlign w:val="superscript"/>
    </w:rPr>
  </w:style>
  <w:style w:type="paragraph" w:styleId="Footer">
    <w:name w:val="footer"/>
    <w:basedOn w:val="Normal"/>
    <w:link w:val="FooterChar"/>
    <w:semiHidden/>
    <w:rsid w:val="00F0423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F0423E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26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3439F1-6625-402A-ADD9-B4BE5A1C87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933</Words>
  <Characters>5508</Characters>
  <Application>Microsoft Office Word</Application>
  <DocSecurity>0</DocSecurity>
  <Lines>122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PR_NLE-AP_Agreement</vt:lpstr>
    </vt:vector>
  </TitlesOfParts>
  <Company>European Parliament</Company>
  <LinksUpToDate>false</LinksUpToDate>
  <CharactersWithSpaces>6380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PR_NLE-AP_Agreement</dc:title>
  <dc:subject/>
  <dc:creator>GOESSINGER SKLENAROVA Ruzena</dc:creator>
  <cp:keywords/>
  <cp:lastModifiedBy>SOCHOROVA Lenka</cp:lastModifiedBy>
  <cp:revision>2</cp:revision>
  <cp:lastPrinted>2002-12-11T09:25:00Z</cp:lastPrinted>
  <dcterms:created xsi:type="dcterms:W3CDTF">2025-01-23T11:46:00Z</dcterms:created>
  <dcterms:modified xsi:type="dcterms:W3CDTF">2025-01-23T11:46:00Z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Created with">
    <vt:lpwstr>10.0.0 Build [20241202]</vt:lpwstr>
  </property>
  <property fmtid="{D5CDD505-2E9C-101B-9397-08002B2CF9AE}" pid="4" name="LastEdited with">
    <vt:lpwstr>10.0.1 Build [20250114]</vt:lpwstr>
  </property>
  <property fmtid="{D5CDD505-2E9C-101B-9397-08002B2CF9AE}" pid="5" name="&lt;FdR&gt;">
    <vt:lpwstr>1313184</vt:lpwstr>
  </property>
  <property fmtid="{D5CDD505-2E9C-101B-9397-08002B2CF9AE}" pid="6" name="&lt;Type&gt;">
    <vt:lpwstr>PR</vt:lpwstr>
  </property>
  <property fmtid="{D5CDD505-2E9C-101B-9397-08002B2CF9AE}" pid="7" name="&lt;ModelCod&gt;">
    <vt:lpwstr>\\eiciLUXpr1\pdocep$\DocEP\DOCS\General\PR\PR_Leg\NLE\PR_NLE-AP_Agreement.dotx(12/08/2024 16:05:00)</vt:lpwstr>
  </property>
  <property fmtid="{D5CDD505-2E9C-101B-9397-08002B2CF9AE}" pid="8" name="&lt;ModelTra&gt;">
    <vt:lpwstr>\\eiciLUXpr1\pdocep$\DocEP\TRANSFIL\CS\PR_NLE-AP_Agreement.CS(07/10/2024 15:33:02)</vt:lpwstr>
  </property>
  <property fmtid="{D5CDD505-2E9C-101B-9397-08002B2CF9AE}" pid="9" name="&lt;Model&gt;">
    <vt:lpwstr>PR_NLE-AP_Agreement</vt:lpwstr>
  </property>
  <property fmtid="{D5CDD505-2E9C-101B-9397-08002B2CF9AE}" pid="10" name="FooterPath">
    <vt:lpwstr>PR\1313184CS.docx</vt:lpwstr>
  </property>
  <property fmtid="{D5CDD505-2E9C-101B-9397-08002B2CF9AE}" pid="11" name="PE number">
    <vt:lpwstr>767.911</vt:lpwstr>
  </property>
  <property fmtid="{D5CDD505-2E9C-101B-9397-08002B2CF9AE}" pid="12" name="SDLStudio">
    <vt:lpwstr/>
  </property>
  <property fmtid="{D5CDD505-2E9C-101B-9397-08002B2CF9AE}" pid="13" name="Bookout">
    <vt:lpwstr>OK - 2025/01/23 12:46</vt:lpwstr>
  </property>
</Properties>
</file>