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502EA6" w:rsidRPr="004A7A04" w:rsidTr="005C4959">
        <w:trPr>
          <w:trHeight w:hRule="exact" w:val="1418"/>
        </w:trPr>
        <w:tc>
          <w:tcPr>
            <w:tcW w:w="6804" w:type="dxa"/>
            <w:shd w:val="clear" w:color="auto" w:fill="auto"/>
            <w:vAlign w:val="center"/>
          </w:tcPr>
          <w:p w:rsidR="00B13D6F" w:rsidRPr="004A7A04" w:rsidRDefault="003E6EC1" w:rsidP="005C4959">
            <w:pPr>
              <w:pStyle w:val="EPName"/>
            </w:pPr>
            <w:r w:rsidRPr="004A7A04">
              <w:t>Europa-Parlamentet</w:t>
            </w:r>
          </w:p>
          <w:p w:rsidR="00B13D6F" w:rsidRPr="004A7A04" w:rsidRDefault="003E6EC1" w:rsidP="009845B8">
            <w:pPr>
              <w:pStyle w:val="EPTerm"/>
            </w:pPr>
            <w:r w:rsidRPr="004A7A04">
              <w:t>2024-2029</w:t>
            </w:r>
          </w:p>
        </w:tc>
        <w:tc>
          <w:tcPr>
            <w:tcW w:w="2268" w:type="dxa"/>
            <w:shd w:val="clear" w:color="auto" w:fill="auto"/>
          </w:tcPr>
          <w:p w:rsidR="00B13D6F" w:rsidRPr="004A7A04" w:rsidRDefault="003E6EC1" w:rsidP="005C4959">
            <w:pPr>
              <w:pStyle w:val="EPLogo"/>
            </w:pPr>
            <w:r w:rsidRPr="004A7A04">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461601" w:rsidRPr="004A7A04" w:rsidRDefault="00461601" w:rsidP="00461601">
      <w:pPr>
        <w:pStyle w:val="LineTop"/>
      </w:pPr>
    </w:p>
    <w:p w:rsidR="00461601" w:rsidRPr="004A7A04" w:rsidRDefault="003E6EC1" w:rsidP="00461601">
      <w:pPr>
        <w:pStyle w:val="EPBody"/>
      </w:pPr>
      <w:r w:rsidRPr="004A7A04">
        <w:rPr>
          <w:rStyle w:val="HideTWBExt"/>
        </w:rPr>
        <w:t>&lt;</w:t>
      </w:r>
      <w:r w:rsidRPr="004A7A04">
        <w:rPr>
          <w:rStyle w:val="HideTWBExt"/>
          <w:i w:val="0"/>
        </w:rPr>
        <w:t>Commission</w:t>
      </w:r>
      <w:r w:rsidRPr="004A7A04">
        <w:rPr>
          <w:rStyle w:val="HideTWBExt"/>
        </w:rPr>
        <w:t>&gt;</w:t>
      </w:r>
      <w:r w:rsidRPr="004A7A04">
        <w:rPr>
          <w:rStyle w:val="HideTWBInt"/>
          <w:color w:val="auto"/>
        </w:rPr>
        <w:t>{LIBE}</w:t>
      </w:r>
      <w:r w:rsidRPr="004A7A04">
        <w:t>Udvalget om Borgernes Rettigheder og Retlige og Indre Anliggender</w:t>
      </w:r>
      <w:r w:rsidRPr="004A7A04">
        <w:rPr>
          <w:rStyle w:val="HideTWBExt"/>
        </w:rPr>
        <w:t>&lt;/</w:t>
      </w:r>
      <w:r w:rsidRPr="004A7A04">
        <w:rPr>
          <w:rStyle w:val="HideTWBExt"/>
          <w:i w:val="0"/>
        </w:rPr>
        <w:t>Commission</w:t>
      </w:r>
      <w:r w:rsidRPr="004A7A04">
        <w:rPr>
          <w:rStyle w:val="HideTWBExt"/>
        </w:rPr>
        <w:t>&gt;</w:t>
      </w:r>
    </w:p>
    <w:p w:rsidR="00461601" w:rsidRPr="004A7A04" w:rsidRDefault="00461601" w:rsidP="00461601">
      <w:pPr>
        <w:pStyle w:val="LineBottom"/>
      </w:pPr>
    </w:p>
    <w:p w:rsidR="00793EA9" w:rsidRPr="004A7A04" w:rsidRDefault="003E6EC1">
      <w:pPr>
        <w:pStyle w:val="CoverReference"/>
      </w:pPr>
      <w:r w:rsidRPr="004A7A04">
        <w:rPr>
          <w:rStyle w:val="HideTWBExt"/>
          <w:b w:val="0"/>
        </w:rPr>
        <w:t>&lt;RefProc&gt;</w:t>
      </w:r>
      <w:r w:rsidRPr="004A7A04">
        <w:t>2023/0438</w:t>
      </w:r>
      <w:r w:rsidRPr="004A7A04">
        <w:rPr>
          <w:rStyle w:val="HideTWBExt"/>
          <w:b w:val="0"/>
        </w:rPr>
        <w:t>&lt;/RefProc&gt;&lt;RefTypeProc&gt;</w:t>
      </w:r>
      <w:r w:rsidRPr="004A7A04">
        <w:t>(COD)</w:t>
      </w:r>
      <w:r w:rsidRPr="004A7A04">
        <w:rPr>
          <w:rStyle w:val="HideTWBExt"/>
          <w:b w:val="0"/>
        </w:rPr>
        <w:t>&lt;/RefTypeProc&gt;</w:t>
      </w:r>
    </w:p>
    <w:p w:rsidR="00793EA9" w:rsidRPr="004A7A04" w:rsidRDefault="003E6EC1">
      <w:pPr>
        <w:pStyle w:val="CoverDate"/>
      </w:pPr>
      <w:r w:rsidRPr="004A7A04">
        <w:rPr>
          <w:rStyle w:val="HideTWBExt"/>
        </w:rPr>
        <w:t>&lt;Date&gt;</w:t>
      </w:r>
      <w:r w:rsidRPr="004A7A04">
        <w:rPr>
          <w:rStyle w:val="HideTWBInt"/>
          <w:color w:val="auto"/>
        </w:rPr>
        <w:t>{13/02/2025}</w:t>
      </w:r>
      <w:r w:rsidRPr="004A7A04">
        <w:t>13.2.2025</w:t>
      </w:r>
      <w:r w:rsidRPr="004A7A04">
        <w:rPr>
          <w:rStyle w:val="HideTWBExt"/>
        </w:rPr>
        <w:t>&lt;/Date&gt;</w:t>
      </w:r>
    </w:p>
    <w:p w:rsidR="00793EA9" w:rsidRPr="004A7A04" w:rsidRDefault="003E6EC1">
      <w:pPr>
        <w:pStyle w:val="CoverDocType"/>
      </w:pPr>
      <w:r w:rsidRPr="004A7A04">
        <w:rPr>
          <w:rStyle w:val="HideTWBExt"/>
          <w:b w:val="0"/>
        </w:rPr>
        <w:t>&lt;RefProcLect&gt;</w:t>
      </w:r>
      <w:r w:rsidRPr="004A7A04">
        <w:t>***I</w:t>
      </w:r>
      <w:r w:rsidRPr="004A7A04">
        <w:rPr>
          <w:rStyle w:val="HideTWBExt"/>
          <w:b w:val="0"/>
        </w:rPr>
        <w:t>&lt;/RefProcLect&gt;</w:t>
      </w:r>
    </w:p>
    <w:p w:rsidR="00793EA9" w:rsidRPr="004A7A04" w:rsidRDefault="003E6EC1">
      <w:pPr>
        <w:pStyle w:val="CoverDocType24a"/>
      </w:pPr>
      <w:r w:rsidRPr="004A7A04">
        <w:rPr>
          <w:rStyle w:val="HideTWBExt"/>
          <w:b w:val="0"/>
        </w:rPr>
        <w:t>&lt;TitreType&gt;</w:t>
      </w:r>
      <w:r w:rsidRPr="004A7A04">
        <w:t>UDKAST TIL BETÆNKNING</w:t>
      </w:r>
      <w:r w:rsidRPr="004A7A04">
        <w:rPr>
          <w:rStyle w:val="HideTWBExt"/>
          <w:b w:val="0"/>
        </w:rPr>
        <w:t>&lt;/TitreType&gt;</w:t>
      </w:r>
    </w:p>
    <w:p w:rsidR="00793EA9" w:rsidRPr="004A7A04" w:rsidRDefault="003E6EC1">
      <w:pPr>
        <w:pStyle w:val="CoverNormal"/>
      </w:pPr>
      <w:r w:rsidRPr="004A7A04">
        <w:rPr>
          <w:rStyle w:val="HideTWBExt"/>
        </w:rPr>
        <w:t>&lt;Titre&gt;</w:t>
      </w:r>
      <w:r w:rsidRPr="004A7A04">
        <w:t>om forslag til Europa-Parlamentets og Rådets forordning om styrkelse af politisamarbejdet i forbindelse med forebyggelse, opdagelse og efterforskning af smugling af migranter og menneskehan</w:t>
      </w:r>
      <w:r w:rsidRPr="004A7A04">
        <w:t>del og om forøgelse af Europols støtte til forebyggelse og bekæmpelse af disse former for kriminalitet og om ændring af forordning (EU) 2016/794</w:t>
      </w:r>
      <w:r w:rsidRPr="004A7A04">
        <w:rPr>
          <w:rStyle w:val="HideTWBExt"/>
        </w:rPr>
        <w:t>&lt;/Titre&gt;</w:t>
      </w:r>
    </w:p>
    <w:p w:rsidR="00793EA9" w:rsidRPr="004A7A04" w:rsidRDefault="003E6EC1">
      <w:pPr>
        <w:pStyle w:val="CoverNormal24a"/>
      </w:pPr>
      <w:r w:rsidRPr="004A7A04">
        <w:rPr>
          <w:rStyle w:val="HideTWBExt"/>
        </w:rPr>
        <w:t>&lt;DocRef&gt;</w:t>
      </w:r>
      <w:r w:rsidRPr="004A7A04">
        <w:t>(COM(2023)0754 – C9</w:t>
      </w:r>
      <w:r w:rsidRPr="004A7A04">
        <w:noBreakHyphen/>
        <w:t>0431/2023 – 2023/0438(COD))</w:t>
      </w:r>
      <w:r w:rsidRPr="004A7A04">
        <w:rPr>
          <w:rStyle w:val="HideTWBExt"/>
        </w:rPr>
        <w:t>&lt;/DocRef&gt;</w:t>
      </w:r>
    </w:p>
    <w:p w:rsidR="00793EA9" w:rsidRPr="004A7A04" w:rsidRDefault="003E6EC1">
      <w:pPr>
        <w:pStyle w:val="CoverNormal24a"/>
      </w:pPr>
      <w:r w:rsidRPr="004A7A04">
        <w:rPr>
          <w:rStyle w:val="HideTWBExt"/>
        </w:rPr>
        <w:t>&lt;Commission&gt;</w:t>
      </w:r>
      <w:r w:rsidRPr="004A7A04">
        <w:rPr>
          <w:rStyle w:val="HideTWBInt"/>
          <w:color w:val="auto"/>
        </w:rPr>
        <w:t>{LIBE}</w:t>
      </w:r>
      <w:r w:rsidRPr="004A7A04">
        <w:t>Udvalget om Borgerne</w:t>
      </w:r>
      <w:r w:rsidRPr="004A7A04">
        <w:t>s Rettigheder og Retlige og Indre Anliggender</w:t>
      </w:r>
      <w:r w:rsidRPr="004A7A04">
        <w:rPr>
          <w:rStyle w:val="HideTWBExt"/>
        </w:rPr>
        <w:t>&lt;/Commission&gt;</w:t>
      </w:r>
    </w:p>
    <w:p w:rsidR="00793EA9" w:rsidRPr="004A7A04" w:rsidRDefault="003E6EC1">
      <w:pPr>
        <w:pStyle w:val="CoverNormal24a"/>
      </w:pPr>
      <w:r w:rsidRPr="004A7A04">
        <w:t xml:space="preserve">Ordfører: </w:t>
      </w:r>
      <w:r w:rsidRPr="004A7A04">
        <w:rPr>
          <w:rStyle w:val="HideTWBExt"/>
        </w:rPr>
        <w:t>&lt;Depute&gt;</w:t>
      </w:r>
      <w:r w:rsidRPr="004A7A04">
        <w:t>Jeroen Lenaers</w:t>
      </w:r>
      <w:r w:rsidRPr="004A7A04">
        <w:rPr>
          <w:rStyle w:val="HideTWBExt"/>
        </w:rPr>
        <w:t>&lt;/Depute&gt;</w:t>
      </w:r>
    </w:p>
    <w:p w:rsidR="001C5B44" w:rsidRPr="004A7A04" w:rsidRDefault="001C5B44" w:rsidP="001C5B44">
      <w:pPr>
        <w:pStyle w:val="CoverNormal"/>
      </w:pPr>
    </w:p>
    <w:p w:rsidR="009845B8" w:rsidRPr="004A7A04" w:rsidRDefault="003E6EC1" w:rsidP="005C4959">
      <w:r w:rsidRPr="004A7A04">
        <w:br w:type="page"/>
      </w:r>
      <w:r w:rsidRPr="004A7A04">
        <w:lastRenderedPageBreak/>
        <w:fldChar w:fldCharType="begin"/>
      </w:r>
      <w:r w:rsidRPr="004A7A04">
        <w:instrText xml:space="preserve"> TITLE  \* MERGEFORMAT </w:instrText>
      </w:r>
      <w:r w:rsidRPr="004A7A04">
        <w:fldChar w:fldCharType="separate"/>
      </w:r>
      <w:r>
        <w:t>PR_COD_1amCom</w:t>
      </w:r>
      <w:r w:rsidRPr="004A7A04">
        <w:fldChar w:fldCharType="end"/>
      </w:r>
    </w:p>
    <w:p w:rsidR="009845B8" w:rsidRPr="004A7A04" w:rsidRDefault="009845B8" w:rsidP="005C4959"/>
    <w:p w:rsidR="009845B8" w:rsidRPr="004A7A04" w:rsidRDefault="009845B8" w:rsidP="005C4959"/>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502EA6" w:rsidRPr="004A7A04">
        <w:tc>
          <w:tcPr>
            <w:tcW w:w="5811" w:type="dxa"/>
          </w:tcPr>
          <w:p w:rsidR="009845B8" w:rsidRPr="004A7A04" w:rsidRDefault="003E6EC1" w:rsidP="005C4959">
            <w:pPr>
              <w:pStyle w:val="Lgendetitre"/>
            </w:pPr>
            <w:r w:rsidRPr="004A7A04">
              <w:t>Tegnforklaring</w:t>
            </w:r>
          </w:p>
        </w:tc>
      </w:tr>
      <w:tr w:rsidR="00502EA6" w:rsidRPr="004A7A04" w:rsidTr="005C4959">
        <w:trPr>
          <w:cantSplit/>
          <w:trHeight w:val="1807"/>
        </w:trPr>
        <w:tc>
          <w:tcPr>
            <w:tcW w:w="5811" w:type="dxa"/>
            <w:tcBorders>
              <w:bottom w:val="single" w:sz="4" w:space="0" w:color="auto"/>
            </w:tcBorders>
          </w:tcPr>
          <w:p w:rsidR="009845B8" w:rsidRPr="004A7A04" w:rsidRDefault="003E6EC1" w:rsidP="005C4959">
            <w:pPr>
              <w:pStyle w:val="Lgendesigne"/>
            </w:pPr>
            <w:r w:rsidRPr="004A7A04">
              <w:tab/>
              <w:t>*</w:t>
            </w:r>
            <w:r w:rsidRPr="004A7A04">
              <w:tab/>
              <w:t>Høringsprocedure</w:t>
            </w:r>
          </w:p>
          <w:p w:rsidR="009845B8" w:rsidRPr="004A7A04" w:rsidRDefault="003E6EC1" w:rsidP="005C4959">
            <w:pPr>
              <w:pStyle w:val="Lgendesigne"/>
            </w:pPr>
            <w:r w:rsidRPr="004A7A04">
              <w:tab/>
              <w:t>***</w:t>
            </w:r>
            <w:r w:rsidRPr="004A7A04">
              <w:tab/>
              <w:t>Godkendelsesprocedure</w:t>
            </w:r>
          </w:p>
          <w:p w:rsidR="009845B8" w:rsidRPr="004A7A04" w:rsidRDefault="003E6EC1" w:rsidP="005C4959">
            <w:pPr>
              <w:pStyle w:val="Lgendesigne"/>
            </w:pPr>
            <w:r w:rsidRPr="004A7A04">
              <w:tab/>
              <w:t>***I</w:t>
            </w:r>
            <w:r w:rsidRPr="004A7A04">
              <w:tab/>
              <w:t xml:space="preserve">Almindelig lovgivningsprocedure </w:t>
            </w:r>
            <w:r w:rsidRPr="004A7A04">
              <w:t>(førstebehandling)</w:t>
            </w:r>
          </w:p>
          <w:p w:rsidR="009845B8" w:rsidRPr="004A7A04" w:rsidRDefault="003E6EC1" w:rsidP="005C4959">
            <w:pPr>
              <w:pStyle w:val="Lgendesigne"/>
            </w:pPr>
            <w:r w:rsidRPr="004A7A04">
              <w:tab/>
              <w:t>***II</w:t>
            </w:r>
            <w:r w:rsidRPr="004A7A04">
              <w:tab/>
              <w:t>Almindelig lovgivningsprocedure (andenbehandling)</w:t>
            </w:r>
          </w:p>
          <w:p w:rsidR="009845B8" w:rsidRPr="004A7A04" w:rsidRDefault="003E6EC1" w:rsidP="005C4959">
            <w:pPr>
              <w:pStyle w:val="Lgendesigne"/>
            </w:pPr>
            <w:r w:rsidRPr="004A7A04">
              <w:tab/>
              <w:t>***III</w:t>
            </w:r>
            <w:r w:rsidRPr="004A7A04">
              <w:tab/>
              <w:t>Almindelig lovgivningsprocedure (tredjebehandling)</w:t>
            </w:r>
          </w:p>
          <w:p w:rsidR="009845B8" w:rsidRPr="004A7A04" w:rsidRDefault="009845B8" w:rsidP="005C4959">
            <w:pPr>
              <w:pStyle w:val="Lgendestandard"/>
            </w:pPr>
          </w:p>
          <w:p w:rsidR="009845B8" w:rsidRPr="004A7A04" w:rsidRDefault="003E6EC1" w:rsidP="005C4959">
            <w:pPr>
              <w:pStyle w:val="Lgendestandard"/>
            </w:pPr>
            <w:r w:rsidRPr="004A7A04">
              <w:t>(Proceduren afhænger af, hvilket retsgrundlag der er valgt i udkastet til retsakt)</w:t>
            </w:r>
          </w:p>
          <w:p w:rsidR="009845B8" w:rsidRPr="004A7A04" w:rsidRDefault="009845B8" w:rsidP="005C4959">
            <w:pPr>
              <w:pStyle w:val="Lgendestandard"/>
            </w:pPr>
          </w:p>
        </w:tc>
      </w:tr>
    </w:tbl>
    <w:p w:rsidR="009845B8" w:rsidRPr="004A7A04" w:rsidRDefault="009845B8" w:rsidP="005C4959"/>
    <w:p w:rsidR="009845B8" w:rsidRPr="004A7A04" w:rsidRDefault="009845B8" w:rsidP="005C4959"/>
    <w:p w:rsidR="009845B8" w:rsidRPr="004A7A04" w:rsidRDefault="009845B8" w:rsidP="005C4959"/>
    <w:p w:rsidR="009845B8" w:rsidRPr="004A7A04" w:rsidRDefault="009845B8" w:rsidP="005C4959"/>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502EA6" w:rsidRPr="004A7A04">
        <w:tc>
          <w:tcPr>
            <w:tcW w:w="5811" w:type="dxa"/>
          </w:tcPr>
          <w:p w:rsidR="009845B8" w:rsidRPr="004A7A04" w:rsidRDefault="003E6EC1" w:rsidP="005C4959">
            <w:pPr>
              <w:pStyle w:val="Lgendetitre"/>
            </w:pPr>
            <w:r w:rsidRPr="004A7A04">
              <w:t xml:space="preserve">Ændringsforslag til et udkast </w:t>
            </w:r>
            <w:r w:rsidRPr="004A7A04">
              <w:t>til retsakt</w:t>
            </w:r>
          </w:p>
        </w:tc>
      </w:tr>
      <w:tr w:rsidR="00502EA6" w:rsidRPr="004A7A04" w:rsidTr="005C4959">
        <w:trPr>
          <w:trHeight w:val="4496"/>
        </w:trPr>
        <w:tc>
          <w:tcPr>
            <w:tcW w:w="5811" w:type="dxa"/>
          </w:tcPr>
          <w:p w:rsidR="009845B8" w:rsidRPr="004A7A04" w:rsidRDefault="003E6EC1" w:rsidP="005C4959">
            <w:pPr>
              <w:pStyle w:val="Lgendestandard"/>
              <w:rPr>
                <w:szCs w:val="24"/>
              </w:rPr>
            </w:pPr>
            <w:r w:rsidRPr="004A7A04">
              <w:rPr>
                <w:b/>
              </w:rPr>
              <w:t>Ændringsforslag fra Parlamentet opstillet i to kolonner</w:t>
            </w:r>
          </w:p>
          <w:p w:rsidR="009845B8" w:rsidRPr="004A7A04" w:rsidRDefault="009845B8" w:rsidP="005C4959">
            <w:pPr>
              <w:pStyle w:val="Lgendestandard"/>
              <w:rPr>
                <w:szCs w:val="24"/>
              </w:rPr>
            </w:pPr>
          </w:p>
          <w:p w:rsidR="009845B8" w:rsidRPr="004A7A04" w:rsidRDefault="003E6EC1" w:rsidP="005C4959">
            <w:pPr>
              <w:pStyle w:val="Lgendestandard"/>
              <w:rPr>
                <w:szCs w:val="24"/>
              </w:rPr>
            </w:pPr>
            <w:r w:rsidRPr="004A7A04">
              <w:t xml:space="preserve">Tekst, der udgår, er markeret med </w:t>
            </w:r>
            <w:r w:rsidRPr="004A7A04">
              <w:rPr>
                <w:b/>
                <w:i/>
              </w:rPr>
              <w:t>fede typer og kursiv</w:t>
            </w:r>
            <w:r w:rsidRPr="004A7A04">
              <w:t xml:space="preserve"> i venstre kolonne. Tekst, der udskiftes, er markeret med </w:t>
            </w:r>
            <w:r w:rsidRPr="004A7A04">
              <w:rPr>
                <w:b/>
                <w:i/>
              </w:rPr>
              <w:t>fede typer og kursiv</w:t>
            </w:r>
            <w:r w:rsidRPr="004A7A04">
              <w:t xml:space="preserve"> i begge kolonner. Ny tekst er markeret med </w:t>
            </w:r>
            <w:r w:rsidRPr="004A7A04">
              <w:rPr>
                <w:b/>
                <w:i/>
              </w:rPr>
              <w:t>fede typer</w:t>
            </w:r>
            <w:r w:rsidRPr="004A7A04">
              <w:rPr>
                <w:b/>
                <w:i/>
              </w:rPr>
              <w:t xml:space="preserve"> og kursiv</w:t>
            </w:r>
            <w:r w:rsidRPr="004A7A04">
              <w:t xml:space="preserve"> i højre kolonne.</w:t>
            </w:r>
          </w:p>
          <w:p w:rsidR="009845B8" w:rsidRPr="004A7A04" w:rsidRDefault="009845B8" w:rsidP="005C4959">
            <w:pPr>
              <w:pStyle w:val="Lgendestandard"/>
              <w:rPr>
                <w:szCs w:val="24"/>
              </w:rPr>
            </w:pPr>
          </w:p>
          <w:p w:rsidR="009845B8" w:rsidRPr="004A7A04" w:rsidRDefault="003E6EC1" w:rsidP="005C4959">
            <w:pPr>
              <w:pStyle w:val="Lgendestandard"/>
              <w:rPr>
                <w:szCs w:val="24"/>
              </w:rPr>
            </w:pPr>
            <w:r w:rsidRPr="004A7A04">
              <w:t xml:space="preserve">Den første og den anden linje i informationsblokken til hvert ændringsforslag angiver den relevante passage i det pågældende udkast til retsakt. Hvis et ændringsforslag angår en eksisterende retsakt, som udkastet til retsakt </w:t>
            </w:r>
            <w:r w:rsidRPr="004A7A04">
              <w:t>har til formål at ændre, indeholder informationsblokken tillige en tredje og en fjerde linje, hvori det er anført, hvilken eksisterende retsakt og hvilken bestemmelse heri der er berørt.</w:t>
            </w:r>
          </w:p>
          <w:p w:rsidR="009845B8" w:rsidRPr="004A7A04" w:rsidRDefault="009845B8" w:rsidP="005C4959">
            <w:pPr>
              <w:pStyle w:val="Lgendestandard"/>
              <w:rPr>
                <w:szCs w:val="24"/>
              </w:rPr>
            </w:pPr>
          </w:p>
          <w:p w:rsidR="009845B8" w:rsidRPr="004A7A04" w:rsidRDefault="003E6EC1" w:rsidP="005C4959">
            <w:pPr>
              <w:pStyle w:val="Lgendestandard"/>
              <w:rPr>
                <w:b/>
                <w:szCs w:val="24"/>
              </w:rPr>
            </w:pPr>
            <w:r w:rsidRPr="004A7A04">
              <w:rPr>
                <w:b/>
              </w:rPr>
              <w:t>Ændringsforslag fra Parlamentet i form af en konsolideret tekst</w:t>
            </w:r>
          </w:p>
          <w:p w:rsidR="009845B8" w:rsidRPr="004A7A04" w:rsidRDefault="009845B8" w:rsidP="005C4959">
            <w:pPr>
              <w:pStyle w:val="Lgendestandard"/>
              <w:rPr>
                <w:szCs w:val="24"/>
              </w:rPr>
            </w:pPr>
          </w:p>
          <w:p w:rsidR="009845B8" w:rsidRPr="004A7A04" w:rsidRDefault="003E6EC1" w:rsidP="005C4959">
            <w:pPr>
              <w:pStyle w:val="Lgendestandard"/>
              <w:rPr>
                <w:szCs w:val="24"/>
              </w:rPr>
            </w:pPr>
            <w:r w:rsidRPr="004A7A04">
              <w:t xml:space="preserve">Ny </w:t>
            </w:r>
            <w:r w:rsidRPr="004A7A04">
              <w:t xml:space="preserve">tekst er markeret med </w:t>
            </w:r>
            <w:r w:rsidRPr="004A7A04">
              <w:rPr>
                <w:b/>
                <w:i/>
              </w:rPr>
              <w:t>fede typer og kursiv</w:t>
            </w:r>
            <w:r w:rsidRPr="004A7A04">
              <w:t xml:space="preserve">. Tekst, som er bortfaldet, markeres med symbolet ▌eller med overstregning. Ved udskiftninger markeres den nye tekst med </w:t>
            </w:r>
            <w:r w:rsidRPr="004A7A04">
              <w:rPr>
                <w:b/>
                <w:i/>
              </w:rPr>
              <w:t>fede typer og kursiv</w:t>
            </w:r>
            <w:r w:rsidRPr="004A7A04">
              <w:t xml:space="preserve">, og den udskiftede tekst slettes eller overstreges. </w:t>
            </w:r>
          </w:p>
          <w:p w:rsidR="009845B8" w:rsidRPr="004A7A04" w:rsidRDefault="003E6EC1" w:rsidP="005C4959">
            <w:pPr>
              <w:pStyle w:val="Lgendestandard"/>
            </w:pPr>
            <w:r w:rsidRPr="004A7A04">
              <w:t>Som en undtagelse b</w:t>
            </w:r>
            <w:r w:rsidRPr="004A7A04">
              <w:t>liver rent tekniske justeringer, der er foretaget af de berørte tjenestegrene med henblik på udarbejdelsen af den endelige tekst, ikke markeret.</w:t>
            </w:r>
          </w:p>
          <w:p w:rsidR="009845B8" w:rsidRPr="004A7A04" w:rsidRDefault="009845B8" w:rsidP="005C4959">
            <w:pPr>
              <w:pStyle w:val="Lgendestandard"/>
            </w:pPr>
          </w:p>
        </w:tc>
      </w:tr>
    </w:tbl>
    <w:p w:rsidR="009845B8" w:rsidRPr="004A7A04" w:rsidRDefault="009845B8" w:rsidP="005C4959"/>
    <w:p w:rsidR="00793EA9" w:rsidRPr="004A7A04" w:rsidRDefault="00793EA9" w:rsidP="00012351">
      <w:pPr>
        <w:widowControl/>
        <w:tabs>
          <w:tab w:val="center" w:pos="4677"/>
        </w:tabs>
      </w:pPr>
    </w:p>
    <w:p w:rsidR="00793EA9" w:rsidRPr="004A7A04" w:rsidRDefault="003E6EC1">
      <w:pPr>
        <w:pStyle w:val="TOCHeading"/>
      </w:pPr>
      <w:r w:rsidRPr="004A7A04">
        <w:br w:type="page"/>
      </w:r>
      <w:r w:rsidRPr="004A7A04">
        <w:lastRenderedPageBreak/>
        <w:t>INDHOLD</w:t>
      </w:r>
    </w:p>
    <w:p w:rsidR="00793EA9" w:rsidRPr="004A7A04" w:rsidRDefault="003E6EC1">
      <w:pPr>
        <w:pStyle w:val="TOCPage"/>
      </w:pPr>
      <w:r w:rsidRPr="004A7A04">
        <w:t>Side</w:t>
      </w:r>
    </w:p>
    <w:p w:rsidR="003E6EC1" w:rsidRDefault="003E6EC1">
      <w:pPr>
        <w:pStyle w:val="TOC1"/>
        <w:tabs>
          <w:tab w:val="right" w:leader="dot" w:pos="9060"/>
        </w:tabs>
        <w:rPr>
          <w:rFonts w:asciiTheme="minorHAnsi" w:eastAsiaTheme="minorEastAsia" w:hAnsiTheme="minorHAnsi" w:cstheme="minorBidi"/>
          <w:noProof/>
          <w:sz w:val="22"/>
          <w:szCs w:val="22"/>
          <w:lang w:val="en-GB"/>
        </w:rPr>
      </w:pPr>
      <w:r w:rsidRPr="004A7A04">
        <w:rPr>
          <w:b/>
        </w:rPr>
        <w:fldChar w:fldCharType="begin"/>
      </w:r>
      <w:r w:rsidRPr="004A7A04">
        <w:rPr>
          <w:b/>
        </w:rPr>
        <w:instrText xml:space="preserve"> TOC \t "PageHeading</w:instrText>
      </w:r>
      <w:r w:rsidR="00A0169F" w:rsidRPr="004A7A04">
        <w:rPr>
          <w:b/>
        </w:rPr>
        <w:instrText>;</w:instrText>
      </w:r>
      <w:r w:rsidRPr="004A7A04">
        <w:rPr>
          <w:b/>
        </w:rPr>
        <w:instrText xml:space="preserve">1" </w:instrText>
      </w:r>
      <w:r w:rsidRPr="004A7A04">
        <w:rPr>
          <w:b/>
        </w:rPr>
        <w:fldChar w:fldCharType="separate"/>
      </w:r>
      <w:r>
        <w:rPr>
          <w:noProof/>
        </w:rPr>
        <w:t>FORSLAG TIL EUROPA-PARLAMENTETS LOVGIVNINGSMÆSSIGE BESLUTNING</w:t>
      </w:r>
      <w:r>
        <w:rPr>
          <w:noProof/>
        </w:rPr>
        <w:tab/>
      </w:r>
      <w:r>
        <w:rPr>
          <w:noProof/>
        </w:rPr>
        <w:fldChar w:fldCharType="begin"/>
      </w:r>
      <w:r>
        <w:rPr>
          <w:noProof/>
        </w:rPr>
        <w:instrText xml:space="preserve"> PAGEREF _Toc191638965 \h </w:instrText>
      </w:r>
      <w:r>
        <w:rPr>
          <w:noProof/>
        </w:rPr>
      </w:r>
      <w:r>
        <w:rPr>
          <w:noProof/>
        </w:rPr>
        <w:fldChar w:fldCharType="separate"/>
      </w:r>
      <w:r>
        <w:rPr>
          <w:noProof/>
        </w:rPr>
        <w:t>5</w:t>
      </w:r>
      <w:r>
        <w:rPr>
          <w:noProof/>
        </w:rPr>
        <w:fldChar w:fldCharType="end"/>
      </w:r>
    </w:p>
    <w:p w:rsidR="003E6EC1" w:rsidRDefault="003E6EC1">
      <w:pPr>
        <w:pStyle w:val="TOC1"/>
        <w:tabs>
          <w:tab w:val="right" w:leader="dot" w:pos="9060"/>
        </w:tabs>
        <w:rPr>
          <w:rFonts w:asciiTheme="minorHAnsi" w:eastAsiaTheme="minorEastAsia" w:hAnsiTheme="minorHAnsi" w:cstheme="minorBidi"/>
          <w:noProof/>
          <w:sz w:val="22"/>
          <w:szCs w:val="22"/>
          <w:lang w:val="en-GB"/>
        </w:rPr>
      </w:pPr>
      <w:r>
        <w:rPr>
          <w:noProof/>
        </w:rPr>
        <w:t>BEGRUNDELSE</w:t>
      </w:r>
      <w:r>
        <w:rPr>
          <w:noProof/>
        </w:rPr>
        <w:tab/>
      </w:r>
      <w:r>
        <w:rPr>
          <w:noProof/>
        </w:rPr>
        <w:fldChar w:fldCharType="begin"/>
      </w:r>
      <w:r>
        <w:rPr>
          <w:noProof/>
        </w:rPr>
        <w:instrText xml:space="preserve"> PAGEREF _Toc191638966 \h </w:instrText>
      </w:r>
      <w:r>
        <w:rPr>
          <w:noProof/>
        </w:rPr>
      </w:r>
      <w:r>
        <w:rPr>
          <w:noProof/>
        </w:rPr>
        <w:fldChar w:fldCharType="separate"/>
      </w:r>
      <w:r>
        <w:rPr>
          <w:noProof/>
        </w:rPr>
        <w:t>46</w:t>
      </w:r>
      <w:r>
        <w:rPr>
          <w:noProof/>
        </w:rPr>
        <w:fldChar w:fldCharType="end"/>
      </w:r>
    </w:p>
    <w:p w:rsidR="003E6EC1" w:rsidRDefault="003E6EC1">
      <w:pPr>
        <w:pStyle w:val="TOC1"/>
        <w:tabs>
          <w:tab w:val="right" w:leader="dot" w:pos="9060"/>
        </w:tabs>
        <w:rPr>
          <w:rFonts w:asciiTheme="minorHAnsi" w:eastAsiaTheme="minorEastAsia" w:hAnsiTheme="minorHAnsi" w:cstheme="minorBidi"/>
          <w:noProof/>
          <w:sz w:val="22"/>
          <w:szCs w:val="22"/>
          <w:lang w:val="en-GB"/>
        </w:rPr>
      </w:pPr>
      <w:r>
        <w:rPr>
          <w:noProof/>
        </w:rPr>
        <w:t>BILAG: ENHEDER ELLER PERSONER, SOM ORDFØREREN HAR MODTAGET INPUT FRA</w:t>
      </w:r>
      <w:r>
        <w:rPr>
          <w:noProof/>
        </w:rPr>
        <w:tab/>
      </w:r>
      <w:r>
        <w:rPr>
          <w:noProof/>
        </w:rPr>
        <w:fldChar w:fldCharType="begin"/>
      </w:r>
      <w:r>
        <w:rPr>
          <w:noProof/>
        </w:rPr>
        <w:instrText xml:space="preserve"> PAGEREF _Toc191638967 \h </w:instrText>
      </w:r>
      <w:r>
        <w:rPr>
          <w:noProof/>
        </w:rPr>
      </w:r>
      <w:r>
        <w:rPr>
          <w:noProof/>
        </w:rPr>
        <w:fldChar w:fldCharType="separate"/>
      </w:r>
      <w:r>
        <w:rPr>
          <w:noProof/>
        </w:rPr>
        <w:t>49</w:t>
      </w:r>
      <w:r>
        <w:rPr>
          <w:noProof/>
        </w:rPr>
        <w:fldChar w:fldCharType="end"/>
      </w:r>
    </w:p>
    <w:p w:rsidR="002346B0" w:rsidRPr="004A7A04" w:rsidRDefault="003E6EC1" w:rsidP="00C23324">
      <w:r w:rsidRPr="004A7A04">
        <w:rPr>
          <w:b/>
        </w:rPr>
        <w:fldChar w:fldCharType="end"/>
      </w:r>
    </w:p>
    <w:p w:rsidR="00793EA9" w:rsidRPr="004A7A04" w:rsidRDefault="003E6EC1">
      <w:pPr>
        <w:pStyle w:val="PageHeading"/>
      </w:pPr>
      <w:r w:rsidRPr="004A7A04">
        <w:br w:type="page"/>
      </w:r>
      <w:r w:rsidRPr="004A7A04">
        <w:lastRenderedPageBreak/>
        <w:br w:type="page"/>
      </w:r>
      <w:bookmarkStart w:id="0" w:name="_Toc191638965"/>
      <w:r w:rsidRPr="004A7A04">
        <w:t xml:space="preserve">FORSLAG TIL </w:t>
      </w:r>
      <w:r w:rsidRPr="004A7A04">
        <w:t>EUROPA-PARLAMENTETS LOVGIVNINGSMÆSSIGE BESLUTNING</w:t>
      </w:r>
      <w:bookmarkEnd w:id="0"/>
    </w:p>
    <w:p w:rsidR="00793EA9" w:rsidRPr="004A7A04" w:rsidRDefault="003E6EC1">
      <w:pPr>
        <w:pStyle w:val="NormalBold"/>
      </w:pPr>
      <w:r w:rsidRPr="004A7A04">
        <w:t>om forslag til Europa-Parlamentets og Rådets forordning om styrkelse af politisamarbejdet i forbindelse med forebyggelse, opdagelse og efterforskning af smugling af migranter og menneskehandel og om forøgel</w:t>
      </w:r>
      <w:r w:rsidRPr="004A7A04">
        <w:t>se af Europols støtte til forebyggelse og bekæmpelse af disse former for kriminalitet og om ændring af forordning (EU) 2016/794</w:t>
      </w:r>
    </w:p>
    <w:p w:rsidR="00793EA9" w:rsidRPr="004A7A04" w:rsidRDefault="003E6EC1">
      <w:pPr>
        <w:pStyle w:val="NormalBold12a"/>
      </w:pPr>
      <w:r w:rsidRPr="004A7A04">
        <w:t>(COM(2023)0754 – C9</w:t>
      </w:r>
      <w:r w:rsidRPr="004A7A04">
        <w:noBreakHyphen/>
        <w:t>0431/2023 – 2023/0438(COD))</w:t>
      </w:r>
    </w:p>
    <w:p w:rsidR="00793EA9" w:rsidRPr="004A7A04" w:rsidRDefault="003E6EC1" w:rsidP="00A910C9">
      <w:pPr>
        <w:pStyle w:val="NormalBold"/>
      </w:pPr>
      <w:r w:rsidRPr="004A7A04">
        <w:t>(Almindelig lovgivningsprocedure: førstebehandling)</w:t>
      </w:r>
    </w:p>
    <w:p w:rsidR="00793EA9" w:rsidRPr="004A7A04" w:rsidRDefault="003E6EC1" w:rsidP="00A910C9">
      <w:pPr>
        <w:pStyle w:val="EPComma"/>
      </w:pPr>
      <w:r w:rsidRPr="004A7A04">
        <w:rPr>
          <w:i/>
        </w:rPr>
        <w:t>Europa-Parlamentet</w:t>
      </w:r>
      <w:r w:rsidRPr="004A7A04">
        <w:t>,</w:t>
      </w:r>
    </w:p>
    <w:p w:rsidR="00793EA9" w:rsidRPr="004A7A04" w:rsidRDefault="003E6EC1">
      <w:pPr>
        <w:pStyle w:val="NormalHanging12a"/>
      </w:pPr>
      <w:r w:rsidRPr="004A7A04">
        <w:t>–</w:t>
      </w:r>
      <w:r w:rsidRPr="004A7A04">
        <w:tab/>
        <w:t>der he</w:t>
      </w:r>
      <w:r w:rsidRPr="004A7A04">
        <w:t>nviser til Kommissionens forslag til Europa-Parlamentet og Rådet (COM(2023)0754),</w:t>
      </w:r>
    </w:p>
    <w:p w:rsidR="00793EA9" w:rsidRPr="004A7A04" w:rsidRDefault="003E6EC1">
      <w:pPr>
        <w:pStyle w:val="NormalHanging12a"/>
      </w:pPr>
      <w:r w:rsidRPr="004A7A04">
        <w:t>–</w:t>
      </w:r>
      <w:r w:rsidRPr="004A7A04">
        <w:tab/>
        <w:t>der henviser til artikel 294, stk. 2, artikel 85, stk. 1, artikel 87, stk. 2, og artikel 88, stk. 2, i traktaten om Den Europæiske Unions funktionsmåde, på grundlag af hvil</w:t>
      </w:r>
      <w:r w:rsidRPr="004A7A04">
        <w:t>ke Kommissionen har forelagt forslaget for Parlamentet (C9</w:t>
      </w:r>
      <w:r w:rsidRPr="004A7A04">
        <w:noBreakHyphen/>
        <w:t>0431/2023),</w:t>
      </w:r>
    </w:p>
    <w:p w:rsidR="00A26F46" w:rsidRPr="004A7A04" w:rsidRDefault="003E6EC1" w:rsidP="00A26F46">
      <w:pPr>
        <w:pStyle w:val="NormalHanging12a"/>
      </w:pPr>
      <w:r w:rsidRPr="004A7A04">
        <w:t>–</w:t>
      </w:r>
      <w:r w:rsidRPr="004A7A04">
        <w:tab/>
        <w:t>der henviser til artikel 294, stk. 3, i traktaten om Den Europæiske Unions funktionsmåde,</w:t>
      </w:r>
    </w:p>
    <w:p w:rsidR="00522F4E" w:rsidRPr="004A7A04" w:rsidRDefault="003E6EC1" w:rsidP="00A26F46">
      <w:pPr>
        <w:pStyle w:val="NormalHanging12a"/>
      </w:pPr>
      <w:r w:rsidRPr="004A7A04">
        <w:t>–</w:t>
      </w:r>
      <w:r w:rsidRPr="004A7A04">
        <w:tab/>
        <w:t>der henviser til budgetmæssig vurdering fra Budgetudvalget,</w:t>
      </w:r>
    </w:p>
    <w:p w:rsidR="00FB3173" w:rsidRPr="004A7A04" w:rsidRDefault="003E6EC1" w:rsidP="00851C5E">
      <w:pPr>
        <w:pStyle w:val="NormalHanging12a"/>
      </w:pPr>
      <w:r w:rsidRPr="004A7A04">
        <w:t>–</w:t>
      </w:r>
      <w:r w:rsidRPr="004A7A04">
        <w:tab/>
        <w:t>der henviser til den begrunde</w:t>
      </w:r>
      <w:r w:rsidRPr="004A7A04">
        <w:t>de udtalelse, som inden for rammerne af protokol nr. 2 om anvendelse af nærhedsprincippet og proportionalitetsprincippet er blevet forelagt af den svenske Riksdag, om at udkastet til lovgivningsmæssig retsakt ikke overholder nærhedsprincippet,</w:t>
      </w:r>
    </w:p>
    <w:p w:rsidR="00FB3173" w:rsidRPr="004A7A04" w:rsidRDefault="003E6EC1" w:rsidP="002E4496">
      <w:pPr>
        <w:pStyle w:val="NormalHanging12a"/>
      </w:pPr>
      <w:r w:rsidRPr="004A7A04">
        <w:t>–</w:t>
      </w:r>
      <w:r w:rsidRPr="004A7A04">
        <w:tab/>
        <w:t>der henvis</w:t>
      </w:r>
      <w:r w:rsidRPr="004A7A04">
        <w:t>er til udtalelse af 10. juli 2024 fra Det Europæiske Økonomiske og Sociale Udvalg</w:t>
      </w:r>
      <w:r w:rsidRPr="004A7A04">
        <w:rPr>
          <w:rStyle w:val="FootnoteReference"/>
        </w:rPr>
        <w:footnoteReference w:id="1"/>
      </w:r>
      <w:r w:rsidRPr="004A7A04">
        <w:t>,</w:t>
      </w:r>
    </w:p>
    <w:p w:rsidR="00520CE7" w:rsidRPr="004A7A04" w:rsidRDefault="003E6EC1" w:rsidP="006020DB">
      <w:pPr>
        <w:pStyle w:val="NormalHanging12a"/>
      </w:pPr>
      <w:r w:rsidRPr="004A7A04">
        <w:t>–</w:t>
      </w:r>
      <w:r w:rsidRPr="004A7A04">
        <w:tab/>
        <w:t>der henviser til forretningsordenens artikel 60 og 58,</w:t>
      </w:r>
    </w:p>
    <w:p w:rsidR="00851C5E" w:rsidRPr="004A7A04" w:rsidRDefault="00851C5E" w:rsidP="00520CE7">
      <w:pPr>
        <w:pStyle w:val="NormalHanging12a"/>
        <w:rPr>
          <w:rFonts w:ascii="Arial" w:hAnsi="Arial"/>
          <w:noProof/>
          <w:vanish/>
          <w:color w:val="000080"/>
          <w:sz w:val="20"/>
        </w:rPr>
      </w:pPr>
    </w:p>
    <w:p w:rsidR="006A2F5D" w:rsidRPr="004A7A04" w:rsidRDefault="003E6EC1" w:rsidP="006A2F5D">
      <w:pPr>
        <w:pStyle w:val="NormalHanging12a"/>
      </w:pPr>
      <w:r w:rsidRPr="004A7A04">
        <w:t>–</w:t>
      </w:r>
      <w:r w:rsidRPr="004A7A04">
        <w:tab/>
        <w:t>der henviser til betænkning fra Udvalget om Borgernes Rettigheder og Retlige og Indre Anliggender (A10</w:t>
      </w:r>
      <w:r w:rsidRPr="004A7A04">
        <w:noBreakHyphen/>
        <w:t>0000/2025</w:t>
      </w:r>
      <w:r w:rsidRPr="004A7A04">
        <w:t>),</w:t>
      </w:r>
    </w:p>
    <w:p w:rsidR="009F6C2F" w:rsidRPr="004A7A04" w:rsidRDefault="003E6EC1" w:rsidP="009F6C2F">
      <w:pPr>
        <w:pStyle w:val="NormalHanging12a"/>
      </w:pPr>
      <w:r w:rsidRPr="004A7A04">
        <w:t>1.</w:t>
      </w:r>
      <w:r w:rsidRPr="004A7A04">
        <w:tab/>
        <w:t>vedtager nedenstående holdning ved førstebehandling;</w:t>
      </w:r>
    </w:p>
    <w:p w:rsidR="009F6C2F" w:rsidRPr="004A7A04" w:rsidRDefault="003E6EC1" w:rsidP="009F6C2F">
      <w:pPr>
        <w:pStyle w:val="NormalHanging12a"/>
      </w:pPr>
      <w:r w:rsidRPr="004A7A04">
        <w:t>2.</w:t>
      </w:r>
      <w:r w:rsidRPr="004A7A04">
        <w:tab/>
        <w:t xml:space="preserve">anmoder om fornyet forelæggelse, hvis Kommissionen erstatter, i væsentlig grad ændrer eller agter i væsentlig grad at ændre sit forslag; </w:t>
      </w:r>
    </w:p>
    <w:p w:rsidR="009F6C2F" w:rsidRPr="004A7A04" w:rsidRDefault="003E6EC1" w:rsidP="009F6C2F">
      <w:pPr>
        <w:pStyle w:val="NormalHanging12a"/>
      </w:pPr>
      <w:r w:rsidRPr="004A7A04">
        <w:t>3.</w:t>
      </w:r>
      <w:r w:rsidRPr="004A7A04">
        <w:tab/>
        <w:t xml:space="preserve">pålægger sin formand at sende Parlamentets holdning </w:t>
      </w:r>
      <w:r w:rsidRPr="004A7A04">
        <w:t>til Rådet og Kommissionen samt til de nationale parlamenter.</w:t>
      </w:r>
    </w:p>
    <w:p w:rsidR="00742F5F" w:rsidRPr="004A7A04" w:rsidRDefault="00742F5F" w:rsidP="00D30DE2"/>
    <w:p w:rsidR="0018078A" w:rsidRPr="004A7A04" w:rsidRDefault="003E6EC1" w:rsidP="0018078A">
      <w:pPr>
        <w:pStyle w:val="AMNumberTabs0"/>
        <w:keepNext/>
      </w:pPr>
      <w:r w:rsidRPr="004A7A04">
        <w:rPr>
          <w:rStyle w:val="HideTWBExt"/>
          <w:b w:val="0"/>
        </w:rPr>
        <w:t>&lt;RepeatBlock-Amend&gt;&lt;Amend&gt;</w:t>
      </w:r>
      <w:r w:rsidRPr="004A7A04">
        <w:t>Ændringsforslag</w:t>
      </w:r>
      <w:r w:rsidRPr="004A7A04">
        <w:tab/>
      </w:r>
      <w:r w:rsidRPr="004A7A04">
        <w:tab/>
      </w:r>
      <w:r w:rsidRPr="004A7A04">
        <w:rPr>
          <w:rStyle w:val="HideTWBExt"/>
          <w:b w:val="0"/>
        </w:rPr>
        <w:t>&lt;NumAm&gt;</w:t>
      </w:r>
      <w:r w:rsidRPr="004A7A04">
        <w:t>1</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Titel</w:t>
      </w:r>
      <w:r w:rsidRPr="004A7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hideMark/>
          </w:tcPr>
          <w:p w:rsidR="0018078A" w:rsidRPr="004A7A04" w:rsidRDefault="003E6EC1">
            <w:pPr>
              <w:pStyle w:val="Normal6"/>
            </w:pPr>
            <w:r w:rsidRPr="004A7A04">
              <w:t>Forslag til</w:t>
            </w:r>
          </w:p>
        </w:tc>
        <w:tc>
          <w:tcPr>
            <w:tcW w:w="4876" w:type="dxa"/>
            <w:hideMark/>
          </w:tcPr>
          <w:p w:rsidR="0018078A" w:rsidRPr="004A7A04" w:rsidRDefault="003E6EC1">
            <w:pPr>
              <w:pStyle w:val="Normal6"/>
              <w:rPr>
                <w:szCs w:val="24"/>
              </w:rPr>
            </w:pPr>
            <w:r w:rsidRPr="004A7A04">
              <w:t>Forslag til</w:t>
            </w:r>
          </w:p>
        </w:tc>
      </w:tr>
      <w:tr w:rsidR="00502EA6" w:rsidRPr="004A7A04" w:rsidTr="0018078A">
        <w:trPr>
          <w:jc w:val="center"/>
        </w:trPr>
        <w:tc>
          <w:tcPr>
            <w:tcW w:w="4876" w:type="dxa"/>
            <w:hideMark/>
          </w:tcPr>
          <w:p w:rsidR="0018078A" w:rsidRPr="004A7A04" w:rsidRDefault="003E6EC1">
            <w:pPr>
              <w:pStyle w:val="Normal6"/>
            </w:pPr>
            <w:r w:rsidRPr="004A7A04">
              <w:t>EUROPA-PARLAMENTETS OG RÅDETS FORORDNING</w:t>
            </w:r>
          </w:p>
        </w:tc>
        <w:tc>
          <w:tcPr>
            <w:tcW w:w="4876" w:type="dxa"/>
            <w:hideMark/>
          </w:tcPr>
          <w:p w:rsidR="0018078A" w:rsidRPr="004A7A04" w:rsidRDefault="003E6EC1">
            <w:pPr>
              <w:pStyle w:val="Normal6"/>
              <w:rPr>
                <w:szCs w:val="24"/>
              </w:rPr>
            </w:pPr>
            <w:r w:rsidRPr="004A7A04">
              <w:t>EUROPA-PARLAMENTETS OG RÅDETS FORORDNING</w:t>
            </w:r>
          </w:p>
        </w:tc>
      </w:tr>
      <w:tr w:rsidR="00502EA6" w:rsidRPr="004A7A04" w:rsidTr="0018078A">
        <w:trPr>
          <w:jc w:val="center"/>
        </w:trPr>
        <w:tc>
          <w:tcPr>
            <w:tcW w:w="4876" w:type="dxa"/>
            <w:hideMark/>
          </w:tcPr>
          <w:p w:rsidR="0018078A" w:rsidRPr="004A7A04" w:rsidRDefault="003E6EC1">
            <w:pPr>
              <w:pStyle w:val="Normal6"/>
            </w:pPr>
            <w:r w:rsidRPr="004A7A04">
              <w:t xml:space="preserve">om </w:t>
            </w:r>
            <w:r w:rsidRPr="004A7A04">
              <w:rPr>
                <w:b/>
                <w:i/>
              </w:rPr>
              <w:t>styrkelse</w:t>
            </w:r>
            <w:r w:rsidRPr="004A7A04">
              <w:t xml:space="preserve"> af </w:t>
            </w:r>
            <w:r w:rsidRPr="004A7A04">
              <w:rPr>
                <w:b/>
                <w:i/>
              </w:rPr>
              <w:t>politisamarbejdet i forbindelse med forebyggelse, opdagelse og efterforskning</w:t>
            </w:r>
            <w:r w:rsidRPr="004A7A04">
              <w:t xml:space="preserve"> af </w:t>
            </w:r>
            <w:r w:rsidRPr="004A7A04">
              <w:rPr>
                <w:b/>
                <w:i/>
              </w:rPr>
              <w:t>smugling af migranter</w:t>
            </w:r>
            <w:r w:rsidRPr="004A7A04">
              <w:t xml:space="preserve"> og </w:t>
            </w:r>
            <w:r w:rsidRPr="004A7A04">
              <w:rPr>
                <w:b/>
                <w:i/>
              </w:rPr>
              <w:t xml:space="preserve">menneskehandel og om forøgelse af Europols støtte </w:t>
            </w:r>
            <w:r w:rsidRPr="004A7A04">
              <w:rPr>
                <w:b/>
                <w:i/>
              </w:rPr>
              <w:t>til</w:t>
            </w:r>
            <w:r w:rsidRPr="004A7A04">
              <w:t xml:space="preserve"> forebyggelse og bekæmpelse af </w:t>
            </w:r>
            <w:r w:rsidRPr="004A7A04">
              <w:rPr>
                <w:b/>
                <w:i/>
              </w:rPr>
              <w:t>disse former for kriminalitet og om ændring</w:t>
            </w:r>
            <w:r w:rsidRPr="004A7A04">
              <w:t xml:space="preserve"> af </w:t>
            </w:r>
            <w:r w:rsidRPr="004A7A04">
              <w:rPr>
                <w:b/>
                <w:i/>
              </w:rPr>
              <w:t>forordning (EU) 2016/794</w:t>
            </w:r>
          </w:p>
        </w:tc>
        <w:tc>
          <w:tcPr>
            <w:tcW w:w="4876" w:type="dxa"/>
            <w:hideMark/>
          </w:tcPr>
          <w:p w:rsidR="0018078A" w:rsidRPr="004A7A04" w:rsidRDefault="003E6EC1">
            <w:pPr>
              <w:pStyle w:val="Normal6"/>
              <w:rPr>
                <w:szCs w:val="24"/>
              </w:rPr>
            </w:pPr>
            <w:r w:rsidRPr="004A7A04">
              <w:t xml:space="preserve">om </w:t>
            </w:r>
            <w:r w:rsidRPr="004A7A04">
              <w:rPr>
                <w:b/>
                <w:i/>
              </w:rPr>
              <w:t>ændring</w:t>
            </w:r>
            <w:r w:rsidRPr="004A7A04">
              <w:t xml:space="preserve"> af </w:t>
            </w:r>
            <w:r w:rsidRPr="004A7A04">
              <w:rPr>
                <w:b/>
                <w:i/>
              </w:rPr>
              <w:t>forordning (EU) 2016/794 for så vidt angår forøgelse</w:t>
            </w:r>
            <w:r w:rsidRPr="004A7A04">
              <w:t xml:space="preserve"> af </w:t>
            </w:r>
            <w:r w:rsidRPr="004A7A04">
              <w:rPr>
                <w:b/>
                <w:i/>
              </w:rPr>
              <w:t>Europols støtte</w:t>
            </w:r>
            <w:r w:rsidRPr="004A7A04">
              <w:t xml:space="preserve"> og </w:t>
            </w:r>
            <w:r w:rsidRPr="004A7A04">
              <w:rPr>
                <w:b/>
                <w:i/>
              </w:rPr>
              <w:t>styrkelse af politisamarbejdet med henblik på</w:t>
            </w:r>
            <w:r w:rsidRPr="004A7A04">
              <w:t xml:space="preserve"> forebyggelse og</w:t>
            </w:r>
            <w:r w:rsidRPr="004A7A04">
              <w:t xml:space="preserve"> bekæmpelse af </w:t>
            </w:r>
            <w:r w:rsidRPr="004A7A04">
              <w:rPr>
                <w:b/>
                <w:i/>
              </w:rPr>
              <w:t>smugling</w:t>
            </w:r>
            <w:r w:rsidRPr="004A7A04">
              <w:t xml:space="preserve"> af </w:t>
            </w:r>
            <w:r w:rsidRPr="004A7A04">
              <w:rPr>
                <w:b/>
                <w:i/>
              </w:rPr>
              <w:t>migranter og menneskehandel</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2</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Betragtning 6</w:t>
      </w:r>
      <w:r w:rsidRPr="004A7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hideMark/>
          </w:tcPr>
          <w:p w:rsidR="0018078A" w:rsidRPr="004A7A04" w:rsidRDefault="003E6EC1">
            <w:pPr>
              <w:pStyle w:val="Normal6"/>
            </w:pPr>
            <w:r w:rsidRPr="004A7A04">
              <w:rPr>
                <w:b/>
                <w:i/>
              </w:rPr>
              <w:t>(6)</w:t>
            </w:r>
            <w:r w:rsidRPr="004A7A04">
              <w:rPr>
                <w:b/>
                <w:i/>
              </w:rPr>
              <w:tab/>
              <w:t>For at støtte dets strategiske analyse vedrørende forebyggelse og bekæmpelse af smugling af migranter og menneskehandel bør Det Europæiske Center for Bekæmpelse af Migrantsmugling i forbindelse med strategiske opgaver være støttet af en samarbejdsramme</w:t>
            </w:r>
            <w:r w:rsidRPr="004A7A04">
              <w:rPr>
                <w:b/>
                <w:i/>
              </w:rPr>
              <w:t xml:space="preserve"> bestående af Europolpersonale og inddrage repræsentanter for Kommissionen, medlemsstaternes specialiserede tjenester, Den Europæiske Unions Agentur for Strafferetligt Samarbejde (Eurojust) og Det Europæiske Agentur for Grænse- og Kystbevogtning. Det Europ</w:t>
            </w:r>
            <w:r w:rsidRPr="004A7A04">
              <w:rPr>
                <w:b/>
                <w:i/>
              </w:rPr>
              <w:t>æiske Center for Bekæmpelse af Migrantsmugling bør mindst to gange om året afholde et møde med deltagelse af de enheder, der er repræsenteret i centret, for at sikre en effektiv styring og koordinering på EU-plan. For at centret skal kunne udføre sine opga</w:t>
            </w:r>
            <w:r w:rsidRPr="004A7A04">
              <w:rPr>
                <w:b/>
                <w:i/>
              </w:rPr>
              <w:t>ver, bør Europols andre relevante interne strukturer yde centret al den nødvendige støtte. For at Det Europæiske Center for Bekæmpelse af Migrantsmugling skal være så virkningsfuldt som muligt, bør Europol navnlig kunne indbyde de vigtigste aktører i den e</w:t>
            </w:r>
            <w:r w:rsidRPr="004A7A04">
              <w:rPr>
                <w:b/>
                <w:i/>
              </w:rPr>
              <w:t>uropæiske tværfaglige platform mod kriminalitetstrusler (EMPACT) samt, når det er nødvendigt, andre relevante EU-organer eller -agenturer.</w:t>
            </w:r>
          </w:p>
        </w:tc>
        <w:tc>
          <w:tcPr>
            <w:tcW w:w="4876" w:type="dxa"/>
            <w:hideMark/>
          </w:tcPr>
          <w:p w:rsidR="0018078A" w:rsidRPr="004A7A04" w:rsidRDefault="003E6EC1">
            <w:pPr>
              <w:pStyle w:val="Normal6"/>
              <w:rPr>
                <w:szCs w:val="24"/>
              </w:rPr>
            </w:pPr>
            <w:r w:rsidRPr="004A7A04">
              <w:rPr>
                <w:b/>
                <w:i/>
              </w:rPr>
              <w:t>udgår</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3</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 xml:space="preserve">Forslag til </w:t>
      </w:r>
      <w:r w:rsidRPr="004A7A04">
        <w:t>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Betragtning 7 a (ny)</w:t>
      </w:r>
      <w:r w:rsidRPr="004A7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(7a)</w:t>
            </w:r>
            <w:r w:rsidRPr="004A7A04">
              <w:rPr>
                <w:b/>
                <w:i/>
              </w:rPr>
              <w:tab/>
              <w:t xml:space="preserve">Med henblik på at styrke den operationelle og tekniske støtte til forebyggelse og bekæmpelse af smugling af migranter og menneskehandel bør Det </w:t>
            </w:r>
            <w:r w:rsidRPr="004A7A04">
              <w:rPr>
                <w:b/>
                <w:i/>
              </w:rPr>
              <w:t>Europæiske Center for Bekæmpelse af Migrantsmugling inddrage repræsentanter for medlemsstaternes specialiserede tjenester, Eurojust og Det Europæiske Agentur for Grænse- og Kystbevogtning for at sikre en effektiv, rettidig og systematisk koordinering og ud</w:t>
            </w:r>
            <w:r w:rsidRPr="004A7A04">
              <w:rPr>
                <w:b/>
                <w:i/>
              </w:rPr>
              <w:t>veksling af oplysninger om bekæmpelse af smugling af migranter og menneskehandel på EU-plan og derved sikre et stærkere samarbejde mellem myndighederne inden for deres respektive beføjelser og med medlemsstaterne. Faste repræsentanter for Eurojust og Det E</w:t>
            </w:r>
            <w:r w:rsidRPr="004A7A04">
              <w:rPr>
                <w:b/>
                <w:i/>
              </w:rPr>
              <w:t>uropæiske Agentur for Grænse- og Kystbevogtning bør udpeges med henblik herpå.</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4</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Betragtning 7 b (ny)</w:t>
      </w:r>
      <w:r w:rsidRPr="004A7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w:t>
            </w:r>
            <w:r w:rsidRPr="004A7A04">
              <w:t>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rsidP="00320B73">
            <w:pPr>
              <w:pStyle w:val="Normal6"/>
              <w:rPr>
                <w:szCs w:val="24"/>
              </w:rPr>
            </w:pPr>
            <w:r w:rsidRPr="004A7A04">
              <w:rPr>
                <w:b/>
                <w:i/>
              </w:rPr>
              <w:t>(7b)</w:t>
            </w:r>
            <w:r w:rsidRPr="004A7A04">
              <w:rPr>
                <w:b/>
                <w:i/>
              </w:rPr>
              <w:tab/>
              <w:t xml:space="preserve">For at maksimere effektiviteten af Det Europæiske Center for Bekæmpelse af Migrantsmugling bør Europol kunne opfordre andre deltagere til at deltage i gennemførelsen af Det Europæiske Center for Bekæmpelse af </w:t>
            </w:r>
            <w:r w:rsidRPr="004A7A04">
              <w:rPr>
                <w:b/>
                <w:i/>
              </w:rPr>
              <w:t xml:space="preserve">Migrantsmuglings aktiviteter. Dette kan navnlig omfatte Kommissionen og de vigtigste aktører i den europæiske tværfaglige platform mod kriminalitetstrusler (EMPACT) samt andre relevante EU-organer eller -agenturer i forbindelse med aktiviteter, der falder </w:t>
            </w:r>
            <w:r w:rsidRPr="004A7A04">
              <w:rPr>
                <w:b/>
                <w:i/>
              </w:rPr>
              <w:t>inden for deres beføjelser. Det Europæiske Center for Bekæmpelse af Migrantsmugling bør også kunne samarbejde med Tjenesten for EU's Optræden Udadtil og missioner og operationer inden for rammerne af den fælles sikkerheds- og forsvarspolitik, hvor det er h</w:t>
            </w:r>
            <w:r w:rsidRPr="004A7A04">
              <w:rPr>
                <w:b/>
                <w:i/>
              </w:rPr>
              <w:t>ensigtsmæssigt og relevant, i overensstemmelse med deres respektive mandater og beføjelser samt Europols mandat. Europol bør sikre, at Det Europæiske Center for Bekæmpelse af Migrantsmugling har tilstrækkelige ressourcer til at udføre sine opgaver, og at a</w:t>
            </w:r>
            <w:r w:rsidRPr="004A7A04">
              <w:rPr>
                <w:b/>
                <w:i/>
              </w:rPr>
              <w:t>ndre relevante interne strukturer i Europol yder centret al den nødvendige støtte.</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5</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Betragtning 7 c (ny)</w:t>
      </w:r>
      <w:r w:rsidRPr="004A7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rsidP="00440502">
            <w:pPr>
              <w:pStyle w:val="Normal6"/>
              <w:rPr>
                <w:szCs w:val="24"/>
              </w:rPr>
            </w:pPr>
            <w:r w:rsidRPr="004A7A04">
              <w:rPr>
                <w:b/>
                <w:i/>
              </w:rPr>
              <w:t>(7c)</w:t>
            </w:r>
            <w:r w:rsidRPr="004A7A04">
              <w:rPr>
                <w:b/>
                <w:i/>
              </w:rPr>
              <w:tab/>
              <w:t xml:space="preserve">For at sikre, at Det Europæiske Center for Bekæmpelse af Migrantsmuglings opgaver og forvaltning bevarer en tilstrækkelig grad af fleksibilitet, bør bestyrelsen på grundlag af et forslag fra den administrerende </w:t>
            </w:r>
            <w:r w:rsidRPr="004A7A04">
              <w:rPr>
                <w:b/>
                <w:i/>
              </w:rPr>
              <w:t xml:space="preserve">direktør have beføjelse til at vedtage gennemførelsesbestemmelser, herunder i forbindelse med de typer af operationelle og strategiske opgaver, der skal udføres, og ordningen for deltagelse af repræsentanter og indbudte deltagere. </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w:t>
      </w:r>
      <w:r w:rsidRPr="004A7A04">
        <w:rPr>
          <w:rStyle w:val="HideTWBExt"/>
          <w:noProof w:val="0"/>
        </w:rPr>
        <w:t>riginal&gt;</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6</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Recital 9</w:t>
      </w:r>
      <w:r w:rsidRPr="004A7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hideMark/>
          </w:tcPr>
          <w:p w:rsidR="0018078A" w:rsidRPr="004A7A04" w:rsidRDefault="003E6EC1">
            <w:pPr>
              <w:pStyle w:val="Normal6"/>
            </w:pPr>
            <w:r w:rsidRPr="004A7A04">
              <w:rPr>
                <w:b/>
                <w:i/>
              </w:rPr>
              <w:t>(9)</w:t>
            </w:r>
            <w:r w:rsidRPr="004A7A04">
              <w:rPr>
                <w:b/>
                <w:i/>
              </w:rPr>
              <w:tab/>
              <w:t xml:space="preserve">Med henblik på at styrke den operationelle og tekniske støtte til forebyggelse </w:t>
            </w:r>
            <w:r w:rsidRPr="004A7A04">
              <w:rPr>
                <w:b/>
                <w:i/>
              </w:rPr>
              <w:t xml:space="preserve">og bekæmpelse af smugling af migranter og menneskehandel bør Det Europæiske Center for Bekæmpelse af Migrantsmugling i forbindelse med operationelle opgaver inddrage forbindelsesofficerer fra medlemsstaterne, Eurojust og Det Europæiske Agentur for Grænse- </w:t>
            </w:r>
            <w:r w:rsidRPr="004A7A04">
              <w:rPr>
                <w:b/>
                <w:i/>
              </w:rPr>
              <w:t>og Kystbevogtning for at sikre en effektiv, rettidig og systematisk koordinering og udveksling af oplysninger om bekæmpelse af smugling af migranter og menneskehandel på EU-plan og derved sikre et stærkere samarbejde mellem myndighederne inden for deres re</w:t>
            </w:r>
            <w:r w:rsidRPr="004A7A04">
              <w:rPr>
                <w:b/>
                <w:i/>
              </w:rPr>
              <w:t>spektive beføjelser og med medlemsstaterne. Andre relevante interne strukturer i Europol bør også yde al den nødvendige støtte. Forbindelsesofficerer fra Eurojust og forbindelsesofficerer fra Det Europæiske Agentur for Grænse- og Kystbevogtning bør udstati</w:t>
            </w:r>
            <w:r w:rsidRPr="004A7A04">
              <w:rPr>
                <w:b/>
                <w:i/>
              </w:rPr>
              <w:t>oneres som faste repræsentanter ved Europol med henblik herpå. Europol bør, hvis det er relevant, kunne inddrage andre relevante EU-organer eller -agenturer for at trække på den ekspertise, der henhører under deres beføjelser.</w:t>
            </w:r>
          </w:p>
        </w:tc>
        <w:tc>
          <w:tcPr>
            <w:tcW w:w="4876" w:type="dxa"/>
            <w:hideMark/>
          </w:tcPr>
          <w:p w:rsidR="0018078A" w:rsidRPr="004A7A04" w:rsidRDefault="003E6EC1">
            <w:pPr>
              <w:pStyle w:val="Normal6"/>
              <w:rPr>
                <w:szCs w:val="24"/>
              </w:rPr>
            </w:pPr>
            <w:r w:rsidRPr="004A7A04">
              <w:rPr>
                <w:b/>
                <w:i/>
              </w:rPr>
              <w:t>udgår</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w:t>
      </w:r>
      <w:r w:rsidRPr="004A7A04">
        <w:rPr>
          <w:rStyle w:val="HideTWBExt"/>
          <w:noProof w:val="0"/>
        </w:rPr>
        <w:t>Original&gt;</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7</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Betragtning 11 a (ny)</w:t>
      </w:r>
      <w:r w:rsidRPr="004A7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(11a)</w:t>
            </w:r>
            <w:r w:rsidRPr="004A7A04">
              <w:rPr>
                <w:b/>
                <w:i/>
              </w:rPr>
              <w:tab/>
              <w:t xml:space="preserve">Under hensyntagen til den evaluering, der er planlagt i </w:t>
            </w:r>
            <w:r w:rsidRPr="004A7A04">
              <w:rPr>
                <w:b/>
                <w:i/>
              </w:rPr>
              <w:t>overensstemmelse med artikel 23 i Europa-Parlamentets og Rådets forordning (EU) 2021/7841</w:t>
            </w:r>
            <w:r w:rsidRPr="004A7A04">
              <w:rPr>
                <w:b/>
                <w:i/>
                <w:vertAlign w:val="superscript"/>
              </w:rPr>
              <w:t>1a</w:t>
            </w:r>
            <w:r w:rsidRPr="004A7A04">
              <w:rPr>
                <w:b/>
                <w:i/>
              </w:rPr>
              <w:t xml:space="preserve">, og med henblik på at løse det bredere problem med ulovligt onlineindhold bør det vurderes, om der er behov for at udvide anvendelsesområdet for påbud om fjernelse </w:t>
            </w:r>
            <w:r w:rsidRPr="004A7A04">
              <w:rPr>
                <w:b/>
                <w:i/>
              </w:rPr>
              <w:t>til at omfatte onlinedimensionen af smugling af migranter eller menneskehandel, herunder online facilitering eller offentlig ansporing.</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__________________</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vertAlign w:val="superscript"/>
              </w:rPr>
              <w:t>1a</w:t>
            </w:r>
            <w:r w:rsidRPr="004A7A04">
              <w:t xml:space="preserve"> </w:t>
            </w:r>
            <w:r w:rsidRPr="004A7A04">
              <w:rPr>
                <w:b/>
                <w:i/>
              </w:rPr>
              <w:t xml:space="preserve">Europa-Parlamentets og Rådets forordning (EU) 2021/784 af 29. april 2021 om håndtering af </w:t>
            </w:r>
            <w:r w:rsidRPr="004A7A04">
              <w:rPr>
                <w:b/>
                <w:i/>
              </w:rPr>
              <w:t>udbredelsen af terrorrelateret indhold online (EUT L 172 af 17.5.2021, s. 79, ELI:</w:t>
            </w:r>
            <w:r w:rsidRPr="004A7A04">
              <w:t xml:space="preserve"> </w:t>
            </w:r>
            <w:r w:rsidRPr="004A7A04">
              <w:rPr>
                <w:b/>
                <w:i/>
              </w:rPr>
              <w:t xml:space="preserve"> http://data.europa.eu/eli/reg/2021/784/oj).</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8</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w:t>
      </w:r>
      <w:r w:rsidRPr="004A7A04">
        <w:rPr>
          <w:rStyle w:val="HideTWBExt"/>
          <w:b w:val="0"/>
        </w:rPr>
        <w:t>Article&gt;</w:t>
      </w:r>
      <w:r w:rsidRPr="004A7A04">
        <w:t>Betragtning 13</w:t>
      </w:r>
      <w:r w:rsidRPr="004A7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hideMark/>
          </w:tcPr>
          <w:p w:rsidR="0018078A" w:rsidRPr="004A7A04" w:rsidRDefault="003E6EC1">
            <w:pPr>
              <w:pStyle w:val="Normal6"/>
            </w:pPr>
            <w:r w:rsidRPr="004A7A04">
              <w:t>(13)</w:t>
            </w:r>
            <w:r w:rsidRPr="004A7A04">
              <w:tab/>
              <w:t>For at sikre en omfattende og koordineret EU-tilgang til bekæmpelse af smugling af migranter er det afgørende med et aktivt engagement fra medlemsstaternes side og udveksling af</w:t>
            </w:r>
            <w:r w:rsidRPr="004A7A04">
              <w:t xml:space="preserve"> oplysninger med Europol. For at styrke deres kapacitet bør medlemsstaterne udpege specialiserede tjenester til bekæmpelse af smugling af migranter og sikre, at de har tilstrækkelige ressourcer til at forebygge og bekæmpe smugling af migranter og kan udvek</w:t>
            </w:r>
            <w:r w:rsidRPr="004A7A04">
              <w:t>sle oplysninger om strafferetlig efterforskning med Europol på en effektiv og virkningsfuld måde. For at harmonisere udvekslingen af oplysninger mellem medlemsstaterne og Europol om smugling af migranter bør medlemsstaterne sikre, at deres udpegede tjenest</w:t>
            </w:r>
            <w:r w:rsidRPr="004A7A04">
              <w:t>er til bekæmpelse af smugling af migranter er direkte forbundet med SIENA med henblik på at lette udvekslingen af oplysninger. Dette er i overensstemmelse med Europa-Parlamentets og Rådets direktiv (EU) 2023/977 af 10. maj 2023 om udveksling af oplysninger</w:t>
            </w:r>
            <w:r w:rsidRPr="004A7A04">
              <w:t xml:space="preserve"> mellem medlemsstaternes retshåndhævende myndigheder og om ophævelse af Rådets rammeafgørelse 2006/960/RIA. Medlemsstaternes indvandringsforbindelsesofficerer, der er udstationeret i tredjelande, bør også udveksle oplysninger med Europol; med henblik herpå</w:t>
            </w:r>
            <w:r w:rsidRPr="004A7A04">
              <w:t xml:space="preserve"> bør de ligeledes være forbundet med SIENA for at sikre, at de kan udføre den udveksling af oplysninger, der er omhandlet i stk. 1, på en effektiv og virkningsfuld måde.</w:t>
            </w:r>
          </w:p>
        </w:tc>
        <w:tc>
          <w:tcPr>
            <w:tcW w:w="4876" w:type="dxa"/>
            <w:hideMark/>
          </w:tcPr>
          <w:p w:rsidR="0018078A" w:rsidRPr="004A7A04" w:rsidRDefault="003E6EC1">
            <w:pPr>
              <w:pStyle w:val="Normal6"/>
              <w:rPr>
                <w:szCs w:val="24"/>
              </w:rPr>
            </w:pPr>
            <w:r w:rsidRPr="004A7A04">
              <w:t>(13)</w:t>
            </w:r>
            <w:r w:rsidRPr="004A7A04">
              <w:tab/>
              <w:t>For at sikre en omfattende og koordineret EU-tilgang til bekæmpelse af smugling a</w:t>
            </w:r>
            <w:r w:rsidRPr="004A7A04">
              <w:t>f migranter er det afgørende med et aktivt engagement fra medlemsstaternes side og udveksling af oplysninger med Europol. For at styrke deres kapacitet bør medlemsstaterne udpege specialiserede tjenester til bekæmpelse af smugling af migranter og sikre, at</w:t>
            </w:r>
            <w:r w:rsidRPr="004A7A04">
              <w:t xml:space="preserve"> de har tilstrækkelige ressourcer til at forebygge og bekæmpe smugling af migranter og kan udveksle oplysninger om strafferetlig efterforskning med Europol på en effektiv og virkningsfuld måde.</w:t>
            </w:r>
            <w:r w:rsidRPr="004A7A04">
              <w:rPr>
                <w:b/>
                <w:i/>
              </w:rPr>
              <w:t xml:space="preserve"> </w:t>
            </w:r>
            <w:r w:rsidRPr="004A7A04">
              <w:rPr>
                <w:b/>
                <w:bCs/>
              </w:rPr>
              <w:t xml:space="preserve">Medlemsstaterne kan udpege eksisterende tjenester med henblik </w:t>
            </w:r>
            <w:r w:rsidRPr="004A7A04">
              <w:rPr>
                <w:b/>
                <w:bCs/>
              </w:rPr>
              <w:t>herpå.</w:t>
            </w:r>
            <w:r w:rsidRPr="004A7A04">
              <w:t xml:space="preserve"> For at harmonisere udvekslingen af oplysninger mellem medlemsstaterne og Europol om smugling af migranter bør medlemsstaterne sikre, at deres udpegede tjenester til bekæmpelse af smugling af migranter er direkte forbundet med SIENA med henblik på at</w:t>
            </w:r>
            <w:r w:rsidRPr="004A7A04">
              <w:t xml:space="preserve"> lette udvekslingen af oplysninger. Dette er i overensstemmelse med Europa-Parlamentets og Rådets direktiv (EU) 2023/977 af 10. maj 2023 om udveksling af oplysninger mellem medlemsstaternes retshåndhævende myndigheder og om ophævelse af Rådets rammeafgørel</w:t>
            </w:r>
            <w:r w:rsidRPr="004A7A04">
              <w:t>se 2006/960/RIA. Medlemsstaternes indvandringsforbindelsesofficerer, der er udstationeret i tredjelande, bør også udveksle oplysninger med Europol; med henblik herpå bør de ligeledes være forbundet med SIENA for at sikre, at de kan udføre den udveksling af</w:t>
            </w:r>
            <w:r w:rsidRPr="004A7A04">
              <w:t xml:space="preserve"> oplysninger, der er omhandlet i stk. 1, på en effektiv og virkningsfuld måde.</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pPr>
        <w:pStyle w:val="JustificationTitle"/>
        <w:rPr>
          <w:noProof w:val="0"/>
        </w:rPr>
      </w:pPr>
      <w:r w:rsidRPr="004A7A04">
        <w:rPr>
          <w:rStyle w:val="HideTWBExt"/>
          <w:i w:val="0"/>
        </w:rPr>
        <w:t>&lt;TitreJust&gt;</w:t>
      </w:r>
      <w:r w:rsidRPr="004A7A04">
        <w:t>Begrundelse</w:t>
      </w:r>
      <w:r w:rsidRPr="004A7A04">
        <w:rPr>
          <w:rStyle w:val="HideTWBExt"/>
          <w:i w:val="0"/>
        </w:rPr>
        <w:t>&lt;/TitreJust&gt;</w:t>
      </w:r>
    </w:p>
    <w:p w:rsidR="0018078A" w:rsidRPr="004A7A04" w:rsidRDefault="003E6EC1" w:rsidP="0018078A">
      <w:pPr>
        <w:pStyle w:val="Normal12Italic"/>
        <w:rPr>
          <w:noProof w:val="0"/>
        </w:rPr>
      </w:pPr>
      <w:r w:rsidRPr="004A7A04">
        <w:t>En præcision af, at der ikke er behov for at etablere yderligere strukturer, hvis de allerede findes.</w:t>
      </w:r>
    </w:p>
    <w:p w:rsidR="0018078A" w:rsidRPr="004A7A04" w:rsidRDefault="003E6EC1" w:rsidP="0018078A">
      <w:r w:rsidRPr="004A7A04">
        <w:rPr>
          <w:rStyle w:val="HideTWBExt"/>
        </w:rPr>
        <w:t>&lt;/Amend</w:t>
      </w:r>
      <w:r w:rsidRPr="004A7A04">
        <w:rPr>
          <w:rStyle w:val="HideTWBExt"/>
        </w:rPr>
        <w:t>&gt;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9</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Betragtning 14 a (ny)</w:t>
      </w:r>
      <w:r w:rsidRPr="004A7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(14a)</w:t>
            </w:r>
            <w:r w:rsidRPr="004A7A04">
              <w:rPr>
                <w:b/>
                <w:i/>
              </w:rPr>
              <w:tab/>
              <w:t>En effektiv og virkningsfuld udveksling, sammenligning og analyse af biometriske</w:t>
            </w:r>
            <w:r w:rsidRPr="004A7A04">
              <w:rPr>
                <w:b/>
                <w:i/>
              </w:rPr>
              <w:t xml:space="preserve"> data vil gøre det nemmere at afsløre identitetssvig samt forebygge og bekæmpe kriminalitet. Det bør derfor sikres, at behandlingen af biometriske data på tydeligere vis indgår som en del af Europols opgaver med at støtte medlemsstaterne.</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10</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Betragtning 15</w:t>
      </w:r>
      <w:r w:rsidRPr="004A7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hideMark/>
          </w:tcPr>
          <w:p w:rsidR="0018078A" w:rsidRPr="004A7A04" w:rsidRDefault="003E6EC1">
            <w:pPr>
              <w:pStyle w:val="Normal6"/>
            </w:pPr>
            <w:r w:rsidRPr="004A7A04">
              <w:t>(15)</w:t>
            </w:r>
            <w:r w:rsidRPr="004A7A04">
              <w:tab/>
              <w:t xml:space="preserve">Der er behov for koordinering og en samordnet indsats for at </w:t>
            </w:r>
            <w:r w:rsidRPr="004A7A04">
              <w:t>forebygge, opdage og efterforske grænseoverskridende grov organiseret kriminalitet og terrorisme. Ud over medlemsstatens mulighed for at oprette et fælles efterforskningshold i overensstemmelse med Rådets rammeafgørelse af 13. juni 2002 bør medlemsstaterne</w:t>
            </w:r>
            <w:r w:rsidRPr="004A7A04">
              <w:t xml:space="preserve"> med støtte fra Europol kunne oprette en operationel taskforce for at styrke retshåndhævelsessamarbejdet. Denne koordineringsmekanisme mellem medlemsstaternes politimyndigheder og andre retshåndhævende myndigheder bør med støtte fra Europol sætte disse myn</w:t>
            </w:r>
            <w:r w:rsidRPr="004A7A04">
              <w:t>digheder i stand til at gennemføre fælles, koordinerede og prioriterede kriminalefterretningsaktiviteter og efterforskninger, navnlig af kriminelle netværk og grupper samt individuelle kriminelle aktører, herunder personer, hvis kriminelle handlinger er om</w:t>
            </w:r>
            <w:r w:rsidRPr="004A7A04">
              <w:t>fattet af de former for kriminalitet, som henhører under Europols beføjelser, og som udgør en høj sikkerhedsrisiko. For at sikre, at denne mekanisme er velfungerende og effektiv, bør medlemsstater, der opretter, deltager i eller støtter en operationel task</w:t>
            </w:r>
            <w:r w:rsidRPr="004A7A04">
              <w:t xml:space="preserve">force, kunne sikre, at en række minimumskrav vedrørende deres aktive og rettidige inddragelse overholdes, f.eks. ved at stille alle relevante oplysninger til rådighed for Europol, og Europol bør </w:t>
            </w:r>
            <w:r w:rsidRPr="004A7A04">
              <w:rPr>
                <w:b/>
                <w:bCs/>
                <w:i/>
                <w:iCs/>
              </w:rPr>
              <w:t>kunne</w:t>
            </w:r>
            <w:r w:rsidRPr="004A7A04">
              <w:t xml:space="preserve"> stille sin avancerede analytiske, operationelle, teknis</w:t>
            </w:r>
            <w:r w:rsidRPr="004A7A04">
              <w:t>ke, kriminaltekniske og finansielle støtte til rådighed for disse medlemsstater. Tredjelande bør kunne deltage i eller yde støtte til en operationel taskforce.</w:t>
            </w:r>
          </w:p>
        </w:tc>
        <w:tc>
          <w:tcPr>
            <w:tcW w:w="4876" w:type="dxa"/>
            <w:hideMark/>
          </w:tcPr>
          <w:p w:rsidR="0018078A" w:rsidRPr="004A7A04" w:rsidRDefault="003E6EC1" w:rsidP="00440502">
            <w:pPr>
              <w:pStyle w:val="Normal6"/>
              <w:rPr>
                <w:szCs w:val="24"/>
              </w:rPr>
            </w:pPr>
            <w:r w:rsidRPr="004A7A04">
              <w:t>(15)</w:t>
            </w:r>
            <w:r w:rsidRPr="004A7A04">
              <w:tab/>
              <w:t>Der er behov for koordinering og en samordnet indsats for at forebygge, opdage og efterfors</w:t>
            </w:r>
            <w:r w:rsidRPr="004A7A04">
              <w:t xml:space="preserve">ke grænseoverskridende grov organiseret kriminalitet og terrorisme. Ud over medlemsstatens mulighed for at oprette et fælles efterforskningshold i overensstemmelse med Rådets rammeafgørelse af 13. juni 2002 bør medlemsstaterne med støtte fra Europol kunne </w:t>
            </w:r>
            <w:r w:rsidRPr="004A7A04">
              <w:t>oprette en operationel taskforce for at styrke retshåndhævelsessamarbejdet. Denne koordineringsmekanisme mellem medlemsstaternes politimyndigheder og andre retshåndhævende myndigheder bør med støtte fra Europol sætte disse myndigheder i stand til at gennem</w:t>
            </w:r>
            <w:r w:rsidRPr="004A7A04">
              <w:t>føre fælles, koordinerede og prioriterede kriminalefterretningsaktiviteter og efterforskninger, navnlig af kriminelle netværk og grupper samt individuelle kriminelle aktører, herunder personer, hvis kriminelle handlinger er omfattet af de former for krimin</w:t>
            </w:r>
            <w:r w:rsidRPr="004A7A04">
              <w:t xml:space="preserve">alitet, som henhører under Europols beføjelser, og som udgør en høj sikkerhedsrisiko. </w:t>
            </w:r>
            <w:r w:rsidRPr="004A7A04">
              <w:rPr>
                <w:b/>
                <w:bCs/>
                <w:i/>
                <w:iCs/>
              </w:rPr>
              <w:t>Det er vigtigt at sikre, at den operationelle taskforce er en fleksibel og effektiv operationel mekanisme.</w:t>
            </w:r>
            <w:r w:rsidRPr="004A7A04">
              <w:rPr>
                <w:b/>
                <w:i/>
              </w:rPr>
              <w:t xml:space="preserve"> De nærmere bestemmelser for deres gennemførelse bør derfor vedt</w:t>
            </w:r>
            <w:r w:rsidRPr="004A7A04">
              <w:rPr>
                <w:b/>
                <w:i/>
              </w:rPr>
              <w:t xml:space="preserve">ages af bestyrelsen på grundlag af et forslag fra den administrerende direktør. Disse operationelle taskforcer kan indlede visse særlige kriminalefterretningsaktiviteter og efterforskninger eller sideløbende finansiel efterforskning i overensstemmelse med </w:t>
            </w:r>
            <w:r w:rsidRPr="004A7A04">
              <w:rPr>
                <w:b/>
                <w:i/>
              </w:rPr>
              <w:t>national ret og EU-retten med henblik på at identificere og beslaglægge udbytte af kriminelle aktiviteter.</w:t>
            </w:r>
            <w:r w:rsidRPr="004A7A04">
              <w:t xml:space="preserve"> For at sikre, at denne mekanisme er velfungerende og effektiv, bør medlemsstater, der opretter, deltager i eller støtter en operationel taskforce, ku</w:t>
            </w:r>
            <w:r w:rsidRPr="004A7A04">
              <w:t xml:space="preserve">nne sikre, at en række minimumskrav vedrørende deres aktive og rettidige inddragelse overholdes, f.eks. ved at stille alle relevante oplysninger til rådighed for Europol og </w:t>
            </w:r>
            <w:r w:rsidRPr="004A7A04">
              <w:rPr>
                <w:b/>
                <w:bCs/>
                <w:i/>
                <w:iCs/>
              </w:rPr>
              <w:t>andre deltagende medlemsstater.</w:t>
            </w:r>
            <w:r w:rsidRPr="004A7A04">
              <w:t xml:space="preserve"> Europol bør stille sin avancerede analytiske, opera</w:t>
            </w:r>
            <w:r w:rsidRPr="004A7A04">
              <w:t>tionelle, tekniske, kriminaltekniske og finansielle støtte til rådighed for disse medlemsstater. Tredjelande bør kunne deltage i eller yde støtte til en operationel taskforce.</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11</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Betragtning 17</w:t>
      </w:r>
      <w:r w:rsidRPr="004A7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hideMark/>
          </w:tcPr>
          <w:p w:rsidR="0018078A" w:rsidRPr="004A7A04" w:rsidRDefault="003E6EC1">
            <w:pPr>
              <w:pStyle w:val="Normal6"/>
            </w:pPr>
            <w:r w:rsidRPr="004A7A04">
              <w:t>(17)</w:t>
            </w:r>
            <w:r w:rsidRPr="004A7A04">
              <w:tab/>
              <w:t xml:space="preserve">Europol bør kunne indsætte personale, herunder udstationerede nationale eksperter i overensstemmelse med forordning (EU) </w:t>
            </w:r>
            <w:r w:rsidRPr="004A7A04">
              <w:t>2016/794, på en medlemsstats område efter anmodning fra den pågældende medlemsstat for at yde analytisk, operationel, teknisk og kriminalteknisk støtte i samarbejde og efter aftale med den pågældende medlemsstats kompetente myndigheder. Denne indsættelse a</w:t>
            </w:r>
            <w:r w:rsidRPr="004A7A04">
              <w:t>f Europol bør navnlig finde sted i forbindelse med kompleks, omfattende og højtprofileret efterforskning, herunder i forbindelse med fælles efterforskningshold, i samarbejde med Eurojust, hvor det er relevant, eller operationelle taskforcer. Indsættelsen a</w:t>
            </w:r>
            <w:r w:rsidRPr="004A7A04">
              <w:t>f Europol bør også understøtte yderligere sikkerhedskontrol ved søgning i Europols databaser eller nationale databaser med henblik på at lette en hurtig udveksling af oplysninger for at styrke kontrollen ved Unionens ydre grænser (sekundær sikkerhedskontro</w:t>
            </w:r>
            <w:r w:rsidRPr="004A7A04">
              <w:t>l) eller migrationsstyringsstøttehold, jf. Europa-Parlamentets og Rådets forordning (EU) 2019/1896</w:t>
            </w:r>
            <w:r w:rsidRPr="004A7A04">
              <w:rPr>
                <w:vertAlign w:val="superscript"/>
              </w:rPr>
              <w:t>21</w:t>
            </w:r>
            <w:r w:rsidRPr="004A7A04">
              <w:t>. Europol bør også indsættes for at støtte medlemsstaterne i forbindelse med større internationale begivenheder. Europol bør endvidere kunne indsætte person</w:t>
            </w:r>
            <w:r w:rsidRPr="004A7A04">
              <w:t>ale og udstationerede nationale eksperter i tredjelande, som det samarbejder med, på grundlag af en afgørelse om tilstrækkeligt beskyttelsesniveau, en international aftale indgået mellem Unionen og det pågældende tredjeland i henhold til artikel 218 i TEUF</w:t>
            </w:r>
            <w:r w:rsidRPr="004A7A04">
              <w:t xml:space="preserve"> eller en samarbejdsaftale mellem Europol og det pågældende tredjeland, der er indgået inden den 1. maj 2017.</w:t>
            </w:r>
          </w:p>
        </w:tc>
        <w:tc>
          <w:tcPr>
            <w:tcW w:w="4876" w:type="dxa"/>
            <w:hideMark/>
          </w:tcPr>
          <w:p w:rsidR="0018078A" w:rsidRPr="004A7A04" w:rsidRDefault="003E6EC1">
            <w:pPr>
              <w:pStyle w:val="Normal6"/>
              <w:rPr>
                <w:szCs w:val="24"/>
              </w:rPr>
            </w:pPr>
            <w:r w:rsidRPr="004A7A04">
              <w:t>(17)</w:t>
            </w:r>
            <w:r w:rsidRPr="004A7A04">
              <w:tab/>
              <w:t>Europol bør kunne indsætte personale, herunder udstationerede nationale eksperter i overensstemmelse med forordning (EU) 2016/794, på en medl</w:t>
            </w:r>
            <w:r w:rsidRPr="004A7A04">
              <w:t xml:space="preserve">emsstats </w:t>
            </w:r>
            <w:r w:rsidRPr="004A7A04">
              <w:rPr>
                <w:b/>
                <w:bCs/>
                <w:i/>
                <w:iCs/>
              </w:rPr>
              <w:t>eller et tredjelands</w:t>
            </w:r>
            <w:r w:rsidRPr="004A7A04">
              <w:t xml:space="preserve"> område efter anmodning fra den pågældende medlemsstat </w:t>
            </w:r>
            <w:r w:rsidRPr="004A7A04">
              <w:rPr>
                <w:b/>
                <w:bCs/>
                <w:i/>
                <w:iCs/>
              </w:rPr>
              <w:t>eller det pågældende tredjeland</w:t>
            </w:r>
            <w:r w:rsidRPr="004A7A04">
              <w:t xml:space="preserve"> for at yde analytisk, operationel, teknisk og kriminalteknisk støtte i samarbejde og efter aftale med den pågældende medlemsstats</w:t>
            </w:r>
            <w:r w:rsidRPr="004A7A04">
              <w:rPr>
                <w:i/>
                <w:iCs/>
              </w:rPr>
              <w:t xml:space="preserve"> </w:t>
            </w:r>
            <w:r w:rsidRPr="004A7A04">
              <w:rPr>
                <w:b/>
                <w:bCs/>
                <w:i/>
                <w:iCs/>
              </w:rPr>
              <w:t xml:space="preserve">eller det </w:t>
            </w:r>
            <w:r w:rsidRPr="004A7A04">
              <w:rPr>
                <w:b/>
                <w:bCs/>
                <w:i/>
                <w:iCs/>
              </w:rPr>
              <w:t>pågældende tredjelands</w:t>
            </w:r>
            <w:r w:rsidRPr="004A7A04">
              <w:t xml:space="preserve"> kompetente myndigheder. Denne indsættelse af Europol bør </w:t>
            </w:r>
            <w:r w:rsidRPr="004A7A04">
              <w:rPr>
                <w:b/>
                <w:bCs/>
                <w:i/>
                <w:iCs/>
              </w:rPr>
              <w:t>forblive et fleksibelt værktøj og</w:t>
            </w:r>
            <w:r w:rsidRPr="004A7A04">
              <w:t xml:space="preserve"> navnlig finde sted i forbindelse med kompleks, omfattende og højtprofileret efterforskning, herunder i forbindelse med fælles efterforskningsh</w:t>
            </w:r>
            <w:r w:rsidRPr="004A7A04">
              <w:t>old, i samarbejde med Eurojust, hvor det er relevant, eller operationelle taskforcer. Indsættelsen af Europol bør også understøtte yderligere sikkerhedskontrol ved søgning i Europols databaser eller nationale databaser med henblik på at lette en hurtig udv</w:t>
            </w:r>
            <w:r w:rsidRPr="004A7A04">
              <w:t>eksling af oplysninger for at styrke kontrollen ved Unionens ydre grænser (sekundær sikkerhedskontrol) eller migrationsstyringsstøttehold, jf. Europa-Parlamentets og Rådets forordning (EU) 2019/1896</w:t>
            </w:r>
            <w:r w:rsidRPr="004A7A04">
              <w:rPr>
                <w:vertAlign w:val="superscript"/>
              </w:rPr>
              <w:t>2</w:t>
            </w:r>
            <w:r w:rsidRPr="004A7A04">
              <w:t>. Europol bør også indsættes for at støtte medlemsstatern</w:t>
            </w:r>
            <w:r w:rsidRPr="004A7A04">
              <w:t>e i forbindelse med større internationale begivenheder. Europol bør endvidere kunne indsætte personale og udstationerede nationale eksperter i tredjelande, som det samarbejder med, på grundlag af en afgørelse om tilstrækkeligt beskyttelsesniveau, en intern</w:t>
            </w:r>
            <w:r w:rsidRPr="004A7A04">
              <w:t>ational aftale indgået mellem Unionen og det pågældende tredjeland i henhold til artikel 218 i TEUF eller en samarbejdsaftale mellem Europol og det pågældende tredjeland, der er indgået inden den 1. maj 2017.</w:t>
            </w:r>
          </w:p>
        </w:tc>
      </w:tr>
      <w:tr w:rsidR="00502EA6" w:rsidRPr="004A7A04" w:rsidTr="0018078A">
        <w:trPr>
          <w:jc w:val="center"/>
        </w:trPr>
        <w:tc>
          <w:tcPr>
            <w:tcW w:w="4876" w:type="dxa"/>
            <w:hideMark/>
          </w:tcPr>
          <w:p w:rsidR="0018078A" w:rsidRPr="004A7A04" w:rsidRDefault="003E6EC1">
            <w:pPr>
              <w:pStyle w:val="Normal6"/>
            </w:pPr>
            <w:r w:rsidRPr="004A7A04">
              <w:t>__________________</w:t>
            </w:r>
          </w:p>
        </w:tc>
        <w:tc>
          <w:tcPr>
            <w:tcW w:w="4876" w:type="dxa"/>
            <w:hideMark/>
          </w:tcPr>
          <w:p w:rsidR="0018078A" w:rsidRPr="004A7A04" w:rsidRDefault="003E6EC1">
            <w:pPr>
              <w:pStyle w:val="Normal6"/>
              <w:rPr>
                <w:szCs w:val="24"/>
              </w:rPr>
            </w:pPr>
            <w:r w:rsidRPr="004A7A04">
              <w:t>__________________</w:t>
            </w:r>
          </w:p>
        </w:tc>
      </w:tr>
      <w:tr w:rsidR="00502EA6" w:rsidRPr="004A7A04" w:rsidTr="0018078A">
        <w:trPr>
          <w:jc w:val="center"/>
        </w:trPr>
        <w:tc>
          <w:tcPr>
            <w:tcW w:w="4876" w:type="dxa"/>
            <w:hideMark/>
          </w:tcPr>
          <w:p w:rsidR="0018078A" w:rsidRPr="004A7A04" w:rsidRDefault="003E6EC1">
            <w:pPr>
              <w:pStyle w:val="Normal6"/>
            </w:pPr>
            <w:r w:rsidRPr="004A7A04">
              <w:rPr>
                <w:vertAlign w:val="superscript"/>
              </w:rPr>
              <w:t>2</w:t>
            </w:r>
            <w:r w:rsidRPr="004A7A04">
              <w:t xml:space="preserve"> Europa-Parlamentets og Rådets forordning (EU) 2019/1896 af 13. november 2019 om den europæiske grænse- og kystvagt og om ophævelse af forordning (EU) nr. 1052/2013 og (EU) 2016/1624 (EUT L 295 af 14.11.2019, s. 1, ELI: http://data.europa.eu/eli/reg/2019/1</w:t>
            </w:r>
            <w:r w:rsidRPr="004A7A04">
              <w:t>896/oj).</w:t>
            </w:r>
          </w:p>
        </w:tc>
        <w:tc>
          <w:tcPr>
            <w:tcW w:w="4876" w:type="dxa"/>
            <w:hideMark/>
          </w:tcPr>
          <w:p w:rsidR="0018078A" w:rsidRPr="004A7A04" w:rsidRDefault="003E6EC1">
            <w:pPr>
              <w:pStyle w:val="Normal6"/>
              <w:rPr>
                <w:szCs w:val="24"/>
              </w:rPr>
            </w:pPr>
            <w:r w:rsidRPr="004A7A04">
              <w:rPr>
                <w:vertAlign w:val="superscript"/>
              </w:rPr>
              <w:t>2</w:t>
            </w:r>
            <w:r w:rsidRPr="004A7A04">
              <w:t xml:space="preserve"> Europa-Parlamentets og Rådets forordning (EU) 2019/1896 af 13. november 2019 om den europæiske grænse- og kystvagt og om ophævelse af forordning (EU) nr. 1052/2013 og (EU) 2016/1624 (EUT L 295 af 14.11.2019, s. 1, ELI: http://data.europa.eu/eli/</w:t>
            </w:r>
            <w:r w:rsidRPr="004A7A04">
              <w:t>reg/2019/1896/oj).</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12</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Betragtning 19</w:t>
      </w:r>
      <w:r w:rsidRPr="004A7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hideMark/>
          </w:tcPr>
          <w:p w:rsidR="0018078A" w:rsidRPr="004A7A04" w:rsidRDefault="003E6EC1">
            <w:pPr>
              <w:pStyle w:val="Normal6"/>
            </w:pPr>
            <w:r w:rsidRPr="004A7A04">
              <w:t>(19)</w:t>
            </w:r>
            <w:r w:rsidRPr="004A7A04">
              <w:tab/>
              <w:t xml:space="preserve">Desuden bør Europol i </w:t>
            </w:r>
            <w:r w:rsidRPr="004A7A04">
              <w:t>forbindelse med indsættelse med henblik på operationel støtte oprette en reservepulje bestående af højt kvalificerede retshåndhævelseseksperter fra medlemsstaterne med specialiserede profiler, der umiddelbart kan stilles til rådighed for Europol med henbli</w:t>
            </w:r>
            <w:r w:rsidRPr="004A7A04">
              <w:t xml:space="preserve">k på operationel indsættelse for at yde specialiseret støtte. Reservepuljen af eksperter bør omfatte specialister inden for kriminalitetsanalyse, kriminalteknik, efterforskning, sprog og koordinering. Medlemsstaterne bør sikre, at deres eksperter står til </w:t>
            </w:r>
            <w:r w:rsidRPr="004A7A04">
              <w:t xml:space="preserve">rådighed til efter anmodning fra Europol at blive indsat som udstationerede nationale eksperter af Europol med henblik på operationel støtte. </w:t>
            </w:r>
            <w:r w:rsidRPr="004A7A04">
              <w:rPr>
                <w:b/>
                <w:bCs/>
                <w:i/>
                <w:iCs/>
              </w:rPr>
              <w:t>Denne forpligtelse</w:t>
            </w:r>
            <w:r w:rsidRPr="004A7A04">
              <w:t xml:space="preserve"> bør ikke gælde for tredjelande, hvor Europol indsætter personale og udstationerede nationale ek</w:t>
            </w:r>
            <w:r w:rsidRPr="004A7A04">
              <w:t>sperter med henblik på operationel støtte.</w:t>
            </w:r>
          </w:p>
        </w:tc>
        <w:tc>
          <w:tcPr>
            <w:tcW w:w="4876" w:type="dxa"/>
            <w:hideMark/>
          </w:tcPr>
          <w:p w:rsidR="0018078A" w:rsidRPr="004A7A04" w:rsidRDefault="003E6EC1">
            <w:pPr>
              <w:pStyle w:val="Normal6"/>
              <w:rPr>
                <w:szCs w:val="24"/>
              </w:rPr>
            </w:pPr>
            <w:r w:rsidRPr="004A7A04">
              <w:t>(19)</w:t>
            </w:r>
            <w:r w:rsidRPr="004A7A04">
              <w:tab/>
              <w:t>Desuden bør Europol i forbindelse med indsættelse med henblik på operationel støtte oprette en reservepulje bestående af højt kvalificerede retshåndhævelseseksperter fra medlemsstaterne med specialiserede pro</w:t>
            </w:r>
            <w:r w:rsidRPr="004A7A04">
              <w:t>filer, der umiddelbart kan stilles til rådighed for Europol med henblik på operationel indsættelse for at yde specialiseret støtte. Reservepuljen af eksperter bør omfatte specialister inden for kriminalitetsanalyse, kriminalteknik, efterforskning, sprog og</w:t>
            </w:r>
            <w:r w:rsidRPr="004A7A04">
              <w:t xml:space="preserve"> koordinering. Medlemsstaterne bør </w:t>
            </w:r>
            <w:r w:rsidRPr="004A7A04">
              <w:rPr>
                <w:b/>
                <w:bCs/>
                <w:i/>
                <w:iCs/>
              </w:rPr>
              <w:t>derfor</w:t>
            </w:r>
            <w:r w:rsidRPr="004A7A04">
              <w:t xml:space="preserve"> sikre, at deres eksperter står til rådighed til efter anmodning fra Europol at blive indsat som udstationerede nationale eksperter af Europol med henblik på operationel støtte</w:t>
            </w:r>
            <w:r w:rsidRPr="004A7A04">
              <w:rPr>
                <w:b/>
                <w:bCs/>
                <w:i/>
                <w:iCs/>
              </w:rPr>
              <w:t xml:space="preserve">, samtidig med at der tages hensyn til </w:t>
            </w:r>
            <w:r w:rsidRPr="004A7A04">
              <w:rPr>
                <w:b/>
                <w:bCs/>
                <w:i/>
                <w:iCs/>
              </w:rPr>
              <w:t>de tilgængelige ressourcer hos medlemsstaternes kompetente myndigheder</w:t>
            </w:r>
            <w:r w:rsidRPr="004A7A04">
              <w:t xml:space="preserve">. </w:t>
            </w:r>
            <w:r w:rsidRPr="004A7A04">
              <w:rPr>
                <w:b/>
                <w:i/>
              </w:rPr>
              <w:t>For at opnå en geografisk afbalanceret og forholdsmæssig sammensætning af reservepuljen bør medlemsstaterne også sikre, at deres kompetente myndigheder har tilstrækkelige ressourcer ti</w:t>
            </w:r>
            <w:r w:rsidRPr="004A7A04">
              <w:rPr>
                <w:b/>
                <w:i/>
              </w:rPr>
              <w:t xml:space="preserve">l at yde deres rimelige andel af bidrag til reservepuljen i forhold til deres kapacitet og operationelle behov. </w:t>
            </w:r>
            <w:r w:rsidRPr="004A7A04">
              <w:rPr>
                <w:b/>
                <w:bCs/>
                <w:i/>
                <w:iCs/>
              </w:rPr>
              <w:t>Disse forpligtelser</w:t>
            </w:r>
            <w:r w:rsidRPr="004A7A04">
              <w:t xml:space="preserve"> bør ikke gælde for tredjelande, hvor Europol indsætter personale og udstationerede nationale eksperter med henblik på operat</w:t>
            </w:r>
            <w:r w:rsidRPr="004A7A04">
              <w:t>ionel støtte.</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13</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Betragtning 19 a (ny)</w:t>
      </w:r>
      <w:r w:rsidRPr="004A7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(19a)</w:t>
            </w:r>
            <w:r w:rsidRPr="004A7A04">
              <w:rPr>
                <w:b/>
                <w:i/>
              </w:rPr>
              <w:tab/>
              <w:t xml:space="preserve">Som led i sine opgaver </w:t>
            </w:r>
            <w:r w:rsidRPr="004A7A04">
              <w:rPr>
                <w:b/>
                <w:i/>
              </w:rPr>
              <w:t>kan Europol støtte og styrke medlemsstaternes kompetente myndigheders indsats. Denne støtte omfatter koordinering, tilrettelæggelse og gennemførelse af efterforskningsmæssige og operationelle foranstaltninger, operationel analyse samt anden analytisk, krim</w:t>
            </w:r>
            <w:r w:rsidRPr="004A7A04">
              <w:rPr>
                <w:b/>
                <w:i/>
              </w:rPr>
              <w:t>inalteknisk eller teknisk støtte. Hvis det er påkrævet i forbindelse med nationale straffesager og tilladt i henhold til national ret, bør Europols personale kunne blive indkaldt til at afgive vidneforklaring i sådanne sager i overensstemmelse med protokol</w:t>
            </w:r>
            <w:r w:rsidRPr="004A7A04">
              <w:rPr>
                <w:b/>
                <w:i/>
              </w:rPr>
              <w:t xml:space="preserve"> nr. 7 vedrørende Den Europæiske Unions privilegier og immuniteter og med den tavshedspligt, der påhviler Europols personale i henhold til vedtægten for tjenestemænd i Den Europæiske Union ("vedtægten") og ansættelsesvilkårene for de øvrige ansatte i Den E</w:t>
            </w:r>
            <w:r w:rsidRPr="004A7A04">
              <w:rPr>
                <w:b/>
                <w:i/>
              </w:rPr>
              <w:t>uropæiske Union ("ansættelsesvilkårene for de øvrige ansatte") som fastsat i Rådets forordning (EØF, Euratom, EKSF) nr. 259/68</w:t>
            </w:r>
            <w:r w:rsidRPr="004A7A04">
              <w:rPr>
                <w:b/>
                <w:i/>
                <w:vertAlign w:val="superscript"/>
              </w:rPr>
              <w:t>1a</w:t>
            </w:r>
            <w:r w:rsidRPr="004A7A04">
              <w:rPr>
                <w:b/>
                <w:i/>
              </w:rPr>
              <w:t>.</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__________________</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vertAlign w:val="superscript"/>
              </w:rPr>
              <w:t>1a</w:t>
            </w:r>
            <w:r w:rsidRPr="004A7A04">
              <w:t xml:space="preserve"> </w:t>
            </w:r>
            <w:r w:rsidRPr="004A7A04">
              <w:rPr>
                <w:b/>
                <w:i/>
              </w:rPr>
              <w:t>EFT L 56 af 4.3.1968, s. 1, ELI: http://data.europa.eu/eli/reg/1968/259(1)/oj.</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14</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Betragtning 19 b (ny)</w:t>
      </w:r>
      <w:r w:rsidRPr="004A7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(19b)</w:t>
            </w:r>
            <w:r w:rsidRPr="004A7A04">
              <w:rPr>
                <w:b/>
                <w:i/>
              </w:rPr>
              <w:tab/>
              <w:t xml:space="preserve">Europol er underlagt de almindelige regler om ansvar i og </w:t>
            </w:r>
            <w:r w:rsidRPr="004A7A04">
              <w:rPr>
                <w:b/>
                <w:i/>
              </w:rPr>
              <w:t>uden for kontraktforhold, der gælder for Unionens institutioner, agenturer, kontorer og organer. Europol bør også kunne drages til ansvar som følge af uautoriseret eller forkert behandling af oplysninger.</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pPr>
        <w:pStyle w:val="JustificationTitle"/>
        <w:rPr>
          <w:noProof w:val="0"/>
        </w:rPr>
      </w:pPr>
      <w:r w:rsidRPr="004A7A04">
        <w:rPr>
          <w:rStyle w:val="HideTWBExt"/>
          <w:i w:val="0"/>
        </w:rPr>
        <w:t>&lt;TitreJust&gt;</w:t>
      </w:r>
      <w:r w:rsidRPr="004A7A04">
        <w:t>Begrundelse</w:t>
      </w:r>
      <w:r w:rsidRPr="004A7A04">
        <w:rPr>
          <w:rStyle w:val="HideTWBExt"/>
          <w:i w:val="0"/>
        </w:rPr>
        <w:t>&lt;/TitreJust&gt;</w:t>
      </w:r>
    </w:p>
    <w:p w:rsidR="0018078A" w:rsidRPr="004A7A04" w:rsidRDefault="003E6EC1" w:rsidP="0018078A">
      <w:pPr>
        <w:pStyle w:val="Normal12Italic"/>
        <w:rPr>
          <w:noProof w:val="0"/>
        </w:rPr>
      </w:pPr>
      <w:r w:rsidRPr="004A7A04">
        <w:t>Harmonisering af gældende ansvarsregler med de tilsvarende i andre EU-agenturer såsom Eurojust.</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15</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Betragtning 19 c (ny)</w:t>
      </w:r>
      <w:r w:rsidRPr="004A7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(19c)</w:t>
            </w:r>
            <w:r w:rsidRPr="004A7A04">
              <w:rPr>
                <w:b/>
                <w:i/>
              </w:rPr>
              <w:tab/>
              <w:t xml:space="preserve">Under henvisning til betragtning 59 i forordning (EF) 2016/794 bør princippet om rotation kodificeres med en maksimal kontraktvarighed på ti år for den samlede ansættelsesperiode hos Europol, uanset antallet </w:t>
            </w:r>
            <w:r w:rsidRPr="004A7A04">
              <w:rPr>
                <w:b/>
                <w:i/>
              </w:rPr>
              <w:t>af kontrakter, der er indgået for stillinger i stillingsfortegnelsen, der kun kan besættes med ansatte fra medlemsstaternes kompetente myndigheder. Denne kodifikation vil sikre social tryghed for disse ansatte, da de får mulighed for at opnå en ret til min</w:t>
            </w:r>
            <w:r w:rsidRPr="004A7A04">
              <w:rPr>
                <w:b/>
                <w:i/>
              </w:rPr>
              <w:t>imumspension som følge af deres ansættelse hos Europol, og vil lette deres genintegrering i tjenesten på nationalt plan. Den tilhørende overgangsordning vil gøre det muligt at forlænge de ansættelseskontrakter, der blev indgået inden denne forordnings ikra</w:t>
            </w:r>
            <w:r w:rsidRPr="004A7A04">
              <w:rPr>
                <w:b/>
                <w:i/>
              </w:rPr>
              <w:t>fttræden, for personale, der er i deres niende ansættelsesår hos Europol, op til den samlede maksimale varighed på ti år.</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16</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Betragtning 22</w:t>
      </w:r>
      <w:r w:rsidRPr="004A7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hideMark/>
          </w:tcPr>
          <w:p w:rsidR="0018078A" w:rsidRPr="004A7A04" w:rsidRDefault="003E6EC1">
            <w:pPr>
              <w:pStyle w:val="Normal6"/>
            </w:pPr>
            <w:r w:rsidRPr="004A7A04">
              <w:rPr>
                <w:b/>
                <w:i/>
              </w:rPr>
              <w:t>(22)</w:t>
            </w:r>
            <w:r w:rsidRPr="004A7A04">
              <w:rPr>
                <w:b/>
                <w:i/>
              </w:rPr>
              <w:tab/>
              <w:t xml:space="preserve">I medfør af artikel 1 og 2 i protokol nr. 21 om Det Forenede Kongeriges og Irlands stilling for så vidt angår området med frihed, sikkerhed og retfærdighed, der er knyttet som </w:t>
            </w:r>
            <w:r w:rsidRPr="004A7A04">
              <w:rPr>
                <w:b/>
                <w:i/>
              </w:rPr>
              <w:t>bilag til traktaten om Den Europæiske Union og til traktaten om Den Europæiske Unions funktionsmåde, og med forbehold af artikel 4 i samme protokol, deltager Irland ikke i vedtagelsen af denne afgørelse, som ikke er bindende for og ikke finder anvendelse i</w:t>
            </w:r>
            <w:r w:rsidRPr="004A7A04">
              <w:rPr>
                <w:b/>
                <w:i/>
              </w:rPr>
              <w:t xml:space="preserve"> Irland.</w:t>
            </w:r>
          </w:p>
        </w:tc>
        <w:tc>
          <w:tcPr>
            <w:tcW w:w="4876" w:type="dxa"/>
            <w:hideMark/>
          </w:tcPr>
          <w:p w:rsidR="0018078A" w:rsidRPr="004A7A04" w:rsidRDefault="003E6EC1">
            <w:pPr>
              <w:pStyle w:val="Normal6"/>
              <w:rPr>
                <w:szCs w:val="24"/>
              </w:rPr>
            </w:pPr>
            <w:r w:rsidRPr="004A7A04">
              <w:rPr>
                <w:b/>
                <w:i/>
              </w:rPr>
              <w:t>udgår</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pPr>
        <w:pStyle w:val="JustificationTitle"/>
        <w:rPr>
          <w:noProof w:val="0"/>
        </w:rPr>
      </w:pPr>
      <w:r w:rsidRPr="004A7A04">
        <w:rPr>
          <w:rStyle w:val="HideTWBExt"/>
          <w:i w:val="0"/>
        </w:rPr>
        <w:t>&lt;TitreJust&gt;</w:t>
      </w:r>
      <w:r w:rsidRPr="004A7A04">
        <w:t>Begrundelse</w:t>
      </w:r>
      <w:r w:rsidRPr="004A7A04">
        <w:rPr>
          <w:rStyle w:val="HideTWBExt"/>
          <w:i w:val="0"/>
        </w:rPr>
        <w:t>&lt;/TitreJust&gt;</w:t>
      </w:r>
    </w:p>
    <w:p w:rsidR="0018078A" w:rsidRPr="004A7A04" w:rsidRDefault="003E6EC1" w:rsidP="0018078A">
      <w:pPr>
        <w:pStyle w:val="Normal12Italic"/>
        <w:rPr>
          <w:noProof w:val="0"/>
        </w:rPr>
      </w:pPr>
      <w:r w:rsidRPr="004A7A04">
        <w:t>Udgår i overensstemmelse med Irlands bebudede hensigt om at deltage i denne forordning.</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17</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Betragtning 24</w:t>
      </w:r>
      <w:r w:rsidRPr="004A7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hideMark/>
          </w:tcPr>
          <w:p w:rsidR="0018078A" w:rsidRPr="004A7A04" w:rsidRDefault="003E6EC1">
            <w:pPr>
              <w:pStyle w:val="Normal6"/>
            </w:pPr>
            <w:r w:rsidRPr="004A7A04">
              <w:t>(24)</w:t>
            </w:r>
            <w:r w:rsidRPr="004A7A04">
              <w:tab/>
              <w:t>[Den Europæiske Tilsynsførende for Databeskyttelse blev hørt i overensstemmelse med artikel 42, stk. 1, i Europa-Parlamentets og Rådets forordning (EU) 2018/1725</w:t>
            </w:r>
            <w:r w:rsidRPr="004A7A04">
              <w:rPr>
                <w:vertAlign w:val="superscript"/>
              </w:rPr>
              <w:t>3</w:t>
            </w:r>
            <w:r w:rsidRPr="004A7A04">
              <w:t xml:space="preserve"> o</w:t>
            </w:r>
            <w:r w:rsidRPr="004A7A04">
              <w:t xml:space="preserve">g afgav udtalelse den </w:t>
            </w:r>
            <w:r w:rsidRPr="004A7A04">
              <w:rPr>
                <w:b/>
                <w:i/>
              </w:rPr>
              <w:t>[…]</w:t>
            </w:r>
            <w:r w:rsidRPr="004A7A04">
              <w:rPr>
                <w:b/>
                <w:i/>
                <w:vertAlign w:val="superscript"/>
              </w:rPr>
              <w:t>4</w:t>
            </w:r>
            <w:r w:rsidRPr="004A7A04">
              <w:t>.</w:t>
            </w:r>
          </w:p>
        </w:tc>
        <w:tc>
          <w:tcPr>
            <w:tcW w:w="4876" w:type="dxa"/>
            <w:hideMark/>
          </w:tcPr>
          <w:p w:rsidR="0018078A" w:rsidRPr="004A7A04" w:rsidRDefault="003E6EC1" w:rsidP="00622FCA">
            <w:pPr>
              <w:pStyle w:val="Normal6"/>
              <w:rPr>
                <w:szCs w:val="24"/>
              </w:rPr>
            </w:pPr>
            <w:r w:rsidRPr="004A7A04">
              <w:t>(24)</w:t>
            </w:r>
            <w:r w:rsidRPr="004A7A04">
              <w:tab/>
              <w:t>Den Europæiske Tilsynsførende for Databeskyttelse blev hørt i overensstemmelse med artikel 42, stk. 1, i Europa-Parlamentets og Rådets forordning (EU) 2018/1725</w:t>
            </w:r>
            <w:r w:rsidRPr="004A7A04">
              <w:rPr>
                <w:vertAlign w:val="superscript"/>
              </w:rPr>
              <w:t>3</w:t>
            </w:r>
            <w:r w:rsidRPr="004A7A04">
              <w:t xml:space="preserve"> og afgav udtalelse den </w:t>
            </w:r>
            <w:r w:rsidRPr="004A7A04">
              <w:rPr>
                <w:b/>
                <w:i/>
              </w:rPr>
              <w:t>23. januar 2024</w:t>
            </w:r>
            <w:r w:rsidRPr="004A7A04">
              <w:rPr>
                <w:b/>
                <w:i/>
                <w:vertAlign w:val="superscript"/>
              </w:rPr>
              <w:t>4</w:t>
            </w:r>
            <w:r w:rsidRPr="004A7A04">
              <w:t>.</w:t>
            </w:r>
          </w:p>
        </w:tc>
      </w:tr>
      <w:tr w:rsidR="00502EA6" w:rsidRPr="004A7A04" w:rsidTr="0018078A">
        <w:trPr>
          <w:jc w:val="center"/>
        </w:trPr>
        <w:tc>
          <w:tcPr>
            <w:tcW w:w="4876" w:type="dxa"/>
            <w:hideMark/>
          </w:tcPr>
          <w:p w:rsidR="0018078A" w:rsidRPr="004A7A04" w:rsidRDefault="003E6EC1">
            <w:pPr>
              <w:pStyle w:val="Normal6"/>
            </w:pPr>
            <w:r w:rsidRPr="004A7A04">
              <w:t>__________________</w:t>
            </w:r>
          </w:p>
        </w:tc>
        <w:tc>
          <w:tcPr>
            <w:tcW w:w="4876" w:type="dxa"/>
            <w:hideMark/>
          </w:tcPr>
          <w:p w:rsidR="0018078A" w:rsidRPr="004A7A04" w:rsidRDefault="003E6EC1">
            <w:pPr>
              <w:pStyle w:val="Normal6"/>
              <w:rPr>
                <w:szCs w:val="24"/>
              </w:rPr>
            </w:pPr>
            <w:r w:rsidRPr="004A7A04">
              <w:t>__________________</w:t>
            </w:r>
          </w:p>
        </w:tc>
      </w:tr>
      <w:tr w:rsidR="00502EA6" w:rsidRPr="004A7A04" w:rsidTr="0018078A">
        <w:trPr>
          <w:jc w:val="center"/>
        </w:trPr>
        <w:tc>
          <w:tcPr>
            <w:tcW w:w="4876" w:type="dxa"/>
            <w:hideMark/>
          </w:tcPr>
          <w:p w:rsidR="0018078A" w:rsidRPr="004A7A04" w:rsidRDefault="003E6EC1">
            <w:pPr>
              <w:pStyle w:val="Normal6"/>
            </w:pPr>
            <w:r w:rsidRPr="004A7A04">
              <w:rPr>
                <w:vertAlign w:val="superscript"/>
              </w:rPr>
              <w:t>3</w:t>
            </w:r>
            <w:r w:rsidRPr="004A7A04">
              <w:t xml:space="preserve"> Europa-Parlamentets og Rådets forordning (EU) 2018/1725 af 23. oktober 2018 om beskyttelse af fysiske personer i forbindelse med behandling af personoplysninger i Unionens institutioner, organer, kontorer og agenturer og om fri udveks</w:t>
            </w:r>
            <w:r w:rsidRPr="004A7A04">
              <w:t>ling af sådanne oplysninger og om ophævelse af forordning (EF) nr. 45/2001 og afgørelse nr. 1247/2002/EF (EUT L 295 af 21.11.2018, s. 39, ELI: http://data.europa.eu/eli/reg/2018/1725/oj).</w:t>
            </w:r>
          </w:p>
        </w:tc>
        <w:tc>
          <w:tcPr>
            <w:tcW w:w="4876" w:type="dxa"/>
            <w:hideMark/>
          </w:tcPr>
          <w:p w:rsidR="0018078A" w:rsidRPr="004A7A04" w:rsidRDefault="003E6EC1">
            <w:pPr>
              <w:pStyle w:val="Normal6"/>
              <w:rPr>
                <w:szCs w:val="24"/>
              </w:rPr>
            </w:pPr>
            <w:r w:rsidRPr="004A7A04">
              <w:rPr>
                <w:vertAlign w:val="superscript"/>
              </w:rPr>
              <w:t>3</w:t>
            </w:r>
            <w:r w:rsidRPr="004A7A04">
              <w:t xml:space="preserve"> Europa-Parlamentets og Rådets forordning (EU) 2018/1725 af 23. okt</w:t>
            </w:r>
            <w:r w:rsidRPr="004A7A04">
              <w:t xml:space="preserve">ober 2018 om beskyttelse af fysiske personer i forbindelse med behandling af personoplysninger i Unionens institutioner, organer, kontorer og agenturer og om fri udveksling af sådanne oplysninger og om ophævelse af forordning (EF) nr. 45/2001 og afgørelse </w:t>
            </w:r>
            <w:r w:rsidRPr="004A7A04">
              <w:t>nr. 1247/2002/EF (EUT L 295 af 21.11.2018, s. 39, ELI: http://data.europa.eu/eli/reg/2018/1725/oj).</w:t>
            </w:r>
          </w:p>
        </w:tc>
      </w:tr>
      <w:tr w:rsidR="00502EA6" w:rsidRPr="004A7A04" w:rsidTr="0018078A">
        <w:trPr>
          <w:jc w:val="center"/>
        </w:trPr>
        <w:tc>
          <w:tcPr>
            <w:tcW w:w="4876" w:type="dxa"/>
            <w:hideMark/>
          </w:tcPr>
          <w:p w:rsidR="0018078A" w:rsidRPr="004A7A04" w:rsidRDefault="003E6EC1">
            <w:pPr>
              <w:pStyle w:val="Normal6"/>
            </w:pPr>
            <w:r w:rsidRPr="004A7A04">
              <w:rPr>
                <w:vertAlign w:val="superscript"/>
              </w:rPr>
              <w:t>4</w:t>
            </w:r>
            <w:r w:rsidRPr="004A7A04">
              <w:t xml:space="preserve"> </w:t>
            </w:r>
            <w:r w:rsidRPr="004A7A04">
              <w:rPr>
                <w:b/>
                <w:i/>
              </w:rPr>
              <w:t>EUT C …</w:t>
            </w:r>
          </w:p>
        </w:tc>
        <w:tc>
          <w:tcPr>
            <w:tcW w:w="4876" w:type="dxa"/>
            <w:hideMark/>
          </w:tcPr>
          <w:p w:rsidR="0018078A" w:rsidRPr="004A7A04" w:rsidRDefault="003E6EC1">
            <w:pPr>
              <w:pStyle w:val="Normal6"/>
              <w:rPr>
                <w:szCs w:val="24"/>
              </w:rPr>
            </w:pPr>
            <w:r w:rsidRPr="004A7A04">
              <w:rPr>
                <w:vertAlign w:val="superscript"/>
              </w:rPr>
              <w:t>4</w:t>
            </w:r>
            <w:r w:rsidRPr="004A7A04">
              <w:t xml:space="preserve"> </w:t>
            </w:r>
            <w:r w:rsidRPr="004A7A04">
              <w:rPr>
                <w:b/>
                <w:i/>
              </w:rPr>
              <w:t>Udtalelse nr. 4/2024 fra Den Europæiske Tilsynsførende for Databeskyttelse, https://www.edps.europa.eu/system/files/2024-01/2023-1247_d0187_opi</w:t>
            </w:r>
            <w:r w:rsidRPr="004A7A04">
              <w:rPr>
                <w:b/>
                <w:i/>
              </w:rPr>
              <w:t>nion_en.pdf.</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18</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Kapitel I</w:t>
      </w:r>
      <w:r w:rsidRPr="004A7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tcPr>
          <w:p w:rsidR="00756434" w:rsidRPr="004A7A04" w:rsidRDefault="003E6EC1">
            <w:pPr>
              <w:pStyle w:val="Normal6"/>
              <w:rPr>
                <w:b/>
                <w:i/>
              </w:rPr>
            </w:pPr>
            <w:r w:rsidRPr="004A7A04">
              <w:rPr>
                <w:b/>
                <w:i/>
              </w:rPr>
              <w:t>Kapitel I</w:t>
            </w:r>
          </w:p>
        </w:tc>
        <w:tc>
          <w:tcPr>
            <w:tcW w:w="4876" w:type="dxa"/>
          </w:tcPr>
          <w:p w:rsidR="00756434" w:rsidRPr="004A7A04" w:rsidRDefault="003E6EC1">
            <w:pPr>
              <w:pStyle w:val="Normal6"/>
              <w:rPr>
                <w:b/>
                <w:i/>
              </w:rPr>
            </w:pPr>
            <w:r w:rsidRPr="004A7A04">
              <w:rPr>
                <w:b/>
                <w:i/>
              </w:rPr>
              <w:t>udgår</w:t>
            </w:r>
          </w:p>
        </w:tc>
      </w:tr>
      <w:tr w:rsidR="00502EA6" w:rsidRPr="004A7A04" w:rsidTr="0018078A">
        <w:trPr>
          <w:jc w:val="center"/>
        </w:trPr>
        <w:tc>
          <w:tcPr>
            <w:tcW w:w="4876" w:type="dxa"/>
            <w:hideMark/>
          </w:tcPr>
          <w:p w:rsidR="0018078A" w:rsidRPr="004A7A04" w:rsidRDefault="003E6EC1">
            <w:pPr>
              <w:pStyle w:val="Normal6"/>
            </w:pPr>
            <w:r w:rsidRPr="004A7A04">
              <w:rPr>
                <w:b/>
                <w:i/>
              </w:rPr>
              <w:t>ALMINDELIGE BESTEMMELSER</w:t>
            </w:r>
          </w:p>
        </w:tc>
        <w:tc>
          <w:tcPr>
            <w:tcW w:w="4876" w:type="dxa"/>
            <w:hideMark/>
          </w:tcPr>
          <w:p w:rsidR="0018078A" w:rsidRPr="004A7A04" w:rsidRDefault="0018078A">
            <w:pPr>
              <w:pStyle w:val="Normal6"/>
              <w:rPr>
                <w:szCs w:val="24"/>
              </w:rPr>
            </w:pPr>
          </w:p>
        </w:tc>
      </w:tr>
      <w:tr w:rsidR="00502EA6" w:rsidRPr="004A7A04" w:rsidTr="0018078A">
        <w:trPr>
          <w:jc w:val="center"/>
        </w:trPr>
        <w:tc>
          <w:tcPr>
            <w:tcW w:w="4876" w:type="dxa"/>
            <w:hideMark/>
          </w:tcPr>
          <w:p w:rsidR="0018078A" w:rsidRPr="004A7A04" w:rsidRDefault="003E6EC1" w:rsidP="00756434">
            <w:pPr>
              <w:pStyle w:val="Normal6"/>
            </w:pPr>
            <w:r w:rsidRPr="004A7A04">
              <w:rPr>
                <w:b/>
                <w:i/>
              </w:rPr>
              <w:t>Artikel 1</w:t>
            </w:r>
          </w:p>
        </w:tc>
        <w:tc>
          <w:tcPr>
            <w:tcW w:w="4876" w:type="dxa"/>
          </w:tcPr>
          <w:p w:rsidR="0018078A" w:rsidRPr="004A7A04" w:rsidRDefault="0018078A">
            <w:pPr>
              <w:pStyle w:val="Normal6"/>
              <w:rPr>
                <w:szCs w:val="24"/>
              </w:rPr>
            </w:pPr>
          </w:p>
        </w:tc>
      </w:tr>
      <w:tr w:rsidR="00502EA6" w:rsidRPr="004A7A04" w:rsidTr="0018078A">
        <w:trPr>
          <w:jc w:val="center"/>
        </w:trPr>
        <w:tc>
          <w:tcPr>
            <w:tcW w:w="4876" w:type="dxa"/>
          </w:tcPr>
          <w:p w:rsidR="00756434" w:rsidRPr="004A7A04" w:rsidRDefault="003E6EC1">
            <w:pPr>
              <w:pStyle w:val="Normal6"/>
              <w:rPr>
                <w:b/>
                <w:i/>
              </w:rPr>
            </w:pPr>
            <w:r w:rsidRPr="004A7A04">
              <w:rPr>
                <w:b/>
                <w:i/>
              </w:rPr>
              <w:t>Genstand og anvendelsesområde</w:t>
            </w:r>
          </w:p>
        </w:tc>
        <w:tc>
          <w:tcPr>
            <w:tcW w:w="4876" w:type="dxa"/>
          </w:tcPr>
          <w:p w:rsidR="00756434" w:rsidRPr="004A7A04" w:rsidRDefault="00756434">
            <w:pPr>
              <w:pStyle w:val="Normal6"/>
              <w:rPr>
                <w:szCs w:val="24"/>
              </w:rPr>
            </w:pPr>
          </w:p>
        </w:tc>
      </w:tr>
      <w:tr w:rsidR="00502EA6" w:rsidRPr="004A7A04" w:rsidTr="0018078A">
        <w:trPr>
          <w:jc w:val="center"/>
        </w:trPr>
        <w:tc>
          <w:tcPr>
            <w:tcW w:w="4876" w:type="dxa"/>
            <w:hideMark/>
          </w:tcPr>
          <w:p w:rsidR="0018078A" w:rsidRPr="004A7A04" w:rsidRDefault="003E6EC1">
            <w:pPr>
              <w:pStyle w:val="Normal6"/>
            </w:pPr>
            <w:r w:rsidRPr="004A7A04">
              <w:rPr>
                <w:b/>
                <w:i/>
              </w:rPr>
              <w:t xml:space="preserve">Ved denne forordning fastsættes der regler, som skal styrke politisamarbejdet og øge støtten fra Den Europæiske Unions Agentur for Retshåndhævelsessamarbejde (Europol) med henblik på at forebygge og bekæmpe </w:t>
            </w:r>
            <w:r w:rsidRPr="004A7A04">
              <w:rPr>
                <w:b/>
                <w:i/>
              </w:rPr>
              <w:t>smugling af migranter og menneskehandel ved at:</w:t>
            </w:r>
          </w:p>
        </w:tc>
        <w:tc>
          <w:tcPr>
            <w:tcW w:w="4876" w:type="dxa"/>
          </w:tcPr>
          <w:p w:rsidR="0018078A" w:rsidRPr="004A7A04" w:rsidRDefault="0018078A">
            <w:pPr>
              <w:pStyle w:val="Normal6"/>
              <w:rPr>
                <w:szCs w:val="24"/>
              </w:rPr>
            </w:pPr>
          </w:p>
        </w:tc>
      </w:tr>
      <w:tr w:rsidR="00502EA6" w:rsidRPr="004A7A04" w:rsidTr="0018078A">
        <w:trPr>
          <w:jc w:val="center"/>
        </w:trPr>
        <w:tc>
          <w:tcPr>
            <w:tcW w:w="4876" w:type="dxa"/>
            <w:hideMark/>
          </w:tcPr>
          <w:p w:rsidR="0018078A" w:rsidRPr="004A7A04" w:rsidRDefault="003E6EC1">
            <w:pPr>
              <w:pStyle w:val="Normal6"/>
            </w:pPr>
            <w:r w:rsidRPr="004A7A04">
              <w:rPr>
                <w:b/>
                <w:i/>
              </w:rPr>
              <w:t>a)</w:t>
            </w:r>
            <w:r w:rsidRPr="004A7A04">
              <w:rPr>
                <w:b/>
                <w:i/>
              </w:rPr>
              <w:tab/>
              <w:t>oprette et europæisk center for bekæmpelse af migrantsmugling under Europol og fastlægge en forvaltningsramme til regulering af og støtte til dets aktiviteter</w:t>
            </w:r>
          </w:p>
        </w:tc>
        <w:tc>
          <w:tcPr>
            <w:tcW w:w="4876" w:type="dxa"/>
          </w:tcPr>
          <w:p w:rsidR="0018078A" w:rsidRPr="004A7A04" w:rsidRDefault="0018078A">
            <w:pPr>
              <w:pStyle w:val="Normal6"/>
              <w:rPr>
                <w:szCs w:val="24"/>
              </w:rPr>
            </w:pPr>
          </w:p>
        </w:tc>
      </w:tr>
      <w:tr w:rsidR="00502EA6" w:rsidRPr="004A7A04" w:rsidTr="0018078A">
        <w:trPr>
          <w:jc w:val="center"/>
        </w:trPr>
        <w:tc>
          <w:tcPr>
            <w:tcW w:w="4876" w:type="dxa"/>
            <w:hideMark/>
          </w:tcPr>
          <w:p w:rsidR="0018078A" w:rsidRPr="004A7A04" w:rsidRDefault="003E6EC1">
            <w:pPr>
              <w:pStyle w:val="Normal6"/>
            </w:pPr>
            <w:r w:rsidRPr="004A7A04">
              <w:rPr>
                <w:b/>
                <w:i/>
              </w:rPr>
              <w:t>b)</w:t>
            </w:r>
            <w:r w:rsidRPr="004A7A04">
              <w:rPr>
                <w:b/>
                <w:i/>
              </w:rPr>
              <w:tab/>
              <w:t>styrke samarbejdet og koordineringen me</w:t>
            </w:r>
            <w:r w:rsidRPr="004A7A04">
              <w:rPr>
                <w:b/>
                <w:i/>
              </w:rPr>
              <w:t>llem medlemsstaterne, Europol og andre EU-agenturer</w:t>
            </w:r>
          </w:p>
        </w:tc>
        <w:tc>
          <w:tcPr>
            <w:tcW w:w="4876" w:type="dxa"/>
          </w:tcPr>
          <w:p w:rsidR="0018078A" w:rsidRPr="004A7A04" w:rsidRDefault="0018078A">
            <w:pPr>
              <w:pStyle w:val="Normal6"/>
              <w:rPr>
                <w:szCs w:val="24"/>
              </w:rPr>
            </w:pPr>
          </w:p>
        </w:tc>
      </w:tr>
      <w:tr w:rsidR="00502EA6" w:rsidRPr="004A7A04" w:rsidTr="0018078A">
        <w:trPr>
          <w:jc w:val="center"/>
        </w:trPr>
        <w:tc>
          <w:tcPr>
            <w:tcW w:w="4876" w:type="dxa"/>
            <w:hideMark/>
          </w:tcPr>
          <w:p w:rsidR="0018078A" w:rsidRPr="004A7A04" w:rsidRDefault="003E6EC1">
            <w:pPr>
              <w:pStyle w:val="Normal6"/>
            </w:pPr>
            <w:r w:rsidRPr="004A7A04">
              <w:rPr>
                <w:b/>
                <w:i/>
              </w:rPr>
              <w:t>c)</w:t>
            </w:r>
            <w:r w:rsidRPr="004A7A04">
              <w:rPr>
                <w:b/>
                <w:i/>
              </w:rPr>
              <w:tab/>
              <w:t>styrke udvekslingen af oplysninger mellem medlemsstaterne og med Europol</w:t>
            </w:r>
          </w:p>
        </w:tc>
        <w:tc>
          <w:tcPr>
            <w:tcW w:w="4876" w:type="dxa"/>
          </w:tcPr>
          <w:p w:rsidR="0018078A" w:rsidRPr="004A7A04" w:rsidRDefault="0018078A">
            <w:pPr>
              <w:pStyle w:val="Normal6"/>
              <w:rPr>
                <w:szCs w:val="24"/>
              </w:rPr>
            </w:pPr>
          </w:p>
        </w:tc>
      </w:tr>
      <w:tr w:rsidR="00502EA6" w:rsidRPr="004A7A04" w:rsidTr="0018078A">
        <w:trPr>
          <w:jc w:val="center"/>
        </w:trPr>
        <w:tc>
          <w:tcPr>
            <w:tcW w:w="4876" w:type="dxa"/>
            <w:hideMark/>
          </w:tcPr>
          <w:p w:rsidR="0018078A" w:rsidRPr="004A7A04" w:rsidRDefault="003E6EC1">
            <w:pPr>
              <w:pStyle w:val="Normal6"/>
            </w:pPr>
            <w:r w:rsidRPr="004A7A04">
              <w:rPr>
                <w:b/>
                <w:i/>
              </w:rPr>
              <w:t>d)</w:t>
            </w:r>
            <w:r w:rsidRPr="004A7A04">
              <w:rPr>
                <w:b/>
                <w:i/>
              </w:rPr>
              <w:tab/>
              <w:t>give Europol de nødvendige værktøjer til at støtte og styrke medlemsstaternes kompetente myndigheders indsats og deres ge</w:t>
            </w:r>
            <w:r w:rsidRPr="004A7A04">
              <w:rPr>
                <w:b/>
                <w:i/>
              </w:rPr>
              <w:t>nsidige samarbejde om forebyggelse og bekæmpelse af strafbare handlinger, der er omfattet af Europols målsætninger</w:t>
            </w:r>
          </w:p>
        </w:tc>
        <w:tc>
          <w:tcPr>
            <w:tcW w:w="4876" w:type="dxa"/>
          </w:tcPr>
          <w:p w:rsidR="0018078A" w:rsidRPr="004A7A04" w:rsidRDefault="0018078A">
            <w:pPr>
              <w:pStyle w:val="Normal6"/>
              <w:rPr>
                <w:szCs w:val="24"/>
              </w:rPr>
            </w:pPr>
          </w:p>
        </w:tc>
      </w:tr>
      <w:tr w:rsidR="00502EA6" w:rsidRPr="004A7A04" w:rsidTr="0018078A">
        <w:trPr>
          <w:jc w:val="center"/>
        </w:trPr>
        <w:tc>
          <w:tcPr>
            <w:tcW w:w="4876" w:type="dxa"/>
            <w:hideMark/>
          </w:tcPr>
          <w:p w:rsidR="0018078A" w:rsidRPr="004A7A04" w:rsidRDefault="003E6EC1">
            <w:pPr>
              <w:pStyle w:val="Normal6"/>
            </w:pPr>
            <w:r w:rsidRPr="004A7A04">
              <w:rPr>
                <w:b/>
                <w:i/>
              </w:rPr>
              <w:t>e)</w:t>
            </w:r>
            <w:r w:rsidRPr="004A7A04">
              <w:rPr>
                <w:b/>
                <w:i/>
              </w:rPr>
              <w:tab/>
              <w:t>styrke samarbejdet mellem Europol og tredjelande.</w:t>
            </w:r>
          </w:p>
        </w:tc>
        <w:tc>
          <w:tcPr>
            <w:tcW w:w="4876" w:type="dxa"/>
          </w:tcPr>
          <w:p w:rsidR="0018078A" w:rsidRPr="004A7A04" w:rsidRDefault="0018078A">
            <w:pPr>
              <w:pStyle w:val="Normal6"/>
              <w:rPr>
                <w:szCs w:val="24"/>
              </w:rPr>
            </w:pPr>
          </w:p>
        </w:tc>
      </w:tr>
      <w:tr w:rsidR="00502EA6" w:rsidRPr="004A7A04" w:rsidTr="0018078A">
        <w:trPr>
          <w:jc w:val="center"/>
        </w:trPr>
        <w:tc>
          <w:tcPr>
            <w:tcW w:w="4876" w:type="dxa"/>
            <w:hideMark/>
          </w:tcPr>
          <w:p w:rsidR="0018078A" w:rsidRPr="004A7A04" w:rsidRDefault="003E6EC1" w:rsidP="00756434">
            <w:pPr>
              <w:pStyle w:val="Normal6"/>
            </w:pPr>
            <w:r w:rsidRPr="004A7A04">
              <w:rPr>
                <w:b/>
                <w:i/>
              </w:rPr>
              <w:t>Artikel 2</w:t>
            </w:r>
          </w:p>
        </w:tc>
        <w:tc>
          <w:tcPr>
            <w:tcW w:w="4876" w:type="dxa"/>
          </w:tcPr>
          <w:p w:rsidR="0018078A" w:rsidRPr="004A7A04" w:rsidRDefault="0018078A">
            <w:pPr>
              <w:pStyle w:val="Normal6"/>
              <w:rPr>
                <w:szCs w:val="24"/>
              </w:rPr>
            </w:pPr>
          </w:p>
        </w:tc>
      </w:tr>
      <w:tr w:rsidR="00502EA6" w:rsidRPr="004A7A04" w:rsidTr="0018078A">
        <w:trPr>
          <w:jc w:val="center"/>
        </w:trPr>
        <w:tc>
          <w:tcPr>
            <w:tcW w:w="4876" w:type="dxa"/>
          </w:tcPr>
          <w:p w:rsidR="00756434" w:rsidRPr="004A7A04" w:rsidRDefault="003E6EC1">
            <w:pPr>
              <w:pStyle w:val="Normal6"/>
              <w:rPr>
                <w:b/>
                <w:i/>
              </w:rPr>
            </w:pPr>
            <w:r w:rsidRPr="004A7A04">
              <w:rPr>
                <w:b/>
                <w:i/>
              </w:rPr>
              <w:t>Definitioner</w:t>
            </w:r>
          </w:p>
        </w:tc>
        <w:tc>
          <w:tcPr>
            <w:tcW w:w="4876" w:type="dxa"/>
          </w:tcPr>
          <w:p w:rsidR="00756434" w:rsidRPr="004A7A04" w:rsidRDefault="00756434">
            <w:pPr>
              <w:pStyle w:val="Normal6"/>
              <w:rPr>
                <w:szCs w:val="24"/>
              </w:rPr>
            </w:pPr>
          </w:p>
        </w:tc>
      </w:tr>
      <w:tr w:rsidR="00502EA6" w:rsidRPr="004A7A04" w:rsidTr="0018078A">
        <w:trPr>
          <w:jc w:val="center"/>
        </w:trPr>
        <w:tc>
          <w:tcPr>
            <w:tcW w:w="4876" w:type="dxa"/>
            <w:hideMark/>
          </w:tcPr>
          <w:p w:rsidR="0018078A" w:rsidRPr="004A7A04" w:rsidRDefault="003E6EC1">
            <w:pPr>
              <w:pStyle w:val="Normal6"/>
            </w:pPr>
            <w:r w:rsidRPr="004A7A04">
              <w:rPr>
                <w:b/>
                <w:i/>
              </w:rPr>
              <w:t>I denne forordning forstås ved:</w:t>
            </w:r>
          </w:p>
        </w:tc>
        <w:tc>
          <w:tcPr>
            <w:tcW w:w="4876" w:type="dxa"/>
          </w:tcPr>
          <w:p w:rsidR="0018078A" w:rsidRPr="004A7A04" w:rsidRDefault="0018078A">
            <w:pPr>
              <w:pStyle w:val="Normal6"/>
              <w:rPr>
                <w:szCs w:val="24"/>
              </w:rPr>
            </w:pPr>
          </w:p>
        </w:tc>
      </w:tr>
      <w:tr w:rsidR="00502EA6" w:rsidRPr="004A7A04" w:rsidTr="0018078A">
        <w:trPr>
          <w:jc w:val="center"/>
        </w:trPr>
        <w:tc>
          <w:tcPr>
            <w:tcW w:w="4876" w:type="dxa"/>
            <w:hideMark/>
          </w:tcPr>
          <w:p w:rsidR="0018078A" w:rsidRPr="004A7A04" w:rsidRDefault="003E6EC1">
            <w:pPr>
              <w:pStyle w:val="Normal6"/>
            </w:pPr>
            <w:r w:rsidRPr="004A7A04">
              <w:rPr>
                <w:b/>
                <w:i/>
              </w:rPr>
              <w:t>1)</w:t>
            </w:r>
            <w:r w:rsidRPr="004A7A04">
              <w:rPr>
                <w:b/>
                <w:i/>
              </w:rPr>
              <w:tab/>
              <w:t xml:space="preserve">"smugling af </w:t>
            </w:r>
            <w:r w:rsidRPr="004A7A04">
              <w:rPr>
                <w:b/>
                <w:i/>
              </w:rPr>
              <w:t>migranter": enhver af de aktiviteter, der er omhandlet i artikel 3, 4 og 5 i direktiv [XXX] [ om fastsættelse af minimumsregler for forebyggelse og bekæmpelse af hjælp til ulovlig indrejse og transit samt ulovligt ophold i Unionen og om erstatning af Rådet</w:t>
            </w:r>
            <w:r w:rsidRPr="004A7A04">
              <w:rPr>
                <w:b/>
                <w:i/>
              </w:rPr>
              <w:t>s direktiv 2002/90/EF og Rådets rammeafgørelse 2002/946/RIA]</w:t>
            </w:r>
            <w:r w:rsidRPr="004A7A04">
              <w:rPr>
                <w:b/>
                <w:i/>
                <w:vertAlign w:val="superscript"/>
              </w:rPr>
              <w:t>5</w:t>
            </w:r>
            <w:r w:rsidRPr="004A7A04">
              <w:t xml:space="preserve"> </w:t>
            </w:r>
          </w:p>
        </w:tc>
        <w:tc>
          <w:tcPr>
            <w:tcW w:w="4876" w:type="dxa"/>
          </w:tcPr>
          <w:p w:rsidR="0018078A" w:rsidRPr="004A7A04" w:rsidRDefault="0018078A">
            <w:pPr>
              <w:pStyle w:val="Normal6"/>
              <w:rPr>
                <w:szCs w:val="24"/>
              </w:rPr>
            </w:pPr>
          </w:p>
        </w:tc>
      </w:tr>
      <w:tr w:rsidR="00502EA6" w:rsidRPr="004A7A04" w:rsidTr="0018078A">
        <w:trPr>
          <w:jc w:val="center"/>
        </w:trPr>
        <w:tc>
          <w:tcPr>
            <w:tcW w:w="4876" w:type="dxa"/>
            <w:hideMark/>
          </w:tcPr>
          <w:p w:rsidR="0018078A" w:rsidRPr="004A7A04" w:rsidRDefault="003E6EC1">
            <w:pPr>
              <w:pStyle w:val="Normal6"/>
            </w:pPr>
            <w:r w:rsidRPr="004A7A04">
              <w:rPr>
                <w:b/>
                <w:i/>
              </w:rPr>
              <w:t>2)</w:t>
            </w:r>
            <w:r w:rsidRPr="004A7A04">
              <w:rPr>
                <w:b/>
                <w:i/>
              </w:rPr>
              <w:tab/>
              <w:t>"menneskehandel": enhver af de aktiviteter, der er omhandlet i artikel 2 og 3 i Europa-Parlamentets og Rådets direktiv 2011/36/EU</w:t>
            </w:r>
            <w:r w:rsidRPr="004A7A04">
              <w:rPr>
                <w:b/>
                <w:i/>
                <w:vertAlign w:val="superscript"/>
              </w:rPr>
              <w:t>6</w:t>
            </w:r>
          </w:p>
        </w:tc>
        <w:tc>
          <w:tcPr>
            <w:tcW w:w="4876" w:type="dxa"/>
          </w:tcPr>
          <w:p w:rsidR="0018078A" w:rsidRPr="004A7A04" w:rsidRDefault="0018078A">
            <w:pPr>
              <w:pStyle w:val="Normal6"/>
              <w:rPr>
                <w:szCs w:val="24"/>
              </w:rPr>
            </w:pPr>
          </w:p>
        </w:tc>
      </w:tr>
      <w:tr w:rsidR="00502EA6" w:rsidRPr="004A7A04" w:rsidTr="0018078A">
        <w:trPr>
          <w:jc w:val="center"/>
        </w:trPr>
        <w:tc>
          <w:tcPr>
            <w:tcW w:w="4876" w:type="dxa"/>
            <w:hideMark/>
          </w:tcPr>
          <w:p w:rsidR="0018078A" w:rsidRPr="004A7A04" w:rsidRDefault="003E6EC1">
            <w:pPr>
              <w:pStyle w:val="Normal6"/>
            </w:pPr>
            <w:r w:rsidRPr="004A7A04">
              <w:rPr>
                <w:b/>
                <w:i/>
              </w:rPr>
              <w:t>3)</w:t>
            </w:r>
            <w:r w:rsidRPr="004A7A04">
              <w:rPr>
                <w:b/>
                <w:i/>
              </w:rPr>
              <w:tab/>
              <w:t xml:space="preserve">"kompetente myndigheder": medlemsstaternes </w:t>
            </w:r>
            <w:r w:rsidRPr="004A7A04">
              <w:rPr>
                <w:b/>
                <w:i/>
              </w:rPr>
              <w:t>kompetente myndigheder som defineret i artikel 2, litra a), i forordning (EU) 2016/794</w:t>
            </w:r>
          </w:p>
        </w:tc>
        <w:tc>
          <w:tcPr>
            <w:tcW w:w="4876" w:type="dxa"/>
          </w:tcPr>
          <w:p w:rsidR="0018078A" w:rsidRPr="004A7A04" w:rsidRDefault="0018078A">
            <w:pPr>
              <w:pStyle w:val="Normal6"/>
              <w:rPr>
                <w:szCs w:val="24"/>
              </w:rPr>
            </w:pPr>
          </w:p>
        </w:tc>
      </w:tr>
      <w:tr w:rsidR="00502EA6" w:rsidRPr="004A7A04" w:rsidTr="0018078A">
        <w:trPr>
          <w:jc w:val="center"/>
        </w:trPr>
        <w:tc>
          <w:tcPr>
            <w:tcW w:w="4876" w:type="dxa"/>
            <w:hideMark/>
          </w:tcPr>
          <w:p w:rsidR="0018078A" w:rsidRPr="004A7A04" w:rsidRDefault="003E6EC1">
            <w:pPr>
              <w:pStyle w:val="Normal6"/>
            </w:pPr>
            <w:r w:rsidRPr="004A7A04">
              <w:rPr>
                <w:b/>
                <w:i/>
              </w:rPr>
              <w:t>4)</w:t>
            </w:r>
            <w:r w:rsidRPr="004A7A04">
              <w:rPr>
                <w:b/>
                <w:i/>
              </w:rPr>
              <w:tab/>
              <w:t>"indvandringsforbindelsesofficer":en forbindelsesofficer, der er indsat i et tredjeland af en medlemsstats kompetente myndigheder i overensstemmelse med dens nation</w:t>
            </w:r>
            <w:r w:rsidRPr="004A7A04">
              <w:rPr>
                <w:b/>
                <w:i/>
              </w:rPr>
              <w:t>ale lovgivning for at håndtere indvandringsrelaterede spørgsmål, herunder når disse spørgsmål kun udgør en del af forbindelsesofficerens arbejdsopgaver.</w:t>
            </w:r>
          </w:p>
        </w:tc>
        <w:tc>
          <w:tcPr>
            <w:tcW w:w="4876" w:type="dxa"/>
          </w:tcPr>
          <w:p w:rsidR="0018078A" w:rsidRPr="004A7A04" w:rsidRDefault="0018078A">
            <w:pPr>
              <w:pStyle w:val="Normal6"/>
              <w:rPr>
                <w:szCs w:val="24"/>
              </w:rPr>
            </w:pPr>
          </w:p>
        </w:tc>
      </w:tr>
      <w:tr w:rsidR="00502EA6" w:rsidRPr="004A7A04" w:rsidTr="0018078A">
        <w:trPr>
          <w:jc w:val="center"/>
        </w:trPr>
        <w:tc>
          <w:tcPr>
            <w:tcW w:w="4876" w:type="dxa"/>
            <w:hideMark/>
          </w:tcPr>
          <w:p w:rsidR="0018078A" w:rsidRPr="004A7A04" w:rsidRDefault="003E6EC1">
            <w:pPr>
              <w:pStyle w:val="Normal6"/>
            </w:pPr>
            <w:r w:rsidRPr="004A7A04">
              <w:rPr>
                <w:b/>
                <w:i/>
              </w:rPr>
              <w:t>__________________</w:t>
            </w:r>
          </w:p>
        </w:tc>
        <w:tc>
          <w:tcPr>
            <w:tcW w:w="4876" w:type="dxa"/>
          </w:tcPr>
          <w:p w:rsidR="0018078A" w:rsidRPr="004A7A04" w:rsidRDefault="0018078A">
            <w:pPr>
              <w:pStyle w:val="Normal6"/>
              <w:rPr>
                <w:szCs w:val="24"/>
              </w:rPr>
            </w:pPr>
          </w:p>
        </w:tc>
      </w:tr>
      <w:tr w:rsidR="00502EA6" w:rsidRPr="004A7A04" w:rsidTr="0018078A">
        <w:trPr>
          <w:jc w:val="center"/>
        </w:trPr>
        <w:tc>
          <w:tcPr>
            <w:tcW w:w="4876" w:type="dxa"/>
            <w:hideMark/>
          </w:tcPr>
          <w:p w:rsidR="0018078A" w:rsidRPr="004A7A04" w:rsidRDefault="003E6EC1">
            <w:pPr>
              <w:pStyle w:val="Normal6"/>
            </w:pPr>
            <w:r w:rsidRPr="004A7A04">
              <w:rPr>
                <w:b/>
                <w:i/>
                <w:vertAlign w:val="superscript"/>
              </w:rPr>
              <w:t>5</w:t>
            </w:r>
            <w:r w:rsidRPr="004A7A04">
              <w:t xml:space="preserve"> </w:t>
            </w:r>
            <w:r w:rsidRPr="004A7A04">
              <w:rPr>
                <w:b/>
                <w:i/>
              </w:rPr>
              <w:t>[Indsæt titel og publikationsreference].</w:t>
            </w:r>
          </w:p>
        </w:tc>
        <w:tc>
          <w:tcPr>
            <w:tcW w:w="4876" w:type="dxa"/>
          </w:tcPr>
          <w:p w:rsidR="0018078A" w:rsidRPr="004A7A04" w:rsidRDefault="0018078A">
            <w:pPr>
              <w:pStyle w:val="Normal6"/>
              <w:rPr>
                <w:szCs w:val="24"/>
              </w:rPr>
            </w:pPr>
          </w:p>
        </w:tc>
      </w:tr>
      <w:tr w:rsidR="00502EA6" w:rsidRPr="004A7A04" w:rsidTr="0018078A">
        <w:trPr>
          <w:jc w:val="center"/>
        </w:trPr>
        <w:tc>
          <w:tcPr>
            <w:tcW w:w="4876" w:type="dxa"/>
            <w:hideMark/>
          </w:tcPr>
          <w:p w:rsidR="0018078A" w:rsidRPr="004A7A04" w:rsidRDefault="003E6EC1">
            <w:pPr>
              <w:pStyle w:val="Normal6"/>
            </w:pPr>
            <w:r w:rsidRPr="004A7A04">
              <w:rPr>
                <w:b/>
                <w:i/>
                <w:vertAlign w:val="superscript"/>
              </w:rPr>
              <w:t>6</w:t>
            </w:r>
            <w:r w:rsidRPr="004A7A04">
              <w:t xml:space="preserve"> </w:t>
            </w:r>
            <w:r w:rsidRPr="004A7A04">
              <w:rPr>
                <w:b/>
                <w:i/>
              </w:rPr>
              <w:t xml:space="preserve">Europa-Parlamentets og Rådets </w:t>
            </w:r>
            <w:r w:rsidRPr="004A7A04">
              <w:rPr>
                <w:b/>
                <w:i/>
              </w:rPr>
              <w:t>direktiv 2011/36/EU af 5. april 2011 om forebyggelse og bekæmpelse af menneskehandel og beskyttelse af ofrene herfor og om erstatning af Rådets rammeafgørelse 2002/629/RIA (EUT L 101 af 15.4.2011, s. 1, ELI: http://data.europa.eu/eli/dir/2011/36/oj).</w:t>
            </w:r>
          </w:p>
        </w:tc>
        <w:tc>
          <w:tcPr>
            <w:tcW w:w="4876" w:type="dxa"/>
          </w:tcPr>
          <w:p w:rsidR="0018078A" w:rsidRPr="004A7A04" w:rsidRDefault="0018078A">
            <w:pPr>
              <w:pStyle w:val="Normal6"/>
              <w:rPr>
                <w:szCs w:val="24"/>
              </w:rPr>
            </w:pPr>
          </w:p>
        </w:tc>
      </w:tr>
    </w:tbl>
    <w:p w:rsidR="0018078A" w:rsidRPr="004A7A04" w:rsidRDefault="003E6EC1" w:rsidP="0018078A">
      <w:pPr>
        <w:pStyle w:val="Olang"/>
      </w:pPr>
      <w:r w:rsidRPr="004A7A04">
        <w:t>Or.</w:t>
      </w:r>
      <w:r w:rsidRPr="004A7A04">
        <w:t xml:space="preserve">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pPr>
        <w:pStyle w:val="JustificationTitle"/>
        <w:rPr>
          <w:noProof w:val="0"/>
        </w:rPr>
      </w:pPr>
      <w:r w:rsidRPr="004A7A04">
        <w:rPr>
          <w:rStyle w:val="HideTWBExt"/>
          <w:i w:val="0"/>
        </w:rPr>
        <w:t>&lt;TitreJust&gt;</w:t>
      </w:r>
      <w:r w:rsidRPr="004A7A04">
        <w:t>Begrundelse</w:t>
      </w:r>
      <w:r w:rsidRPr="004A7A04">
        <w:rPr>
          <w:rStyle w:val="HideTWBExt"/>
          <w:i w:val="0"/>
        </w:rPr>
        <w:t>&lt;/TitreJust&gt;</w:t>
      </w:r>
    </w:p>
    <w:p w:rsidR="0018078A" w:rsidRPr="004A7A04" w:rsidRDefault="003E6EC1" w:rsidP="0018078A">
      <w:pPr>
        <w:pStyle w:val="Normal12Italic"/>
        <w:rPr>
          <w:noProof w:val="0"/>
        </w:rPr>
      </w:pPr>
      <w:r w:rsidRPr="004A7A04">
        <w:t>Den selvstændige forordning udgår. Nogle af bestemmelserne gengives som ændringsforslag til den eksisterende Europolforordning.</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19</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Artikel 3</w:t>
      </w:r>
      <w:r w:rsidRPr="004A7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hideMark/>
          </w:tcPr>
          <w:p w:rsidR="0018078A" w:rsidRPr="004A7A04" w:rsidRDefault="003E6EC1">
            <w:pPr>
              <w:pStyle w:val="Normal6"/>
              <w:jc w:val="center"/>
            </w:pPr>
            <w:r w:rsidRPr="004A7A04">
              <w:rPr>
                <w:b/>
                <w:i/>
              </w:rPr>
              <w:t>Artikel 3</w:t>
            </w:r>
          </w:p>
        </w:tc>
        <w:tc>
          <w:tcPr>
            <w:tcW w:w="4876" w:type="dxa"/>
            <w:hideMark/>
          </w:tcPr>
          <w:p w:rsidR="0018078A" w:rsidRPr="004A7A04" w:rsidRDefault="003E6EC1">
            <w:pPr>
              <w:pStyle w:val="Normal6"/>
              <w:rPr>
                <w:szCs w:val="24"/>
              </w:rPr>
            </w:pPr>
            <w:r w:rsidRPr="004A7A04">
              <w:rPr>
                <w:b/>
                <w:i/>
              </w:rPr>
              <w:t>udgår</w:t>
            </w:r>
          </w:p>
        </w:tc>
      </w:tr>
      <w:tr w:rsidR="00502EA6" w:rsidRPr="004A7A04" w:rsidTr="0018078A">
        <w:trPr>
          <w:jc w:val="center"/>
        </w:trPr>
        <w:tc>
          <w:tcPr>
            <w:tcW w:w="4876" w:type="dxa"/>
            <w:hideMark/>
          </w:tcPr>
          <w:p w:rsidR="0018078A" w:rsidRPr="004A7A04" w:rsidRDefault="003E6EC1">
            <w:pPr>
              <w:pStyle w:val="Normal6"/>
              <w:jc w:val="center"/>
            </w:pPr>
            <w:r w:rsidRPr="004A7A04">
              <w:rPr>
                <w:b/>
                <w:i/>
              </w:rPr>
              <w:t>Det Europæiske Center for Bekæmpelse af Migrantsmugling</w:t>
            </w:r>
          </w:p>
        </w:tc>
        <w:tc>
          <w:tcPr>
            <w:tcW w:w="4876" w:type="dxa"/>
          </w:tcPr>
          <w:p w:rsidR="0018078A" w:rsidRPr="004A7A04" w:rsidRDefault="0018078A">
            <w:pPr>
              <w:pStyle w:val="Normal6"/>
              <w:rPr>
                <w:szCs w:val="24"/>
              </w:rPr>
            </w:pPr>
          </w:p>
        </w:tc>
      </w:tr>
      <w:tr w:rsidR="00502EA6" w:rsidRPr="004A7A04" w:rsidTr="0018078A">
        <w:trPr>
          <w:jc w:val="center"/>
        </w:trPr>
        <w:tc>
          <w:tcPr>
            <w:tcW w:w="4876" w:type="dxa"/>
            <w:hideMark/>
          </w:tcPr>
          <w:p w:rsidR="0018078A" w:rsidRPr="004A7A04" w:rsidRDefault="003E6EC1">
            <w:pPr>
              <w:pStyle w:val="Normal6"/>
            </w:pPr>
            <w:r w:rsidRPr="004A7A04">
              <w:rPr>
                <w:b/>
                <w:i/>
              </w:rPr>
              <w:t xml:space="preserve">Det Europæiske Center for Bekæmpelse af Migrantsmugling oprettes under </w:t>
            </w:r>
            <w:r w:rsidRPr="004A7A04">
              <w:rPr>
                <w:b/>
                <w:i/>
              </w:rPr>
              <w:t>Europol som et specialiseret EU-ekspertisecenter, jf. artikel 4, stk. 1, litra l), i forordning (EU) 2016/794. Det bistår medlemsstaterne i deres indsats for at forebygge og bekæmpe smugling af migranter og menneskehandel og udfører de opgaver, der er fast</w:t>
            </w:r>
            <w:r w:rsidRPr="004A7A04">
              <w:rPr>
                <w:b/>
                <w:i/>
              </w:rPr>
              <w:t>sat i artikel 5 og 6.</w:t>
            </w:r>
          </w:p>
        </w:tc>
        <w:tc>
          <w:tcPr>
            <w:tcW w:w="4876" w:type="dxa"/>
          </w:tcPr>
          <w:p w:rsidR="0018078A" w:rsidRPr="004A7A04" w:rsidRDefault="0018078A">
            <w:pPr>
              <w:pStyle w:val="Normal6"/>
              <w:rPr>
                <w:szCs w:val="24"/>
              </w:rPr>
            </w:pP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pPr>
        <w:pStyle w:val="JustificationTitle"/>
        <w:rPr>
          <w:noProof w:val="0"/>
        </w:rPr>
      </w:pPr>
      <w:r w:rsidRPr="004A7A04">
        <w:rPr>
          <w:rStyle w:val="HideTWBExt"/>
          <w:i w:val="0"/>
        </w:rPr>
        <w:t>&lt;TitreJust&gt;</w:t>
      </w:r>
      <w:r w:rsidRPr="004A7A04">
        <w:t>Begrundelse</w:t>
      </w:r>
      <w:r w:rsidRPr="004A7A04">
        <w:rPr>
          <w:rStyle w:val="HideTWBExt"/>
          <w:i w:val="0"/>
        </w:rPr>
        <w:t>&lt;/TitreJust&gt;</w:t>
      </w:r>
    </w:p>
    <w:p w:rsidR="0018078A" w:rsidRPr="004A7A04" w:rsidRDefault="003E6EC1" w:rsidP="0018078A">
      <w:pPr>
        <w:pStyle w:val="Normal12Italic"/>
        <w:rPr>
          <w:noProof w:val="0"/>
        </w:rPr>
      </w:pPr>
      <w:r w:rsidRPr="004A7A04">
        <w:t>Den selvstændige forordning udgår. Nogle af bestemmelserne gengives som ændringsforslag til den eksisterende Europolforordning.</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w:t>
      </w:r>
      <w:r w:rsidRPr="004A7A04">
        <w:rPr>
          <w:rStyle w:val="HideTWBExt"/>
          <w:b w:val="0"/>
        </w:rPr>
        <w:t>Am&gt;</w:t>
      </w:r>
      <w:r w:rsidRPr="004A7A04">
        <w:t>20</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Artikel 4</w:t>
      </w:r>
      <w:r w:rsidRPr="004A7A04">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D519D6">
        <w:trPr>
          <w:jc w:val="center"/>
        </w:trPr>
        <w:tc>
          <w:tcPr>
            <w:tcW w:w="9752" w:type="dxa"/>
            <w:gridSpan w:val="2"/>
          </w:tcPr>
          <w:p w:rsidR="0018078A" w:rsidRPr="004A7A04" w:rsidRDefault="0018078A">
            <w:pPr>
              <w:keepNext/>
            </w:pPr>
          </w:p>
        </w:tc>
      </w:tr>
      <w:tr w:rsidR="00502EA6" w:rsidRPr="004A7A04" w:rsidTr="00D519D6">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D519D6">
        <w:trPr>
          <w:jc w:val="center"/>
        </w:trPr>
        <w:tc>
          <w:tcPr>
            <w:tcW w:w="4876" w:type="dxa"/>
            <w:hideMark/>
          </w:tcPr>
          <w:p w:rsidR="0018078A" w:rsidRPr="004A7A04" w:rsidRDefault="003E6EC1" w:rsidP="00D519D6">
            <w:pPr>
              <w:pStyle w:val="Normal6"/>
              <w:jc w:val="center"/>
              <w:rPr>
                <w:b/>
                <w:i/>
              </w:rPr>
            </w:pPr>
            <w:r w:rsidRPr="004A7A04">
              <w:rPr>
                <w:b/>
                <w:i/>
              </w:rPr>
              <w:t>[...]</w:t>
            </w:r>
          </w:p>
        </w:tc>
        <w:tc>
          <w:tcPr>
            <w:tcW w:w="4876" w:type="dxa"/>
            <w:hideMark/>
          </w:tcPr>
          <w:p w:rsidR="0018078A" w:rsidRPr="004A7A04" w:rsidRDefault="003E6EC1">
            <w:pPr>
              <w:pStyle w:val="Normal6"/>
              <w:rPr>
                <w:szCs w:val="24"/>
              </w:rPr>
            </w:pPr>
            <w:r w:rsidRPr="004A7A04">
              <w:rPr>
                <w:b/>
                <w:i/>
              </w:rPr>
              <w:t>udgår</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pPr>
        <w:pStyle w:val="JustificationTitle"/>
        <w:rPr>
          <w:noProof w:val="0"/>
        </w:rPr>
      </w:pPr>
      <w:r w:rsidRPr="004A7A04">
        <w:rPr>
          <w:rStyle w:val="HideTWBExt"/>
          <w:i w:val="0"/>
        </w:rPr>
        <w:t>&lt;TitreJust&gt;</w:t>
      </w:r>
      <w:r w:rsidRPr="004A7A04">
        <w:t>Begrundelse</w:t>
      </w:r>
      <w:r w:rsidRPr="004A7A04">
        <w:rPr>
          <w:rStyle w:val="HideTWBExt"/>
          <w:i w:val="0"/>
        </w:rPr>
        <w:t>&lt;/TitreJust&gt;</w:t>
      </w:r>
    </w:p>
    <w:p w:rsidR="0018078A" w:rsidRPr="004A7A04" w:rsidRDefault="003E6EC1" w:rsidP="0018078A">
      <w:pPr>
        <w:pStyle w:val="Normal12Italic"/>
        <w:rPr>
          <w:noProof w:val="0"/>
        </w:rPr>
      </w:pPr>
      <w:r w:rsidRPr="004A7A04">
        <w:t xml:space="preserve">Den selvstændige forordning udgår. Nogle af </w:t>
      </w:r>
      <w:r w:rsidRPr="004A7A04">
        <w:t>bestemmelserne gengives som ændringsforslag til den eksisterende Europolforordning.</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21</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Artikel 5</w:t>
      </w:r>
      <w:r w:rsidRPr="004A7A04">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D519D6">
        <w:trPr>
          <w:jc w:val="center"/>
        </w:trPr>
        <w:tc>
          <w:tcPr>
            <w:tcW w:w="9752" w:type="dxa"/>
            <w:gridSpan w:val="2"/>
          </w:tcPr>
          <w:p w:rsidR="0018078A" w:rsidRPr="004A7A04" w:rsidRDefault="0018078A">
            <w:pPr>
              <w:keepNext/>
            </w:pPr>
          </w:p>
        </w:tc>
      </w:tr>
      <w:tr w:rsidR="00502EA6" w:rsidRPr="004A7A04" w:rsidTr="00D519D6">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D519D6">
        <w:trPr>
          <w:jc w:val="center"/>
        </w:trPr>
        <w:tc>
          <w:tcPr>
            <w:tcW w:w="4876" w:type="dxa"/>
            <w:hideMark/>
          </w:tcPr>
          <w:p w:rsidR="0018078A" w:rsidRPr="004A7A04" w:rsidRDefault="003E6EC1">
            <w:pPr>
              <w:pStyle w:val="Normal6"/>
              <w:jc w:val="center"/>
              <w:rPr>
                <w:b/>
                <w:i/>
              </w:rPr>
            </w:pPr>
            <w:r w:rsidRPr="004A7A04">
              <w:rPr>
                <w:b/>
                <w:i/>
              </w:rPr>
              <w:t>[...]</w:t>
            </w:r>
          </w:p>
        </w:tc>
        <w:tc>
          <w:tcPr>
            <w:tcW w:w="4876" w:type="dxa"/>
            <w:hideMark/>
          </w:tcPr>
          <w:p w:rsidR="0018078A" w:rsidRPr="004A7A04" w:rsidRDefault="003E6EC1">
            <w:pPr>
              <w:pStyle w:val="Normal6"/>
              <w:rPr>
                <w:szCs w:val="24"/>
              </w:rPr>
            </w:pPr>
            <w:r w:rsidRPr="004A7A04">
              <w:rPr>
                <w:b/>
                <w:i/>
              </w:rPr>
              <w:t>udgår</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pPr>
        <w:pStyle w:val="JustificationTitle"/>
        <w:rPr>
          <w:noProof w:val="0"/>
        </w:rPr>
      </w:pPr>
      <w:r w:rsidRPr="004A7A04">
        <w:rPr>
          <w:rStyle w:val="HideTWBExt"/>
          <w:i w:val="0"/>
        </w:rPr>
        <w:t>&lt;TitreJust&gt;</w:t>
      </w:r>
      <w:r w:rsidRPr="004A7A04">
        <w:t>Begrundelse</w:t>
      </w:r>
      <w:r w:rsidRPr="004A7A04">
        <w:rPr>
          <w:rStyle w:val="HideTWBExt"/>
          <w:i w:val="0"/>
        </w:rPr>
        <w:t>&lt;/TitreJust&gt;</w:t>
      </w:r>
    </w:p>
    <w:p w:rsidR="0018078A" w:rsidRPr="004A7A04" w:rsidRDefault="003E6EC1" w:rsidP="0018078A">
      <w:pPr>
        <w:pStyle w:val="Normal12Italic"/>
        <w:rPr>
          <w:noProof w:val="0"/>
        </w:rPr>
      </w:pPr>
      <w:r w:rsidRPr="004A7A04">
        <w:t>Den selvstændige forordning udgår. Nogle af bestemmelserne gengives som ændringsforslag til den eksisterende Europolforordning.</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22</w:t>
      </w:r>
      <w:r w:rsidRPr="004A7A04">
        <w:rPr>
          <w:rStyle w:val="HideTWBExt"/>
          <w:b w:val="0"/>
        </w:rPr>
        <w:t>&lt;/NumAm&gt;</w:t>
      </w:r>
    </w:p>
    <w:p w:rsidR="0018078A" w:rsidRPr="004A7A04" w:rsidRDefault="003E6EC1" w:rsidP="0018078A">
      <w:pPr>
        <w:pStyle w:val="NormalBold12b"/>
        <w:keepNext/>
      </w:pPr>
      <w:r w:rsidRPr="004A7A04">
        <w:rPr>
          <w:rStyle w:val="HideTWBExt"/>
          <w:b w:val="0"/>
        </w:rPr>
        <w:t>&lt;Do</w:t>
      </w:r>
      <w:r w:rsidRPr="004A7A04">
        <w:rPr>
          <w:rStyle w:val="HideTWBExt"/>
          <w:b w:val="0"/>
        </w:rPr>
        <w:t>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Artikel 6</w:t>
      </w:r>
      <w:r w:rsidRPr="004A7A04">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D519D6">
        <w:trPr>
          <w:jc w:val="center"/>
        </w:trPr>
        <w:tc>
          <w:tcPr>
            <w:tcW w:w="9752" w:type="dxa"/>
            <w:gridSpan w:val="2"/>
          </w:tcPr>
          <w:p w:rsidR="0018078A" w:rsidRPr="004A7A04" w:rsidRDefault="0018078A">
            <w:pPr>
              <w:keepNext/>
            </w:pPr>
          </w:p>
        </w:tc>
      </w:tr>
      <w:tr w:rsidR="00502EA6" w:rsidRPr="004A7A04" w:rsidTr="00D519D6">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D519D6">
        <w:trPr>
          <w:jc w:val="center"/>
        </w:trPr>
        <w:tc>
          <w:tcPr>
            <w:tcW w:w="4876" w:type="dxa"/>
            <w:hideMark/>
          </w:tcPr>
          <w:p w:rsidR="0018078A" w:rsidRPr="004A7A04" w:rsidRDefault="003E6EC1">
            <w:pPr>
              <w:pStyle w:val="Normal6"/>
              <w:jc w:val="center"/>
              <w:rPr>
                <w:b/>
                <w:i/>
              </w:rPr>
            </w:pPr>
            <w:r w:rsidRPr="004A7A04">
              <w:rPr>
                <w:b/>
                <w:i/>
              </w:rPr>
              <w:t>[...]</w:t>
            </w:r>
          </w:p>
        </w:tc>
        <w:tc>
          <w:tcPr>
            <w:tcW w:w="4876" w:type="dxa"/>
            <w:hideMark/>
          </w:tcPr>
          <w:p w:rsidR="0018078A" w:rsidRPr="004A7A04" w:rsidRDefault="003E6EC1">
            <w:pPr>
              <w:pStyle w:val="Normal6"/>
              <w:rPr>
                <w:b/>
                <w:i/>
              </w:rPr>
            </w:pPr>
            <w:r w:rsidRPr="004A7A04">
              <w:rPr>
                <w:b/>
                <w:i/>
              </w:rPr>
              <w:t>udgår</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pPr>
        <w:pStyle w:val="JustificationTitle"/>
        <w:rPr>
          <w:noProof w:val="0"/>
        </w:rPr>
      </w:pPr>
      <w:r w:rsidRPr="004A7A04">
        <w:rPr>
          <w:rStyle w:val="HideTWBExt"/>
          <w:i w:val="0"/>
        </w:rPr>
        <w:t>&lt;TitreJust&gt;</w:t>
      </w:r>
      <w:r w:rsidRPr="004A7A04">
        <w:t>Begrundelse</w:t>
      </w:r>
      <w:r w:rsidRPr="004A7A04">
        <w:rPr>
          <w:rStyle w:val="HideTWBExt"/>
          <w:i w:val="0"/>
        </w:rPr>
        <w:t>&lt;/TitreJust&gt;</w:t>
      </w:r>
    </w:p>
    <w:p w:rsidR="0018078A" w:rsidRPr="004A7A04" w:rsidRDefault="003E6EC1" w:rsidP="0018078A">
      <w:pPr>
        <w:pStyle w:val="Normal12Italic"/>
        <w:rPr>
          <w:noProof w:val="0"/>
        </w:rPr>
      </w:pPr>
      <w:r w:rsidRPr="004A7A04">
        <w:t xml:space="preserve">Den selvstændige forordning udgår. Nogle af bestemmelserne </w:t>
      </w:r>
      <w:r w:rsidRPr="004A7A04">
        <w:t>gengives som ændringsforslag til den eksisterende Europolforordning.</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23</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Artikel 7</w:t>
      </w:r>
      <w:r w:rsidRPr="004A7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hideMark/>
          </w:tcPr>
          <w:p w:rsidR="0018078A" w:rsidRPr="004A7A04" w:rsidRDefault="003E6EC1">
            <w:pPr>
              <w:pStyle w:val="Normal6"/>
              <w:jc w:val="center"/>
            </w:pPr>
            <w:r w:rsidRPr="004A7A04">
              <w:rPr>
                <w:b/>
                <w:i/>
              </w:rPr>
              <w:t>Artikel 7</w:t>
            </w:r>
          </w:p>
        </w:tc>
        <w:tc>
          <w:tcPr>
            <w:tcW w:w="4876" w:type="dxa"/>
            <w:hideMark/>
          </w:tcPr>
          <w:p w:rsidR="0018078A" w:rsidRPr="004A7A04" w:rsidRDefault="003E6EC1">
            <w:pPr>
              <w:pStyle w:val="Normal6"/>
              <w:rPr>
                <w:szCs w:val="24"/>
              </w:rPr>
            </w:pPr>
            <w:r w:rsidRPr="004A7A04">
              <w:rPr>
                <w:b/>
                <w:i/>
              </w:rPr>
              <w:t>udgår</w:t>
            </w:r>
          </w:p>
        </w:tc>
      </w:tr>
      <w:tr w:rsidR="00502EA6" w:rsidRPr="004A7A04" w:rsidTr="0018078A">
        <w:trPr>
          <w:jc w:val="center"/>
        </w:trPr>
        <w:tc>
          <w:tcPr>
            <w:tcW w:w="4876" w:type="dxa"/>
            <w:hideMark/>
          </w:tcPr>
          <w:p w:rsidR="0018078A" w:rsidRPr="004A7A04" w:rsidRDefault="003E6EC1">
            <w:pPr>
              <w:pStyle w:val="Normal6"/>
              <w:jc w:val="center"/>
            </w:pPr>
            <w:r w:rsidRPr="004A7A04">
              <w:rPr>
                <w:b/>
                <w:i/>
              </w:rPr>
              <w:t>Nationale specialiserede tjenester til forebyggelse og bekæmpelse af smugling af migranter og menneskehandel</w:t>
            </w:r>
          </w:p>
        </w:tc>
        <w:tc>
          <w:tcPr>
            <w:tcW w:w="4876" w:type="dxa"/>
          </w:tcPr>
          <w:p w:rsidR="0018078A" w:rsidRPr="004A7A04" w:rsidRDefault="0018078A">
            <w:pPr>
              <w:pStyle w:val="Normal6"/>
              <w:rPr>
                <w:szCs w:val="24"/>
              </w:rPr>
            </w:pPr>
          </w:p>
        </w:tc>
      </w:tr>
      <w:tr w:rsidR="00502EA6" w:rsidRPr="004A7A04" w:rsidTr="0018078A">
        <w:trPr>
          <w:jc w:val="center"/>
        </w:trPr>
        <w:tc>
          <w:tcPr>
            <w:tcW w:w="4876" w:type="dxa"/>
            <w:hideMark/>
          </w:tcPr>
          <w:p w:rsidR="0018078A" w:rsidRPr="004A7A04" w:rsidRDefault="003E6EC1">
            <w:pPr>
              <w:pStyle w:val="Normal6"/>
            </w:pPr>
            <w:r w:rsidRPr="004A7A04">
              <w:rPr>
                <w:b/>
                <w:i/>
              </w:rPr>
              <w:t>1.</w:t>
            </w:r>
            <w:r w:rsidRPr="004A7A04">
              <w:rPr>
                <w:b/>
                <w:i/>
              </w:rPr>
              <w:tab/>
              <w:t xml:space="preserve">Hver medlemsstat udpeger senest et år efter denne forordnings ikrafttræden i overensstemmelse med national ret en eller flere specialiserede </w:t>
            </w:r>
            <w:r w:rsidRPr="004A7A04">
              <w:rPr>
                <w:b/>
                <w:i/>
              </w:rPr>
              <w:t>tjenester under sine kompetente myndigheder for at forebygge og bekæmpe smugling af migranter og menneskehandel, herunder gennem strafferetlig efterforskning. Hver medlemsstat underretter straks efter udpegelsen Kommissionen herom.</w:t>
            </w:r>
          </w:p>
        </w:tc>
        <w:tc>
          <w:tcPr>
            <w:tcW w:w="4876" w:type="dxa"/>
          </w:tcPr>
          <w:p w:rsidR="0018078A" w:rsidRPr="004A7A04" w:rsidRDefault="0018078A">
            <w:pPr>
              <w:pStyle w:val="Normal6"/>
              <w:rPr>
                <w:szCs w:val="24"/>
              </w:rPr>
            </w:pPr>
          </w:p>
        </w:tc>
      </w:tr>
      <w:tr w:rsidR="00502EA6" w:rsidRPr="004A7A04" w:rsidTr="0018078A">
        <w:trPr>
          <w:jc w:val="center"/>
        </w:trPr>
        <w:tc>
          <w:tcPr>
            <w:tcW w:w="4876" w:type="dxa"/>
            <w:hideMark/>
          </w:tcPr>
          <w:p w:rsidR="0018078A" w:rsidRPr="004A7A04" w:rsidRDefault="003E6EC1">
            <w:pPr>
              <w:pStyle w:val="Normal6"/>
            </w:pPr>
            <w:r w:rsidRPr="004A7A04">
              <w:rPr>
                <w:b/>
                <w:i/>
              </w:rPr>
              <w:t>2.</w:t>
            </w:r>
            <w:r w:rsidRPr="004A7A04">
              <w:rPr>
                <w:b/>
                <w:i/>
              </w:rPr>
              <w:tab/>
              <w:t>Hver medlemsstat si</w:t>
            </w:r>
            <w:r w:rsidRPr="004A7A04">
              <w:rPr>
                <w:b/>
                <w:i/>
              </w:rPr>
              <w:t>krer, at dens specialiserede tjenester, der er udpeget i henhold til denne artikels stk. 1, indsamler alle relevante oplysninger vedrørende strafferetlig efterforskning af smugling af migranter og menneskehandel og alle oplysninger hidrørende fra denne eft</w:t>
            </w:r>
            <w:r w:rsidRPr="004A7A04">
              <w:rPr>
                <w:b/>
                <w:i/>
              </w:rPr>
              <w:t>erforskning og udveksler hurtigst muligt disse oplysninger med Europol og andre medlemsstater i overensstemmelse med artikel 8.</w:t>
            </w:r>
          </w:p>
        </w:tc>
        <w:tc>
          <w:tcPr>
            <w:tcW w:w="4876" w:type="dxa"/>
          </w:tcPr>
          <w:p w:rsidR="0018078A" w:rsidRPr="004A7A04" w:rsidRDefault="0018078A">
            <w:pPr>
              <w:pStyle w:val="Normal6"/>
              <w:rPr>
                <w:szCs w:val="24"/>
              </w:rPr>
            </w:pPr>
          </w:p>
        </w:tc>
      </w:tr>
      <w:tr w:rsidR="00502EA6" w:rsidRPr="004A7A04" w:rsidTr="0018078A">
        <w:trPr>
          <w:jc w:val="center"/>
        </w:trPr>
        <w:tc>
          <w:tcPr>
            <w:tcW w:w="4876" w:type="dxa"/>
            <w:hideMark/>
          </w:tcPr>
          <w:p w:rsidR="0018078A" w:rsidRPr="004A7A04" w:rsidRDefault="003E6EC1">
            <w:pPr>
              <w:pStyle w:val="Normal6"/>
            </w:pPr>
            <w:r w:rsidRPr="004A7A04">
              <w:rPr>
                <w:b/>
                <w:i/>
              </w:rPr>
              <w:t>3.</w:t>
            </w:r>
            <w:r w:rsidRPr="004A7A04">
              <w:rPr>
                <w:b/>
                <w:i/>
              </w:rPr>
              <w:tab/>
              <w:t xml:space="preserve">Hver medlemsstat forbinder senest et år efter denne forordnings ikrafttræden sine specialiserede tjenester, der er udpeget </w:t>
            </w:r>
            <w:r w:rsidRPr="004A7A04">
              <w:rPr>
                <w:b/>
                <w:i/>
              </w:rPr>
              <w:t>i henhold til denne artikels stk. 1, direkte til Europols netværksprogram til sikker informationsudveksling (SIENA), jf. artikel 2, litra w), i forordning (EU) 2016/794. Hver medlemsstat underretter straks efter, at denne forbindelse er oprettet, Kommissio</w:t>
            </w:r>
            <w:r w:rsidRPr="004A7A04">
              <w:rPr>
                <w:b/>
                <w:i/>
              </w:rPr>
              <w:t>nen herom.</w:t>
            </w:r>
          </w:p>
        </w:tc>
        <w:tc>
          <w:tcPr>
            <w:tcW w:w="4876" w:type="dxa"/>
          </w:tcPr>
          <w:p w:rsidR="0018078A" w:rsidRPr="004A7A04" w:rsidRDefault="0018078A">
            <w:pPr>
              <w:pStyle w:val="Normal6"/>
              <w:rPr>
                <w:szCs w:val="24"/>
              </w:rPr>
            </w:pPr>
          </w:p>
        </w:tc>
      </w:tr>
      <w:tr w:rsidR="00502EA6" w:rsidRPr="004A7A04" w:rsidTr="0018078A">
        <w:trPr>
          <w:jc w:val="center"/>
        </w:trPr>
        <w:tc>
          <w:tcPr>
            <w:tcW w:w="4876" w:type="dxa"/>
            <w:hideMark/>
          </w:tcPr>
          <w:p w:rsidR="0018078A" w:rsidRPr="004A7A04" w:rsidRDefault="003E6EC1">
            <w:pPr>
              <w:pStyle w:val="Normal6"/>
            </w:pPr>
            <w:r w:rsidRPr="004A7A04">
              <w:rPr>
                <w:b/>
                <w:i/>
              </w:rPr>
              <w:t>4.</w:t>
            </w:r>
            <w:r w:rsidRPr="004A7A04">
              <w:rPr>
                <w:b/>
                <w:i/>
              </w:rPr>
              <w:tab/>
              <w:t>Hver medlemsstat stiller tilstrækkelige ressourcer til rådighed for sine specialiserede tjenester, der er udpeget i henhold til stk. 1, for at sikre, at disse specialiserede tjenester er rustet til effektivt at forebygge og bekæmpe smugling</w:t>
            </w:r>
            <w:r w:rsidRPr="004A7A04">
              <w:rPr>
                <w:b/>
                <w:i/>
              </w:rPr>
              <w:t xml:space="preserve"> af migranter og menneskehandel og til at indsamle og udveksle oplysninger, jf. stk. 2, på en effektiv og virkningsfuld måde.</w:t>
            </w:r>
          </w:p>
        </w:tc>
        <w:tc>
          <w:tcPr>
            <w:tcW w:w="4876" w:type="dxa"/>
          </w:tcPr>
          <w:p w:rsidR="0018078A" w:rsidRPr="004A7A04" w:rsidRDefault="0018078A">
            <w:pPr>
              <w:pStyle w:val="Normal6"/>
              <w:rPr>
                <w:szCs w:val="24"/>
              </w:rPr>
            </w:pPr>
          </w:p>
        </w:tc>
      </w:tr>
      <w:tr w:rsidR="00502EA6" w:rsidRPr="004A7A04" w:rsidTr="0018078A">
        <w:trPr>
          <w:jc w:val="center"/>
        </w:trPr>
        <w:tc>
          <w:tcPr>
            <w:tcW w:w="4876" w:type="dxa"/>
            <w:hideMark/>
          </w:tcPr>
          <w:p w:rsidR="0018078A" w:rsidRPr="004A7A04" w:rsidRDefault="003E6EC1">
            <w:pPr>
              <w:pStyle w:val="Normal6"/>
            </w:pPr>
            <w:r w:rsidRPr="004A7A04">
              <w:rPr>
                <w:b/>
                <w:i/>
              </w:rPr>
              <w:t>5.</w:t>
            </w:r>
            <w:r w:rsidRPr="004A7A04">
              <w:rPr>
                <w:b/>
                <w:i/>
              </w:rPr>
              <w:tab/>
              <w:t>Hver medlemsstat stiller et passende antal medarbejdere fra de specialiserede tjenester, der er udpeget i henhold til denne a</w:t>
            </w:r>
            <w:r w:rsidRPr="004A7A04">
              <w:rPr>
                <w:b/>
                <w:i/>
              </w:rPr>
              <w:t>rtikels stk. 1, til rådighed for den reservepulje, der er omhandlet i artikel 5b, stk. 6, i forordning (EU) 2016/794, således at disse medarbejdere kan indsættes af Europol som udstationerede nationale eksperter med henblik på operationel støtte.</w:t>
            </w:r>
          </w:p>
        </w:tc>
        <w:tc>
          <w:tcPr>
            <w:tcW w:w="4876" w:type="dxa"/>
          </w:tcPr>
          <w:p w:rsidR="0018078A" w:rsidRPr="004A7A04" w:rsidRDefault="0018078A">
            <w:pPr>
              <w:pStyle w:val="Normal6"/>
              <w:rPr>
                <w:szCs w:val="24"/>
              </w:rPr>
            </w:pPr>
          </w:p>
        </w:tc>
      </w:tr>
    </w:tbl>
    <w:p w:rsidR="0018078A" w:rsidRPr="004A7A04" w:rsidRDefault="003E6EC1" w:rsidP="0018078A">
      <w:pPr>
        <w:pStyle w:val="Olang"/>
      </w:pPr>
      <w:r w:rsidRPr="004A7A04">
        <w:t xml:space="preserve">Or. </w:t>
      </w:r>
      <w:r w:rsidRPr="004A7A04">
        <w:rPr>
          <w:rStyle w:val="HideTWBExt"/>
          <w:noProof w:val="0"/>
        </w:rPr>
        <w:t>&lt;Or</w:t>
      </w:r>
      <w:r w:rsidRPr="004A7A04">
        <w:rPr>
          <w:rStyle w:val="HideTWBExt"/>
          <w:noProof w:val="0"/>
        </w:rPr>
        <w:t>iginal&gt;</w:t>
      </w:r>
      <w:r w:rsidRPr="004A7A04">
        <w:rPr>
          <w:rStyle w:val="HideTWBInt"/>
        </w:rPr>
        <w:t>{EN}</w:t>
      </w:r>
      <w:r w:rsidRPr="004A7A04">
        <w:t>en</w:t>
      </w:r>
      <w:r w:rsidRPr="004A7A04">
        <w:rPr>
          <w:rStyle w:val="HideTWBExt"/>
          <w:noProof w:val="0"/>
        </w:rPr>
        <w:t>&lt;/Original&gt;</w:t>
      </w:r>
    </w:p>
    <w:p w:rsidR="0018078A" w:rsidRPr="004A7A04" w:rsidRDefault="003E6EC1" w:rsidP="0018078A">
      <w:pPr>
        <w:pStyle w:val="JustificationTitle"/>
        <w:rPr>
          <w:noProof w:val="0"/>
        </w:rPr>
      </w:pPr>
      <w:r w:rsidRPr="004A7A04">
        <w:rPr>
          <w:rStyle w:val="HideTWBExt"/>
          <w:i w:val="0"/>
        </w:rPr>
        <w:t>&lt;TitreJust&gt;</w:t>
      </w:r>
      <w:r w:rsidRPr="004A7A04">
        <w:t>Begrundelse</w:t>
      </w:r>
      <w:r w:rsidRPr="004A7A04">
        <w:rPr>
          <w:rStyle w:val="HideTWBExt"/>
          <w:i w:val="0"/>
        </w:rPr>
        <w:t>&lt;/TitreJust&gt;</w:t>
      </w:r>
    </w:p>
    <w:p w:rsidR="0018078A" w:rsidRPr="004A7A04" w:rsidRDefault="003E6EC1" w:rsidP="0018078A">
      <w:pPr>
        <w:pStyle w:val="Normal12Italic"/>
        <w:rPr>
          <w:noProof w:val="0"/>
        </w:rPr>
      </w:pPr>
      <w:r w:rsidRPr="004A7A04">
        <w:t>Den selvstændige forordning udgår. Nogle af bestemmelserne gengives som ændringsforslag til den eksisterende Europolforordning.</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24</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w:t>
      </w:r>
      <w:r w:rsidRPr="004A7A04">
        <w:t xml:space="preserve">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Artikel 8</w:t>
      </w:r>
      <w:r w:rsidRPr="004A7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hideMark/>
          </w:tcPr>
          <w:p w:rsidR="0018078A" w:rsidRPr="004A7A04" w:rsidRDefault="003E6EC1">
            <w:pPr>
              <w:pStyle w:val="Normal6"/>
              <w:jc w:val="center"/>
            </w:pPr>
            <w:r w:rsidRPr="004A7A04">
              <w:rPr>
                <w:b/>
                <w:i/>
              </w:rPr>
              <w:t>Artikel 8</w:t>
            </w:r>
          </w:p>
        </w:tc>
        <w:tc>
          <w:tcPr>
            <w:tcW w:w="4876" w:type="dxa"/>
            <w:hideMark/>
          </w:tcPr>
          <w:p w:rsidR="0018078A" w:rsidRPr="004A7A04" w:rsidRDefault="003E6EC1">
            <w:pPr>
              <w:pStyle w:val="Normal6"/>
              <w:rPr>
                <w:szCs w:val="24"/>
              </w:rPr>
            </w:pPr>
            <w:r w:rsidRPr="004A7A04">
              <w:rPr>
                <w:b/>
                <w:i/>
              </w:rPr>
              <w:t>udgår</w:t>
            </w:r>
          </w:p>
        </w:tc>
      </w:tr>
      <w:tr w:rsidR="00502EA6" w:rsidRPr="004A7A04" w:rsidTr="0018078A">
        <w:trPr>
          <w:jc w:val="center"/>
        </w:trPr>
        <w:tc>
          <w:tcPr>
            <w:tcW w:w="4876" w:type="dxa"/>
            <w:hideMark/>
          </w:tcPr>
          <w:p w:rsidR="0018078A" w:rsidRPr="004A7A04" w:rsidRDefault="003E6EC1">
            <w:pPr>
              <w:pStyle w:val="Normal6"/>
              <w:jc w:val="center"/>
            </w:pPr>
            <w:r w:rsidRPr="004A7A04">
              <w:rPr>
                <w:b/>
                <w:i/>
              </w:rPr>
              <w:t>Videregivelse af oplysninger om strafbare handlinger vedrørende smugling af migranter og menneskehandel til Europol og medlemsstaterne</w:t>
            </w:r>
          </w:p>
        </w:tc>
        <w:tc>
          <w:tcPr>
            <w:tcW w:w="4876" w:type="dxa"/>
          </w:tcPr>
          <w:p w:rsidR="0018078A" w:rsidRPr="004A7A04" w:rsidRDefault="0018078A">
            <w:pPr>
              <w:pStyle w:val="Normal6"/>
              <w:rPr>
                <w:szCs w:val="24"/>
              </w:rPr>
            </w:pPr>
          </w:p>
        </w:tc>
      </w:tr>
      <w:tr w:rsidR="00502EA6" w:rsidRPr="004A7A04" w:rsidTr="0018078A">
        <w:trPr>
          <w:jc w:val="center"/>
        </w:trPr>
        <w:tc>
          <w:tcPr>
            <w:tcW w:w="4876" w:type="dxa"/>
            <w:hideMark/>
          </w:tcPr>
          <w:p w:rsidR="0018078A" w:rsidRPr="004A7A04" w:rsidRDefault="003E6EC1">
            <w:pPr>
              <w:pStyle w:val="Normal6"/>
            </w:pPr>
            <w:r w:rsidRPr="004A7A04">
              <w:rPr>
                <w:b/>
                <w:i/>
              </w:rPr>
              <w:t>1.</w:t>
            </w:r>
            <w:r w:rsidRPr="004A7A04">
              <w:rPr>
                <w:b/>
                <w:i/>
              </w:rPr>
              <w:tab/>
            </w:r>
            <w:r w:rsidRPr="004A7A04">
              <w:rPr>
                <w:b/>
                <w:i/>
              </w:rPr>
              <w:t>Hver medlemsstat stiller i overensstemmelse med forordning (EU) 2016/794 de oplysninger om strafbare handlinger vedrørende smugling af migranter og menneskehandel til rådighed for Europol, som medlemsstatens kompetente myndigheder er i besiddelse af.</w:t>
            </w:r>
          </w:p>
        </w:tc>
        <w:tc>
          <w:tcPr>
            <w:tcW w:w="4876" w:type="dxa"/>
          </w:tcPr>
          <w:p w:rsidR="0018078A" w:rsidRPr="004A7A04" w:rsidRDefault="0018078A">
            <w:pPr>
              <w:pStyle w:val="Normal6"/>
              <w:rPr>
                <w:szCs w:val="24"/>
              </w:rPr>
            </w:pPr>
          </w:p>
        </w:tc>
      </w:tr>
      <w:tr w:rsidR="00502EA6" w:rsidRPr="004A7A04" w:rsidTr="0018078A">
        <w:trPr>
          <w:jc w:val="center"/>
        </w:trPr>
        <w:tc>
          <w:tcPr>
            <w:tcW w:w="4876" w:type="dxa"/>
            <w:hideMark/>
          </w:tcPr>
          <w:p w:rsidR="0018078A" w:rsidRPr="004A7A04" w:rsidRDefault="003E6EC1">
            <w:pPr>
              <w:pStyle w:val="Normal6"/>
            </w:pPr>
            <w:r w:rsidRPr="004A7A04">
              <w:rPr>
                <w:b/>
                <w:i/>
              </w:rPr>
              <w:t>2.</w:t>
            </w:r>
            <w:r w:rsidRPr="004A7A04">
              <w:rPr>
                <w:b/>
                <w:i/>
              </w:rPr>
              <w:tab/>
            </w:r>
            <w:r w:rsidRPr="004A7A04">
              <w:rPr>
                <w:b/>
                <w:i/>
              </w:rPr>
              <w:t>Hver medlemsstat stiller rettidigt de oplysninger, der er omhandlet i denne artikels stk. 1, til rådighed for Europol.</w:t>
            </w:r>
          </w:p>
        </w:tc>
        <w:tc>
          <w:tcPr>
            <w:tcW w:w="4876" w:type="dxa"/>
          </w:tcPr>
          <w:p w:rsidR="0018078A" w:rsidRPr="004A7A04" w:rsidRDefault="0018078A">
            <w:pPr>
              <w:pStyle w:val="Normal6"/>
              <w:rPr>
                <w:szCs w:val="24"/>
              </w:rPr>
            </w:pPr>
          </w:p>
        </w:tc>
      </w:tr>
      <w:tr w:rsidR="00502EA6" w:rsidRPr="004A7A04" w:rsidTr="0018078A">
        <w:trPr>
          <w:jc w:val="center"/>
        </w:trPr>
        <w:tc>
          <w:tcPr>
            <w:tcW w:w="4876" w:type="dxa"/>
            <w:hideMark/>
          </w:tcPr>
          <w:p w:rsidR="0018078A" w:rsidRPr="004A7A04" w:rsidRDefault="003E6EC1">
            <w:pPr>
              <w:pStyle w:val="Normal6"/>
            </w:pPr>
            <w:r w:rsidRPr="004A7A04">
              <w:rPr>
                <w:b/>
                <w:i/>
              </w:rPr>
              <w:t>3.</w:t>
            </w:r>
            <w:r w:rsidRPr="004A7A04">
              <w:rPr>
                <w:b/>
                <w:i/>
              </w:rPr>
              <w:tab/>
              <w:t xml:space="preserve">Hver medlemsstat stiller de oplysninger til rådighed for de øvrige medlemsstater og samtidig Europol, som medlemsstatens kompetente </w:t>
            </w:r>
            <w:r w:rsidRPr="004A7A04">
              <w:rPr>
                <w:b/>
                <w:i/>
              </w:rPr>
              <w:t>myndigheder er i besiddelse af, og som angår strafbare handlinger vedrørende smugling af migranter og menneskehandel, hvis der er objektive grunde til at antage, at disse oplysninger kan være relevante for disse andre medlemsstater med henblik på at foreby</w:t>
            </w:r>
            <w:r w:rsidRPr="004A7A04">
              <w:rPr>
                <w:b/>
                <w:i/>
              </w:rPr>
              <w:t>gge, opdage eller efterforske sådanne strafbare handlinger i disse medlemsstater.</w:t>
            </w:r>
          </w:p>
        </w:tc>
        <w:tc>
          <w:tcPr>
            <w:tcW w:w="4876" w:type="dxa"/>
          </w:tcPr>
          <w:p w:rsidR="0018078A" w:rsidRPr="004A7A04" w:rsidRDefault="0018078A">
            <w:pPr>
              <w:pStyle w:val="Normal6"/>
              <w:rPr>
                <w:szCs w:val="24"/>
              </w:rPr>
            </w:pPr>
          </w:p>
        </w:tc>
      </w:tr>
      <w:tr w:rsidR="00502EA6" w:rsidRPr="004A7A04" w:rsidTr="0018078A">
        <w:trPr>
          <w:jc w:val="center"/>
        </w:trPr>
        <w:tc>
          <w:tcPr>
            <w:tcW w:w="4876" w:type="dxa"/>
            <w:hideMark/>
          </w:tcPr>
          <w:p w:rsidR="0018078A" w:rsidRPr="004A7A04" w:rsidRDefault="003E6EC1">
            <w:pPr>
              <w:pStyle w:val="Normal6"/>
            </w:pPr>
            <w:r w:rsidRPr="004A7A04">
              <w:rPr>
                <w:b/>
                <w:i/>
              </w:rPr>
              <w:t>4.</w:t>
            </w:r>
            <w:r w:rsidRPr="004A7A04">
              <w:rPr>
                <w:b/>
                <w:i/>
              </w:rPr>
              <w:tab/>
              <w:t>Hver medlemsstat anvender SIENA til at stille de oplysninger til rådighed, der er omhandlet i denne artikels stk. 3, for andre medlemsstater og Europol, jf. artikel 8, s</w:t>
            </w:r>
            <w:r w:rsidRPr="004A7A04">
              <w:rPr>
                <w:b/>
                <w:i/>
              </w:rPr>
              <w:t>tk. 4, og artikel 18, stk. 2, litra d), i forordning (EU) 2016/794.</w:t>
            </w:r>
          </w:p>
        </w:tc>
        <w:tc>
          <w:tcPr>
            <w:tcW w:w="4876" w:type="dxa"/>
          </w:tcPr>
          <w:p w:rsidR="0018078A" w:rsidRPr="004A7A04" w:rsidRDefault="0018078A">
            <w:pPr>
              <w:pStyle w:val="Normal6"/>
              <w:rPr>
                <w:szCs w:val="24"/>
              </w:rPr>
            </w:pPr>
          </w:p>
        </w:tc>
      </w:tr>
      <w:tr w:rsidR="00502EA6" w:rsidRPr="004A7A04" w:rsidTr="0018078A">
        <w:trPr>
          <w:jc w:val="center"/>
        </w:trPr>
        <w:tc>
          <w:tcPr>
            <w:tcW w:w="4876" w:type="dxa"/>
            <w:hideMark/>
          </w:tcPr>
          <w:p w:rsidR="0018078A" w:rsidRPr="004A7A04" w:rsidRDefault="003E6EC1">
            <w:pPr>
              <w:pStyle w:val="Normal6"/>
            </w:pPr>
            <w:r w:rsidRPr="004A7A04">
              <w:rPr>
                <w:b/>
                <w:i/>
              </w:rPr>
              <w:t>5.</w:t>
            </w:r>
            <w:r w:rsidRPr="004A7A04">
              <w:rPr>
                <w:b/>
                <w:i/>
              </w:rPr>
              <w:tab/>
              <w:t>Hver medlemsstat forbinder sine indvandringsforbindelsesofficerer med SIENA. Hvis det af bydende nødvendige tekniske årsager i forbindelse med situationen i det tredjeland, hvori vedk</w:t>
            </w:r>
            <w:r w:rsidRPr="004A7A04">
              <w:rPr>
                <w:b/>
                <w:i/>
              </w:rPr>
              <w:t>ommende er indsat, ikke er muligt at forbinde en indvandringsforbindelsesofficer til SIENA, fremsender den pågældende indvandringsforbindelsesofficer de oplysninger, der er omhandlet i stk. 1, til en national kompetent myndighed via andre sikre kanaler. De</w:t>
            </w:r>
            <w:r w:rsidRPr="004A7A04">
              <w:rPr>
                <w:b/>
                <w:i/>
              </w:rPr>
              <w:t>nne kompetente myndighed stiller direkte eller gennem den nationale Europolenhed oplysningerne til rådighed for Europol ved hjælp af SIENA.</w:t>
            </w:r>
          </w:p>
        </w:tc>
        <w:tc>
          <w:tcPr>
            <w:tcW w:w="4876" w:type="dxa"/>
          </w:tcPr>
          <w:p w:rsidR="0018078A" w:rsidRPr="004A7A04" w:rsidRDefault="0018078A">
            <w:pPr>
              <w:pStyle w:val="Normal6"/>
              <w:rPr>
                <w:szCs w:val="24"/>
              </w:rPr>
            </w:pP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pPr>
        <w:pStyle w:val="JustificationTitle"/>
        <w:rPr>
          <w:noProof w:val="0"/>
        </w:rPr>
      </w:pPr>
      <w:r w:rsidRPr="004A7A04">
        <w:rPr>
          <w:rStyle w:val="HideTWBExt"/>
          <w:i w:val="0"/>
        </w:rPr>
        <w:t>&lt;TitreJust&gt;</w:t>
      </w:r>
      <w:r w:rsidRPr="004A7A04">
        <w:t>Begrundelse</w:t>
      </w:r>
      <w:r w:rsidRPr="004A7A04">
        <w:rPr>
          <w:rStyle w:val="HideTWBExt"/>
          <w:i w:val="0"/>
        </w:rPr>
        <w:t>&lt;/TitreJust&gt;</w:t>
      </w:r>
    </w:p>
    <w:p w:rsidR="0018078A" w:rsidRPr="004A7A04" w:rsidRDefault="003E6EC1" w:rsidP="0018078A">
      <w:pPr>
        <w:pStyle w:val="Normal12Italic"/>
        <w:rPr>
          <w:noProof w:val="0"/>
        </w:rPr>
      </w:pPr>
      <w:r w:rsidRPr="004A7A04">
        <w:t>Den selvstændige forordning udgår. Nogle af bes</w:t>
      </w:r>
      <w:r w:rsidRPr="004A7A04">
        <w:t>temmelserne gengives som ændringsforslag til den eksisterende Europolforordning.</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25</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Artikel 9 – stk. 1 – nr. 1</w:t>
      </w:r>
      <w:r w:rsidRPr="004A7A04">
        <w:rPr>
          <w:rStyle w:val="HideTWBExt"/>
          <w:b w:val="0"/>
        </w:rPr>
        <w:t>&lt;/Article&gt;</w:t>
      </w:r>
    </w:p>
    <w:p w:rsidR="0018078A" w:rsidRPr="004A7A04" w:rsidRDefault="003E6EC1" w:rsidP="0018078A">
      <w:pPr>
        <w:keepNext/>
      </w:pPr>
      <w:r w:rsidRPr="004A7A04">
        <w:rPr>
          <w:rStyle w:val="HideTWBExt"/>
        </w:rPr>
        <w:t>&lt;DocAmend2&gt;</w:t>
      </w:r>
      <w:r w:rsidRPr="004A7A04">
        <w:t xml:space="preserve">Forordning </w:t>
      </w:r>
      <w:r w:rsidRPr="004A7A04">
        <w:t>(EU) 2016/794</w:t>
      </w:r>
      <w:r w:rsidRPr="004A7A04">
        <w:rPr>
          <w:rStyle w:val="HideTWBExt"/>
        </w:rPr>
        <w:t>&lt;/DocAmend2&gt;</w:t>
      </w:r>
    </w:p>
    <w:p w:rsidR="0018078A" w:rsidRPr="004A7A04" w:rsidRDefault="003E6EC1" w:rsidP="0018078A">
      <w:r w:rsidRPr="004A7A04">
        <w:rPr>
          <w:rStyle w:val="HideTWBExt"/>
        </w:rPr>
        <w:t>&lt;Article2&gt;</w:t>
      </w:r>
      <w:r w:rsidRPr="004A7A04">
        <w:t>Artikel 2 – stk. 1 – litra y</w:t>
      </w:r>
      <w:r w:rsidRPr="004A7A0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hideMark/>
          </w:tcPr>
          <w:p w:rsidR="0018078A" w:rsidRPr="004A7A04" w:rsidRDefault="003E6EC1">
            <w:pPr>
              <w:pStyle w:val="Normal6"/>
            </w:pPr>
            <w:r w:rsidRPr="004A7A04">
              <w:t>y)</w:t>
            </w:r>
            <w:r w:rsidRPr="004A7A04">
              <w:tab/>
              <w:t xml:space="preserve">"indsættelse af Europol med henblik på operationel støtte": indsættelse af Europolpersonale eller udstationerede nationale eksperter på </w:t>
            </w:r>
            <w:r w:rsidRPr="004A7A04">
              <w:t>en medlemsstats område efter anmodning fra den pågældende medlemsstat for at yde analytisk, operationel, teknisk og kriminalteknisk støtte i samarbejde og efter aftale med den pågældende medlemsstats kompetente myndigheder."</w:t>
            </w:r>
          </w:p>
        </w:tc>
        <w:tc>
          <w:tcPr>
            <w:tcW w:w="4876" w:type="dxa"/>
            <w:hideMark/>
          </w:tcPr>
          <w:p w:rsidR="0018078A" w:rsidRPr="004A7A04" w:rsidRDefault="003E6EC1">
            <w:pPr>
              <w:pStyle w:val="Normal6"/>
              <w:rPr>
                <w:szCs w:val="24"/>
              </w:rPr>
            </w:pPr>
            <w:r w:rsidRPr="004A7A04">
              <w:t>y)</w:t>
            </w:r>
            <w:r w:rsidRPr="004A7A04">
              <w:tab/>
              <w:t xml:space="preserve">"indsættelse af Europol med </w:t>
            </w:r>
            <w:r w:rsidRPr="004A7A04">
              <w:t xml:space="preserve">henblik på operationel støtte": indsættelse af Europolpersonale eller udstationerede nationale eksperter på en medlemsstats </w:t>
            </w:r>
            <w:r w:rsidRPr="004A7A04">
              <w:rPr>
                <w:b/>
                <w:i/>
              </w:rPr>
              <w:t xml:space="preserve">eller et tredjelands </w:t>
            </w:r>
            <w:r w:rsidRPr="004A7A04">
              <w:t xml:space="preserve">område efter anmodning fra den pågældende medlemsstat </w:t>
            </w:r>
            <w:r w:rsidRPr="004A7A04">
              <w:rPr>
                <w:b/>
                <w:i/>
              </w:rPr>
              <w:t>eller det pågældende tredjeland eller efter forslag fra d</w:t>
            </w:r>
            <w:r w:rsidRPr="004A7A04">
              <w:rPr>
                <w:b/>
                <w:i/>
              </w:rPr>
              <w:t xml:space="preserve">en administrerende direktør </w:t>
            </w:r>
            <w:r w:rsidRPr="004A7A04">
              <w:t xml:space="preserve">for at yde analytisk, operationel, teknisk og kriminalteknisk støtte i samarbejde og efter aftale med den pågældende medlemsstats </w:t>
            </w:r>
            <w:r w:rsidRPr="004A7A04">
              <w:rPr>
                <w:b/>
                <w:i/>
              </w:rPr>
              <w:t xml:space="preserve">eller det pågældende tredjelands </w:t>
            </w:r>
            <w:r w:rsidRPr="004A7A04">
              <w:t>kompetente myndigheder</w:t>
            </w:r>
            <w:r w:rsidRPr="004A7A04">
              <w:rPr>
                <w:b/>
                <w:i/>
              </w:rPr>
              <w:t xml:space="preserve"> og med tilladelse fra den administrerende </w:t>
            </w:r>
            <w:r w:rsidRPr="004A7A04">
              <w:rPr>
                <w:b/>
                <w:i/>
              </w:rPr>
              <w:t>direktør</w:t>
            </w:r>
            <w:r w:rsidRPr="004A7A04">
              <w:t>."</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26</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Artikel 9 – stk. 1 – nr. 1</w:t>
      </w:r>
      <w:r w:rsidRPr="004A7A04">
        <w:rPr>
          <w:rStyle w:val="HideTWBExt"/>
          <w:b w:val="0"/>
        </w:rPr>
        <w:t>&lt;/Article&gt;</w:t>
      </w:r>
    </w:p>
    <w:p w:rsidR="0018078A" w:rsidRPr="004A7A04" w:rsidRDefault="003E6EC1" w:rsidP="0018078A">
      <w:pPr>
        <w:keepNext/>
      </w:pPr>
      <w:r w:rsidRPr="004A7A04">
        <w:rPr>
          <w:rStyle w:val="HideTWBExt"/>
        </w:rPr>
        <w:t>&lt;DocAmend2&gt;</w:t>
      </w:r>
      <w:r w:rsidRPr="004A7A04">
        <w:t>Forordning (EU) 2016/794</w:t>
      </w:r>
      <w:r w:rsidRPr="004A7A04">
        <w:rPr>
          <w:rStyle w:val="HideTWBExt"/>
        </w:rPr>
        <w:t>&lt;/DocAmend2&gt;</w:t>
      </w:r>
    </w:p>
    <w:p w:rsidR="0018078A" w:rsidRPr="004A7A04" w:rsidRDefault="003E6EC1" w:rsidP="0018078A">
      <w:r w:rsidRPr="004A7A04">
        <w:rPr>
          <w:rStyle w:val="HideTWBExt"/>
        </w:rPr>
        <w:t>&lt;Article2&gt;</w:t>
      </w:r>
      <w:r w:rsidRPr="004A7A04">
        <w:t xml:space="preserve">Artikel 2 – </w:t>
      </w:r>
      <w:r w:rsidRPr="004A7A04">
        <w:t>stk. 1 – litra y a (nyt)</w:t>
      </w:r>
      <w:r w:rsidRPr="004A7A04">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D519D6">
        <w:trPr>
          <w:jc w:val="center"/>
        </w:trPr>
        <w:tc>
          <w:tcPr>
            <w:tcW w:w="9752" w:type="dxa"/>
            <w:gridSpan w:val="2"/>
          </w:tcPr>
          <w:p w:rsidR="0018078A" w:rsidRPr="004A7A04" w:rsidRDefault="0018078A">
            <w:pPr>
              <w:keepNext/>
            </w:pPr>
          </w:p>
        </w:tc>
      </w:tr>
      <w:tr w:rsidR="00502EA6" w:rsidRPr="004A7A04" w:rsidTr="00D519D6">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D519D6">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 xml:space="preserve">"ya) "indvandringsforbindelsesofficer": en forbindelsesofficer, der er indsat i et tredjeland af en medlemsstats kompetente myndigheder i overensstemmelse med dens nationale ret </w:t>
            </w:r>
            <w:r w:rsidRPr="004A7A04">
              <w:rPr>
                <w:b/>
                <w:i/>
              </w:rPr>
              <w:t>for at håndtere indvandringsrelaterede spørgsmål, herunder når disse spørgsmål kun udgør en del af forbindelsesofficerens arbejdsopgaver."</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27</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w:t>
      </w:r>
      <w:r w:rsidRPr="004A7A04">
        <w:rPr>
          <w:rStyle w:val="HideTWBExt"/>
          <w:b w:val="0"/>
        </w:rPr>
        <w:t>/DocAmend&gt;</w:t>
      </w:r>
    </w:p>
    <w:p w:rsidR="0018078A" w:rsidRPr="004A7A04" w:rsidRDefault="003E6EC1" w:rsidP="0018078A">
      <w:pPr>
        <w:pStyle w:val="NormalBold"/>
      </w:pPr>
      <w:r w:rsidRPr="004A7A04">
        <w:rPr>
          <w:rStyle w:val="HideTWBExt"/>
          <w:b w:val="0"/>
        </w:rPr>
        <w:t>&lt;Article&gt;</w:t>
      </w:r>
      <w:r w:rsidRPr="004A7A04">
        <w:t>Artikel 9 – stk. 1 – nr. 2 – litra a – nr. iii</w:t>
      </w:r>
      <w:r w:rsidRPr="004A7A04">
        <w:rPr>
          <w:rStyle w:val="HideTWBExt"/>
          <w:b w:val="0"/>
        </w:rPr>
        <w:t>&lt;/Article&gt;</w:t>
      </w:r>
    </w:p>
    <w:p w:rsidR="0018078A" w:rsidRPr="004A7A04" w:rsidRDefault="003E6EC1" w:rsidP="0018078A">
      <w:pPr>
        <w:keepNext/>
      </w:pPr>
      <w:r w:rsidRPr="004A7A04">
        <w:rPr>
          <w:rStyle w:val="HideTWBExt"/>
        </w:rPr>
        <w:t>&lt;DocAmend2&gt;</w:t>
      </w:r>
      <w:r w:rsidRPr="004A7A04">
        <w:t>Forordning (EU) 2016/794</w:t>
      </w:r>
      <w:r w:rsidRPr="004A7A04">
        <w:rPr>
          <w:rStyle w:val="HideTWBExt"/>
        </w:rPr>
        <w:t>&lt;/DocAmend2&gt;</w:t>
      </w:r>
    </w:p>
    <w:p w:rsidR="0018078A" w:rsidRPr="004A7A04" w:rsidRDefault="003E6EC1" w:rsidP="0018078A">
      <w:r w:rsidRPr="004A7A04">
        <w:rPr>
          <w:rStyle w:val="HideTWBExt"/>
        </w:rPr>
        <w:t>&lt;Article2&gt;</w:t>
      </w:r>
      <w:r w:rsidRPr="004A7A04">
        <w:t>Artikel 4 – stk. 1 – litra l</w:t>
      </w:r>
      <w:r w:rsidRPr="004A7A0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hideMark/>
          </w:tcPr>
          <w:p w:rsidR="0018078A" w:rsidRPr="004A7A04" w:rsidRDefault="003E6EC1">
            <w:pPr>
              <w:pStyle w:val="Normal6"/>
            </w:pPr>
            <w:r w:rsidRPr="004A7A04">
              <w:t>l)</w:t>
            </w:r>
            <w:r w:rsidRPr="004A7A04">
              <w:tab/>
            </w:r>
            <w:r w:rsidRPr="004A7A04">
              <w:t xml:space="preserve">udvikle specialiserede EU-ekspertisecentre til bekæmpelse af visse former for kriminalitet, der er omfattet af Europols målsætninger, herunder Det Europæiske Center for Bekæmpelse af Cyberkriminalitet og, i overensstemmelse med </w:t>
            </w:r>
            <w:r w:rsidRPr="004A7A04">
              <w:rPr>
                <w:b/>
                <w:i/>
              </w:rPr>
              <w:t>Europa-Parlamentets og Rådet</w:t>
            </w:r>
            <w:r w:rsidRPr="004A7A04">
              <w:rPr>
                <w:b/>
                <w:i/>
              </w:rPr>
              <w:t>s forordning (EU).../...* [forordning om bekæmpelse af smugling af migranter]</w:t>
            </w:r>
            <w:r w:rsidRPr="004A7A04">
              <w:t>, Det Europæiske Center for Bekæmpelse af Migrantsmugling</w:t>
            </w:r>
          </w:p>
        </w:tc>
        <w:tc>
          <w:tcPr>
            <w:tcW w:w="4876" w:type="dxa"/>
            <w:hideMark/>
          </w:tcPr>
          <w:p w:rsidR="0018078A" w:rsidRPr="004A7A04" w:rsidRDefault="003E6EC1">
            <w:pPr>
              <w:pStyle w:val="Normal6"/>
              <w:rPr>
                <w:szCs w:val="24"/>
              </w:rPr>
            </w:pPr>
            <w:r w:rsidRPr="004A7A04">
              <w:t>l)</w:t>
            </w:r>
            <w:r w:rsidRPr="004A7A04">
              <w:tab/>
            </w:r>
            <w:r w:rsidRPr="004A7A04">
              <w:t xml:space="preserve">udvikle specialiserede EU-ekspertisecentre til bekæmpelse af visse former for kriminalitet, der er omfattet af Europols målsætninger, herunder Det Europæiske Center for Bekæmpelse af Cyberkriminalitet og, i overensstemmelse med </w:t>
            </w:r>
            <w:r w:rsidRPr="004A7A04">
              <w:rPr>
                <w:b/>
                <w:i/>
              </w:rPr>
              <w:t>artikel 16a</w:t>
            </w:r>
            <w:r w:rsidRPr="004A7A04">
              <w:t xml:space="preserve">, Det Europæiske </w:t>
            </w:r>
            <w:r w:rsidRPr="004A7A04">
              <w:t>Center for Bekæmpelse af Migrantsmugling</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pPr>
        <w:pStyle w:val="JustificationTitle"/>
        <w:rPr>
          <w:noProof w:val="0"/>
        </w:rPr>
      </w:pPr>
      <w:r w:rsidRPr="004A7A04">
        <w:rPr>
          <w:rStyle w:val="HideTWBExt"/>
          <w:i w:val="0"/>
        </w:rPr>
        <w:t>&lt;TitreJust&gt;</w:t>
      </w:r>
      <w:r w:rsidRPr="004A7A04">
        <w:t>Begrundelse</w:t>
      </w:r>
      <w:r w:rsidRPr="004A7A04">
        <w:rPr>
          <w:rStyle w:val="HideTWBExt"/>
          <w:i w:val="0"/>
        </w:rPr>
        <w:t>&lt;/TitreJust&gt;</w:t>
      </w:r>
    </w:p>
    <w:p w:rsidR="0018078A" w:rsidRPr="004A7A04" w:rsidRDefault="003E6EC1" w:rsidP="0018078A">
      <w:pPr>
        <w:pStyle w:val="Normal12Italic"/>
        <w:rPr>
          <w:noProof w:val="0"/>
        </w:rPr>
      </w:pPr>
      <w:r w:rsidRPr="004A7A04">
        <w:t>Konsekvens af, at den selvstændige forordning udgår, og at artikel 16a tilføjes.</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28</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w:t>
      </w:r>
      <w:r w:rsidRPr="004A7A04">
        <w:t>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Artikel 9 – stk. 1 – nr. 2 – litra a – nr. iv a (nyt)</w:t>
      </w:r>
      <w:r w:rsidRPr="004A7A04">
        <w:rPr>
          <w:rStyle w:val="HideTWBExt"/>
          <w:b w:val="0"/>
        </w:rPr>
        <w:t>&lt;/Article&gt;</w:t>
      </w:r>
    </w:p>
    <w:p w:rsidR="0018078A" w:rsidRPr="004A7A04" w:rsidRDefault="003E6EC1" w:rsidP="0018078A">
      <w:pPr>
        <w:keepNext/>
      </w:pPr>
      <w:r w:rsidRPr="004A7A04">
        <w:rPr>
          <w:rStyle w:val="HideTWBExt"/>
        </w:rPr>
        <w:t>&lt;DocAmend2&gt;</w:t>
      </w:r>
      <w:r w:rsidRPr="004A7A04">
        <w:t>Forordning (EU) 2016/794</w:t>
      </w:r>
      <w:r w:rsidRPr="004A7A04">
        <w:rPr>
          <w:rStyle w:val="HideTWBExt"/>
        </w:rPr>
        <w:t>&lt;/DocAmend2&gt;</w:t>
      </w:r>
    </w:p>
    <w:p w:rsidR="0018078A" w:rsidRPr="004A7A04" w:rsidRDefault="003E6EC1" w:rsidP="0018078A">
      <w:r w:rsidRPr="004A7A04">
        <w:rPr>
          <w:rStyle w:val="HideTWBExt"/>
        </w:rPr>
        <w:t>&lt;Article2&gt;</w:t>
      </w:r>
      <w:r w:rsidRPr="004A7A04">
        <w:t>Artikel 4 – stk. 1 – litra y a (nyt)</w:t>
      </w:r>
      <w:r w:rsidRPr="004A7A0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iva)</w:t>
            </w:r>
            <w:r w:rsidRPr="004A7A04">
              <w:rPr>
                <w:b/>
                <w:i/>
              </w:rPr>
              <w:tab/>
            </w:r>
            <w:r w:rsidRPr="004A7A04">
              <w:rPr>
                <w:b/>
                <w:i/>
              </w:rPr>
              <w:t>Følgende litra indsættes:</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 xml:space="preserve">"ya) </w:t>
            </w:r>
            <w:r w:rsidRPr="004A7A04">
              <w:rPr>
                <w:b/>
                <w:i/>
              </w:rPr>
              <w:tab/>
              <w:t xml:space="preserve">samarbejde med medlemsstaternes kompetente myndigheder, herunder gennem oprettelse af uformelle netværk, for at bekæmpe onlinedimensionen af smugling af migranter og menneskehandel, herunder online facilitering eller </w:t>
            </w:r>
            <w:r w:rsidRPr="004A7A04">
              <w:rPr>
                <w:b/>
                <w:i/>
              </w:rPr>
              <w:t>offentlig ansporing"</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29</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Artikel 9 – stk. 1 – nr. 2 – litra a – nr. v</w:t>
      </w:r>
      <w:r w:rsidRPr="004A7A04">
        <w:rPr>
          <w:rStyle w:val="HideTWBExt"/>
          <w:b w:val="0"/>
        </w:rPr>
        <w:t>&lt;/Article&gt;</w:t>
      </w:r>
    </w:p>
    <w:p w:rsidR="0018078A" w:rsidRPr="004A7A04" w:rsidRDefault="003E6EC1" w:rsidP="0018078A">
      <w:pPr>
        <w:keepNext/>
      </w:pPr>
      <w:r w:rsidRPr="004A7A04">
        <w:rPr>
          <w:rStyle w:val="HideTWBExt"/>
        </w:rPr>
        <w:t>&lt;DocAmend2&gt;</w:t>
      </w:r>
      <w:r w:rsidRPr="004A7A04">
        <w:t>Forordning (EU) 2016/794</w:t>
      </w:r>
      <w:r w:rsidRPr="004A7A04">
        <w:rPr>
          <w:rStyle w:val="HideTWBExt"/>
        </w:rPr>
        <w:t>&lt;/DocAme</w:t>
      </w:r>
      <w:r w:rsidRPr="004A7A04">
        <w:rPr>
          <w:rStyle w:val="HideTWBExt"/>
        </w:rPr>
        <w:t>nd2&gt;</w:t>
      </w:r>
    </w:p>
    <w:p w:rsidR="0018078A" w:rsidRPr="004A7A04" w:rsidRDefault="003E6EC1" w:rsidP="0018078A">
      <w:r w:rsidRPr="004A7A04">
        <w:rPr>
          <w:rStyle w:val="HideTWBExt"/>
        </w:rPr>
        <w:t>&lt;Article2&gt;</w:t>
      </w:r>
      <w:r w:rsidRPr="004A7A04">
        <w:t>Artikel 4 – stk. 1 – litra za</w:t>
      </w:r>
      <w:r w:rsidRPr="004A7A0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hideMark/>
          </w:tcPr>
          <w:p w:rsidR="0018078A" w:rsidRPr="004A7A04" w:rsidRDefault="003E6EC1">
            <w:pPr>
              <w:pStyle w:val="Normal6"/>
            </w:pPr>
            <w:r w:rsidRPr="004A7A04">
              <w:t>za)</w:t>
            </w:r>
            <w:r w:rsidRPr="004A7A04">
              <w:tab/>
              <w:t>støtte medlemsstaterne med effektiv og virkningsfuld behandling af biometriske data.</w:t>
            </w:r>
          </w:p>
        </w:tc>
        <w:tc>
          <w:tcPr>
            <w:tcW w:w="4876" w:type="dxa"/>
            <w:hideMark/>
          </w:tcPr>
          <w:p w:rsidR="0018078A" w:rsidRPr="004A7A04" w:rsidRDefault="003E6EC1">
            <w:pPr>
              <w:pStyle w:val="Normal6"/>
              <w:rPr>
                <w:szCs w:val="24"/>
              </w:rPr>
            </w:pPr>
            <w:r w:rsidRPr="004A7A04">
              <w:t>za)</w:t>
            </w:r>
            <w:r w:rsidRPr="004A7A04">
              <w:tab/>
              <w:t>støtte medlemsstaterne</w:t>
            </w:r>
            <w:r w:rsidRPr="004A7A04">
              <w:rPr>
                <w:b/>
                <w:i/>
              </w:rPr>
              <w:t xml:space="preserve">, herunder gennem udvikling af avancerede </w:t>
            </w:r>
            <w:r w:rsidRPr="004A7A04">
              <w:rPr>
                <w:b/>
                <w:i/>
              </w:rPr>
              <w:t>værktøjer,</w:t>
            </w:r>
            <w:r w:rsidRPr="004A7A04">
              <w:t xml:space="preserve"> med effektiv og virkningsfuld behandling af biometriske data</w:t>
            </w:r>
            <w:r w:rsidRPr="004A7A04">
              <w:rPr>
                <w:b/>
                <w:i/>
              </w:rPr>
              <w:t>, herunder fingeraftryksoplysninger, ansigtsbilleder og DNA-profiler</w:t>
            </w:r>
            <w:r w:rsidRPr="004A7A04">
              <w:t>.</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30</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 xml:space="preserve">Forslag til </w:t>
      </w:r>
      <w:r w:rsidRPr="004A7A04">
        <w:t>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Artikel 9 – stk. 1 – nr. 3</w:t>
      </w:r>
      <w:r w:rsidRPr="004A7A04">
        <w:rPr>
          <w:rStyle w:val="HideTWBExt"/>
          <w:b w:val="0"/>
        </w:rPr>
        <w:t>&lt;/Article&gt;</w:t>
      </w:r>
    </w:p>
    <w:p w:rsidR="0018078A" w:rsidRPr="004A7A04" w:rsidRDefault="003E6EC1" w:rsidP="0018078A">
      <w:pPr>
        <w:keepNext/>
      </w:pPr>
      <w:r w:rsidRPr="004A7A04">
        <w:rPr>
          <w:rStyle w:val="HideTWBExt"/>
        </w:rPr>
        <w:t>&lt;DocAmend2&gt;</w:t>
      </w:r>
      <w:r w:rsidRPr="004A7A04">
        <w:t>Forordning (EU) 2016/794</w:t>
      </w:r>
      <w:r w:rsidRPr="004A7A04">
        <w:rPr>
          <w:rStyle w:val="HideTWBExt"/>
        </w:rPr>
        <w:t>&lt;/DocAmend2&gt;</w:t>
      </w:r>
    </w:p>
    <w:p w:rsidR="0018078A" w:rsidRPr="004A7A04" w:rsidRDefault="003E6EC1" w:rsidP="0018078A">
      <w:r w:rsidRPr="004A7A04">
        <w:rPr>
          <w:rStyle w:val="HideTWBExt"/>
        </w:rPr>
        <w:t>&lt;Article2&gt;</w:t>
      </w:r>
      <w:r w:rsidRPr="004A7A04">
        <w:t>Artikel 5a – stk. 3</w:t>
      </w:r>
      <w:r w:rsidRPr="004A7A0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hideMark/>
          </w:tcPr>
          <w:p w:rsidR="0018078A" w:rsidRPr="004A7A04" w:rsidRDefault="003E6EC1">
            <w:pPr>
              <w:pStyle w:val="Normal6"/>
            </w:pPr>
            <w:r w:rsidRPr="004A7A04">
              <w:rPr>
                <w:b/>
                <w:i/>
              </w:rPr>
              <w:t>3.</w:t>
            </w:r>
            <w:r w:rsidRPr="004A7A04">
              <w:rPr>
                <w:b/>
                <w:i/>
              </w:rPr>
              <w:tab/>
              <w:t xml:space="preserve">Medlemsstaterne opretter en operationel taskforce, der </w:t>
            </w:r>
            <w:r w:rsidRPr="004A7A04">
              <w:rPr>
                <w:b/>
                <w:i/>
              </w:rPr>
              <w:t>sikrer sammenhæng og synergier inden for rammerne af den europæiske tværfaglige platform mod kriminalitetstrusler (EMPACT).</w:t>
            </w:r>
          </w:p>
        </w:tc>
        <w:tc>
          <w:tcPr>
            <w:tcW w:w="4876" w:type="dxa"/>
            <w:hideMark/>
          </w:tcPr>
          <w:p w:rsidR="0018078A" w:rsidRPr="004A7A04" w:rsidRDefault="003E6EC1">
            <w:pPr>
              <w:pStyle w:val="Normal6"/>
              <w:rPr>
                <w:szCs w:val="24"/>
              </w:rPr>
            </w:pPr>
            <w:r w:rsidRPr="004A7A04">
              <w:rPr>
                <w:b/>
                <w:i/>
              </w:rPr>
              <w:t>udgår</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pPr>
        <w:pStyle w:val="JustificationTitle"/>
        <w:rPr>
          <w:noProof w:val="0"/>
        </w:rPr>
      </w:pPr>
      <w:r w:rsidRPr="004A7A04">
        <w:rPr>
          <w:rStyle w:val="HideTWBExt"/>
          <w:i w:val="0"/>
        </w:rPr>
        <w:t>&lt;TitreJust&gt;</w:t>
      </w:r>
      <w:r w:rsidRPr="004A7A04">
        <w:t>Begrundelse</w:t>
      </w:r>
      <w:r w:rsidRPr="004A7A04">
        <w:rPr>
          <w:rStyle w:val="HideTWBExt"/>
          <w:i w:val="0"/>
        </w:rPr>
        <w:t>&lt;/TitreJust&gt;</w:t>
      </w:r>
    </w:p>
    <w:p w:rsidR="0018078A" w:rsidRPr="004A7A04" w:rsidRDefault="003E6EC1" w:rsidP="0018078A">
      <w:pPr>
        <w:pStyle w:val="Normal12Italic"/>
        <w:rPr>
          <w:noProof w:val="0"/>
        </w:rPr>
      </w:pPr>
      <w:r w:rsidRPr="004A7A04">
        <w:t xml:space="preserve">Udgår for at undgå overdreven regulering og sikre større </w:t>
      </w:r>
      <w:r w:rsidRPr="004A7A04">
        <w:t>fleksibilitet i de operationelle taskforcer. Det foreslås, at bestyrelsen på grundlag af et forslag fra den administrerende direktør får større råderum til at træffe afgørelse om detaljerne i gennemførelsen af den operationelle taskforce (stk. 8).</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31</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Artikel 9 – stk. 1 – nr. 3</w:t>
      </w:r>
      <w:r w:rsidRPr="004A7A04">
        <w:rPr>
          <w:rStyle w:val="HideTWBExt"/>
          <w:b w:val="0"/>
        </w:rPr>
        <w:t>&lt;/Article&gt;</w:t>
      </w:r>
    </w:p>
    <w:p w:rsidR="0018078A" w:rsidRPr="004A7A04" w:rsidRDefault="003E6EC1" w:rsidP="0018078A">
      <w:pPr>
        <w:keepNext/>
      </w:pPr>
      <w:r w:rsidRPr="004A7A04">
        <w:rPr>
          <w:rStyle w:val="HideTWBExt"/>
        </w:rPr>
        <w:t>&lt;DocAmend2&gt;</w:t>
      </w:r>
      <w:r w:rsidRPr="004A7A04">
        <w:t>Forordning (EU) 2016/794</w:t>
      </w:r>
      <w:r w:rsidRPr="004A7A04">
        <w:rPr>
          <w:rStyle w:val="HideTWBExt"/>
        </w:rPr>
        <w:t>&lt;/DocAmend2&gt;</w:t>
      </w:r>
    </w:p>
    <w:p w:rsidR="0018078A" w:rsidRPr="004A7A04" w:rsidRDefault="003E6EC1" w:rsidP="0018078A">
      <w:r w:rsidRPr="004A7A04">
        <w:rPr>
          <w:rStyle w:val="HideTWBExt"/>
        </w:rPr>
        <w:t>&lt;Article2&gt;</w:t>
      </w:r>
      <w:r w:rsidRPr="004A7A04">
        <w:t>Artikel 5a – stk. 4</w:t>
      </w:r>
      <w:r w:rsidRPr="004A7A0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hideMark/>
          </w:tcPr>
          <w:p w:rsidR="0018078A" w:rsidRPr="004A7A04" w:rsidRDefault="003E6EC1">
            <w:pPr>
              <w:pStyle w:val="Normal6"/>
            </w:pPr>
            <w:r w:rsidRPr="004A7A04">
              <w:rPr>
                <w:b/>
                <w:i/>
              </w:rPr>
              <w:t>4.</w:t>
            </w:r>
            <w:r w:rsidRPr="004A7A04">
              <w:rPr>
                <w:b/>
                <w:i/>
              </w:rPr>
              <w:tab/>
              <w:t xml:space="preserve">De medlemsstater, der opretter en operationel taskforce, kan beslutte at indbyde andre medlemsstater, tredjelande og andre partnere, der er omhandlet i artikel 23, til at deltage i eller støtte den operationelle taskforce. Tredjelandes </w:t>
            </w:r>
            <w:r w:rsidRPr="004A7A04">
              <w:rPr>
                <w:b/>
                <w:i/>
              </w:rPr>
              <w:t>og andre partneres deltagelse i den operationelle taskforce finder sted i overensstemmelse med denne forordning.</w:t>
            </w:r>
          </w:p>
        </w:tc>
        <w:tc>
          <w:tcPr>
            <w:tcW w:w="4876" w:type="dxa"/>
            <w:hideMark/>
          </w:tcPr>
          <w:p w:rsidR="0018078A" w:rsidRPr="004A7A04" w:rsidRDefault="003E6EC1">
            <w:pPr>
              <w:pStyle w:val="Normal6"/>
              <w:rPr>
                <w:szCs w:val="24"/>
              </w:rPr>
            </w:pPr>
            <w:r w:rsidRPr="004A7A04">
              <w:rPr>
                <w:b/>
                <w:i/>
              </w:rPr>
              <w:t>udgår</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pPr>
        <w:pStyle w:val="JustificationTitle"/>
        <w:rPr>
          <w:noProof w:val="0"/>
        </w:rPr>
      </w:pPr>
      <w:r w:rsidRPr="004A7A04">
        <w:rPr>
          <w:rStyle w:val="HideTWBExt"/>
          <w:i w:val="0"/>
        </w:rPr>
        <w:t>&lt;TitreJust&gt;</w:t>
      </w:r>
      <w:r w:rsidRPr="004A7A04">
        <w:t>Begrundelse</w:t>
      </w:r>
      <w:r w:rsidRPr="004A7A04">
        <w:rPr>
          <w:rStyle w:val="HideTWBExt"/>
          <w:i w:val="0"/>
        </w:rPr>
        <w:t>&lt;/TitreJust&gt;</w:t>
      </w:r>
    </w:p>
    <w:p w:rsidR="0018078A" w:rsidRPr="004A7A04" w:rsidRDefault="003E6EC1" w:rsidP="0018078A">
      <w:pPr>
        <w:pStyle w:val="Normal12Italic"/>
        <w:rPr>
          <w:noProof w:val="0"/>
        </w:rPr>
      </w:pPr>
      <w:r w:rsidRPr="004A7A04">
        <w:t xml:space="preserve">Udgår for at undgå overdreven regulering og sikre større </w:t>
      </w:r>
      <w:r w:rsidRPr="004A7A04">
        <w:t>fleksibilitet i de operationelle taskforcer. Det foreslås, at bestyrelsen på grundlag af et forslag fra den administrerende direktør får større råderum til at træffe afgørelse om detaljerne i gennemførelsen af den operationelle taskforce (stk. 8).</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32</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Artikel 9 – stk. 1 – nr. 3</w:t>
      </w:r>
      <w:r w:rsidRPr="004A7A04">
        <w:rPr>
          <w:rStyle w:val="HideTWBExt"/>
          <w:b w:val="0"/>
        </w:rPr>
        <w:t>&lt;/Article&gt;</w:t>
      </w:r>
    </w:p>
    <w:p w:rsidR="0018078A" w:rsidRPr="004A7A04" w:rsidRDefault="003E6EC1" w:rsidP="0018078A">
      <w:pPr>
        <w:keepNext/>
      </w:pPr>
      <w:r w:rsidRPr="004A7A04">
        <w:rPr>
          <w:rStyle w:val="HideTWBExt"/>
        </w:rPr>
        <w:t>&lt;DocAmend2&gt;</w:t>
      </w:r>
      <w:r w:rsidRPr="004A7A04">
        <w:t>Forordning (EU) 2016/794</w:t>
      </w:r>
      <w:r w:rsidRPr="004A7A04">
        <w:rPr>
          <w:rStyle w:val="HideTWBExt"/>
        </w:rPr>
        <w:t>&lt;/DocAmend2&gt;</w:t>
      </w:r>
    </w:p>
    <w:p w:rsidR="0018078A" w:rsidRPr="004A7A04" w:rsidRDefault="003E6EC1" w:rsidP="0018078A">
      <w:r w:rsidRPr="004A7A04">
        <w:rPr>
          <w:rStyle w:val="HideTWBExt"/>
        </w:rPr>
        <w:t>&lt;Article2&gt;</w:t>
      </w:r>
      <w:r w:rsidRPr="004A7A04">
        <w:t>Artikel 5a – stk. 5</w:t>
      </w:r>
      <w:r w:rsidRPr="004A7A0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hideMark/>
          </w:tcPr>
          <w:p w:rsidR="0018078A" w:rsidRPr="004A7A04" w:rsidRDefault="003E6EC1">
            <w:pPr>
              <w:pStyle w:val="Normal6"/>
            </w:pPr>
            <w:r w:rsidRPr="004A7A04">
              <w:t>5.</w:t>
            </w:r>
            <w:r w:rsidRPr="004A7A04">
              <w:tab/>
              <w:t>For at støtte gennemførelsen af en operationel taskforce stiller Europol den analytiske, operationelle, tekniske, kriminaltekniske og finansielle støtte, der er omhandlet i denne forordning, til rådighed i henhold til stk.</w:t>
            </w:r>
            <w:r w:rsidRPr="004A7A04">
              <w:rPr>
                <w:b/>
                <w:i/>
              </w:rPr>
              <w:t xml:space="preserve"> 2</w:t>
            </w:r>
            <w:r w:rsidRPr="004A7A04">
              <w:t>.</w:t>
            </w:r>
          </w:p>
        </w:tc>
        <w:tc>
          <w:tcPr>
            <w:tcW w:w="4876" w:type="dxa"/>
            <w:hideMark/>
          </w:tcPr>
          <w:p w:rsidR="0018078A" w:rsidRPr="004A7A04" w:rsidRDefault="003E6EC1">
            <w:pPr>
              <w:pStyle w:val="Normal6"/>
              <w:rPr>
                <w:szCs w:val="24"/>
              </w:rPr>
            </w:pPr>
            <w:r w:rsidRPr="004A7A04">
              <w:t>5.</w:t>
            </w:r>
            <w:r w:rsidRPr="004A7A04">
              <w:tab/>
              <w:t xml:space="preserve">For at </w:t>
            </w:r>
            <w:r w:rsidRPr="004A7A04">
              <w:t>støtte gennemførelsen af en operationel taskforce stiller Europol den analytiske, operationelle, tekniske, kriminaltekniske og finansielle støtte, der er omhandlet i denne forordning, til rådighed i henhold til stk.</w:t>
            </w:r>
            <w:r w:rsidRPr="004A7A04">
              <w:rPr>
                <w:b/>
                <w:i/>
              </w:rPr>
              <w:t> 1</w:t>
            </w:r>
            <w:r w:rsidRPr="004A7A04">
              <w:t>.</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r w:rsidRPr="004A7A04">
        <w:rPr>
          <w:rStyle w:val="HideTWBExt"/>
        </w:rPr>
        <w:t>&lt;/Am</w:t>
      </w:r>
      <w:r w:rsidRPr="004A7A04">
        <w:rPr>
          <w:rStyle w:val="HideTWBExt"/>
        </w:rPr>
        <w:t>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33</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Artikel 9 – stk. 1 – nr. 3</w:t>
      </w:r>
      <w:r w:rsidRPr="004A7A04">
        <w:rPr>
          <w:rStyle w:val="HideTWBExt"/>
          <w:b w:val="0"/>
        </w:rPr>
        <w:t>&lt;/Article&gt;</w:t>
      </w:r>
    </w:p>
    <w:p w:rsidR="0018078A" w:rsidRPr="004A7A04" w:rsidRDefault="003E6EC1" w:rsidP="0018078A">
      <w:pPr>
        <w:keepNext/>
      </w:pPr>
      <w:r w:rsidRPr="004A7A04">
        <w:rPr>
          <w:rStyle w:val="HideTWBExt"/>
        </w:rPr>
        <w:t>&lt;DocAmend2&gt;</w:t>
      </w:r>
      <w:r w:rsidRPr="004A7A04">
        <w:t>Forordning (EU) 2016/794</w:t>
      </w:r>
      <w:r w:rsidRPr="004A7A04">
        <w:rPr>
          <w:rStyle w:val="HideTWBExt"/>
        </w:rPr>
        <w:t>&lt;/DocAmend2&gt;</w:t>
      </w:r>
    </w:p>
    <w:p w:rsidR="0018078A" w:rsidRPr="004A7A04" w:rsidRDefault="003E6EC1" w:rsidP="0018078A">
      <w:r w:rsidRPr="004A7A04">
        <w:rPr>
          <w:rStyle w:val="HideTWBExt"/>
        </w:rPr>
        <w:t>&lt;Article2&gt;</w:t>
      </w:r>
      <w:r w:rsidRPr="004A7A04">
        <w:t>Artikel 5a – stk. 6</w:t>
      </w:r>
      <w:r w:rsidRPr="004A7A0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hideMark/>
          </w:tcPr>
          <w:p w:rsidR="0018078A" w:rsidRPr="004A7A04" w:rsidRDefault="003E6EC1">
            <w:pPr>
              <w:pStyle w:val="Normal6"/>
            </w:pPr>
            <w:r w:rsidRPr="004A7A04">
              <w:t>6.</w:t>
            </w:r>
            <w:r w:rsidRPr="004A7A04">
              <w:tab/>
              <w:t>Hver medlemsstat, der opretter, deltager i eller støtter en operationel taskforce, skal i overensstemmelse med den planlægning, koordinering og gennemførelse, der er omhandlet i stk.</w:t>
            </w:r>
            <w:r w:rsidRPr="004A7A04">
              <w:rPr>
                <w:b/>
                <w:i/>
              </w:rPr>
              <w:t xml:space="preserve"> 2:</w:t>
            </w:r>
          </w:p>
        </w:tc>
        <w:tc>
          <w:tcPr>
            <w:tcW w:w="4876" w:type="dxa"/>
            <w:hideMark/>
          </w:tcPr>
          <w:p w:rsidR="0018078A" w:rsidRPr="004A7A04" w:rsidRDefault="003E6EC1">
            <w:pPr>
              <w:pStyle w:val="Normal6"/>
              <w:rPr>
                <w:szCs w:val="24"/>
              </w:rPr>
            </w:pPr>
            <w:r w:rsidRPr="004A7A04">
              <w:t>6.</w:t>
            </w:r>
            <w:r w:rsidRPr="004A7A04">
              <w:tab/>
              <w:t>Hver medlemsstat, der opretter, deltager i elle</w:t>
            </w:r>
            <w:r w:rsidRPr="004A7A04">
              <w:t>r støtter en operationel taskforce, skal i overensstemmelse med den planlægning, koordinering og gennemførelse, der er omhandlet i stk.</w:t>
            </w:r>
            <w:r w:rsidRPr="004A7A04">
              <w:rPr>
                <w:b/>
                <w:i/>
              </w:rPr>
              <w:t> 1, samarbejde med Europol og andre deltagende medlemsstater, i det omfang det er nødvendigt for udførelsen af den operat</w:t>
            </w:r>
            <w:r w:rsidRPr="004A7A04">
              <w:rPr>
                <w:b/>
                <w:i/>
              </w:rPr>
              <w:t>ionelle taskforces opgaver, navnlig ved at tilvejebringe og udveksle alle relevante oplysninger.</w:t>
            </w:r>
          </w:p>
        </w:tc>
      </w:tr>
      <w:tr w:rsidR="00502EA6" w:rsidRPr="004A7A04" w:rsidTr="0018078A">
        <w:trPr>
          <w:jc w:val="center"/>
        </w:trPr>
        <w:tc>
          <w:tcPr>
            <w:tcW w:w="4876" w:type="dxa"/>
          </w:tcPr>
          <w:p w:rsidR="005F4583" w:rsidRPr="004A7A04" w:rsidRDefault="003E6EC1">
            <w:pPr>
              <w:pStyle w:val="Normal6"/>
              <w:rPr>
                <w:b/>
                <w:i/>
              </w:rPr>
            </w:pPr>
            <w:r w:rsidRPr="004A7A04">
              <w:rPr>
                <w:b/>
                <w:i/>
              </w:rPr>
              <w:t>a)</w:t>
            </w:r>
            <w:r w:rsidRPr="004A7A04">
              <w:rPr>
                <w:b/>
                <w:i/>
              </w:rPr>
              <w:tab/>
              <w:t>straks stille alle relevante oplysninger til rådighed for Europol og de øvrige medlemsstater, der opretter, deltager i eller støtter den operationelle task</w:t>
            </w:r>
            <w:r w:rsidRPr="004A7A04">
              <w:rPr>
                <w:b/>
                <w:i/>
              </w:rPr>
              <w:t>force, ved hjælp af SIENA, og, hvor det er relevant, gøre oplysninger direkte tilgængelige i overensstemmelse med artikel 20, stk. 2a</w:t>
            </w:r>
          </w:p>
        </w:tc>
        <w:tc>
          <w:tcPr>
            <w:tcW w:w="4876" w:type="dxa"/>
          </w:tcPr>
          <w:p w:rsidR="005F4583" w:rsidRPr="004A7A04" w:rsidRDefault="005F4583">
            <w:pPr>
              <w:pStyle w:val="Normal6"/>
            </w:pPr>
          </w:p>
        </w:tc>
      </w:tr>
      <w:tr w:rsidR="00502EA6" w:rsidRPr="004A7A04" w:rsidTr="0018078A">
        <w:trPr>
          <w:jc w:val="center"/>
        </w:trPr>
        <w:tc>
          <w:tcPr>
            <w:tcW w:w="4876" w:type="dxa"/>
          </w:tcPr>
          <w:p w:rsidR="005F4583" w:rsidRPr="004A7A04" w:rsidRDefault="003E6EC1">
            <w:pPr>
              <w:pStyle w:val="Normal6"/>
              <w:rPr>
                <w:b/>
                <w:i/>
              </w:rPr>
            </w:pPr>
            <w:r w:rsidRPr="004A7A04">
              <w:rPr>
                <w:b/>
                <w:i/>
              </w:rPr>
              <w:t>b)</w:t>
            </w:r>
            <w:r w:rsidRPr="004A7A04">
              <w:rPr>
                <w:b/>
                <w:i/>
              </w:rPr>
              <w:tab/>
              <w:t>gøre brug af den analytiske, operationelle, tekniske, kriminaltekniske og finansielle støtte, som Europol yder</w:t>
            </w:r>
          </w:p>
        </w:tc>
        <w:tc>
          <w:tcPr>
            <w:tcW w:w="4876" w:type="dxa"/>
          </w:tcPr>
          <w:p w:rsidR="005F4583" w:rsidRPr="004A7A04" w:rsidRDefault="005F4583">
            <w:pPr>
              <w:pStyle w:val="Normal6"/>
            </w:pPr>
          </w:p>
        </w:tc>
      </w:tr>
      <w:tr w:rsidR="00502EA6" w:rsidRPr="004A7A04" w:rsidTr="0018078A">
        <w:trPr>
          <w:jc w:val="center"/>
        </w:trPr>
        <w:tc>
          <w:tcPr>
            <w:tcW w:w="4876" w:type="dxa"/>
          </w:tcPr>
          <w:p w:rsidR="005F4583" w:rsidRPr="004A7A04" w:rsidRDefault="003E6EC1">
            <w:pPr>
              <w:pStyle w:val="Normal6"/>
              <w:rPr>
                <w:b/>
                <w:i/>
              </w:rPr>
            </w:pPr>
            <w:r w:rsidRPr="004A7A04">
              <w:rPr>
                <w:b/>
                <w:i/>
              </w:rPr>
              <w:t>c)</w:t>
            </w:r>
            <w:r w:rsidRPr="004A7A04">
              <w:rPr>
                <w:b/>
                <w:i/>
              </w:rPr>
              <w:tab/>
              <w:t>i</w:t>
            </w:r>
            <w:r w:rsidRPr="004A7A04">
              <w:rPr>
                <w:b/>
                <w:i/>
              </w:rPr>
              <w:t>ndlede visse særlige kriminalefterretningsaktiviteter og efterforskninger i overensstemmelse med national ret, hvis det er nødvendigt for at bekæmpe den strafbare handling, som den operationelle taskforce vedrører</w:t>
            </w:r>
          </w:p>
        </w:tc>
        <w:tc>
          <w:tcPr>
            <w:tcW w:w="4876" w:type="dxa"/>
          </w:tcPr>
          <w:p w:rsidR="005F4583" w:rsidRPr="004A7A04" w:rsidRDefault="005F4583">
            <w:pPr>
              <w:pStyle w:val="Normal6"/>
            </w:pPr>
          </w:p>
        </w:tc>
      </w:tr>
      <w:tr w:rsidR="00502EA6" w:rsidRPr="004A7A04" w:rsidTr="0018078A">
        <w:trPr>
          <w:jc w:val="center"/>
        </w:trPr>
        <w:tc>
          <w:tcPr>
            <w:tcW w:w="4876" w:type="dxa"/>
          </w:tcPr>
          <w:p w:rsidR="005F4583" w:rsidRPr="004A7A04" w:rsidRDefault="003E6EC1">
            <w:pPr>
              <w:pStyle w:val="Normal6"/>
              <w:rPr>
                <w:b/>
                <w:i/>
              </w:rPr>
            </w:pPr>
            <w:r w:rsidRPr="004A7A04">
              <w:rPr>
                <w:b/>
                <w:i/>
              </w:rPr>
              <w:t>d)</w:t>
            </w:r>
            <w:r w:rsidRPr="004A7A04">
              <w:rPr>
                <w:b/>
                <w:i/>
              </w:rPr>
              <w:tab/>
              <w:t>indlede sideløbende finansiel efterfo</w:t>
            </w:r>
            <w:r w:rsidRPr="004A7A04">
              <w:rPr>
                <w:b/>
                <w:i/>
              </w:rPr>
              <w:t>rskning i overensstemmelse med national ret og EU-retten med henblik på at identificere og beslaglægge udbytte af kriminelle aktiviteter</w:t>
            </w:r>
          </w:p>
        </w:tc>
        <w:tc>
          <w:tcPr>
            <w:tcW w:w="4876" w:type="dxa"/>
          </w:tcPr>
          <w:p w:rsidR="005F4583" w:rsidRPr="004A7A04" w:rsidRDefault="005F4583">
            <w:pPr>
              <w:pStyle w:val="Normal6"/>
            </w:pPr>
          </w:p>
        </w:tc>
      </w:tr>
      <w:tr w:rsidR="00502EA6" w:rsidRPr="004A7A04" w:rsidTr="0018078A">
        <w:trPr>
          <w:jc w:val="center"/>
        </w:trPr>
        <w:tc>
          <w:tcPr>
            <w:tcW w:w="4876" w:type="dxa"/>
          </w:tcPr>
          <w:p w:rsidR="005F4583" w:rsidRPr="004A7A04" w:rsidRDefault="003E6EC1">
            <w:pPr>
              <w:pStyle w:val="Normal6"/>
              <w:rPr>
                <w:b/>
                <w:i/>
              </w:rPr>
            </w:pPr>
            <w:r w:rsidRPr="004A7A04">
              <w:rPr>
                <w:b/>
                <w:i/>
              </w:rPr>
              <w:t>e)</w:t>
            </w:r>
            <w:r w:rsidRPr="004A7A04">
              <w:rPr>
                <w:b/>
                <w:i/>
              </w:rPr>
              <w:tab/>
              <w:t xml:space="preserve">inddrage sine forbindelsesofficerer, der er indsat i tredjelande, hvor kriminelle handlinger efterforskes inden </w:t>
            </w:r>
            <w:r w:rsidRPr="004A7A04">
              <w:rPr>
                <w:b/>
                <w:i/>
              </w:rPr>
              <w:t>for rammerne af den operationelle taskforce, for at styrke samarbejdet og udvekslingen af oplysninger samt stille de indhentede oplysninger til rådighed for Europol i overensstemmelse med EU-retten og national ret.</w:t>
            </w:r>
          </w:p>
        </w:tc>
        <w:tc>
          <w:tcPr>
            <w:tcW w:w="4876" w:type="dxa"/>
          </w:tcPr>
          <w:p w:rsidR="005F4583" w:rsidRPr="004A7A04" w:rsidRDefault="005F4583">
            <w:pPr>
              <w:pStyle w:val="Normal6"/>
            </w:pP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5F4583" w:rsidRPr="004A7A04" w:rsidRDefault="003E6EC1" w:rsidP="005F4583">
      <w:pPr>
        <w:pStyle w:val="JustificationTitle"/>
        <w:rPr>
          <w:noProof w:val="0"/>
        </w:rPr>
      </w:pPr>
      <w:r w:rsidRPr="004A7A04">
        <w:rPr>
          <w:rStyle w:val="HideTWBExt"/>
          <w:i w:val="0"/>
        </w:rPr>
        <w:t>&lt;TitreJ</w:t>
      </w:r>
      <w:r w:rsidRPr="004A7A04">
        <w:rPr>
          <w:rStyle w:val="HideTWBExt"/>
          <w:i w:val="0"/>
        </w:rPr>
        <w:t>ust&gt;</w:t>
      </w:r>
      <w:r w:rsidRPr="004A7A04">
        <w:t>Begrundelse</w:t>
      </w:r>
      <w:r w:rsidRPr="004A7A04">
        <w:rPr>
          <w:rStyle w:val="HideTWBExt"/>
          <w:i w:val="0"/>
        </w:rPr>
        <w:t>&lt;/TitreJust&gt;</w:t>
      </w:r>
    </w:p>
    <w:p w:rsidR="005F4583" w:rsidRPr="004A7A04" w:rsidRDefault="003E6EC1" w:rsidP="005F4583">
      <w:pPr>
        <w:pStyle w:val="Normal12Italic"/>
        <w:rPr>
          <w:noProof w:val="0"/>
        </w:rPr>
      </w:pPr>
      <w:r w:rsidRPr="004A7A04">
        <w:t>Udgår for at undgå overdreven regulering og sikre større fleksibilitet i de operationelle taskforcer. Det foreslås, at bestyrelsen på grundlag af et forslag fra den administrerende direktør får større råderum til at træffe afgør</w:t>
      </w:r>
      <w:r w:rsidRPr="004A7A04">
        <w:t>else om detaljerne i gennemførelsen af den operationelle taskforce (stk. 8).</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34</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Artikel 9 – stk. 1 – nr. 3</w:t>
      </w:r>
      <w:r w:rsidRPr="004A7A04">
        <w:rPr>
          <w:rStyle w:val="HideTWBExt"/>
          <w:b w:val="0"/>
        </w:rPr>
        <w:t>&lt;/Article&gt;</w:t>
      </w:r>
    </w:p>
    <w:p w:rsidR="0018078A" w:rsidRPr="004A7A04" w:rsidRDefault="003E6EC1" w:rsidP="0018078A">
      <w:pPr>
        <w:keepNext/>
      </w:pPr>
      <w:r w:rsidRPr="004A7A04">
        <w:rPr>
          <w:rStyle w:val="HideTWBExt"/>
        </w:rPr>
        <w:t>&lt;DocAmend2&gt;</w:t>
      </w:r>
      <w:r w:rsidRPr="004A7A04">
        <w:t>Forordning (EU) 2016/794</w:t>
      </w:r>
      <w:r w:rsidRPr="004A7A04">
        <w:rPr>
          <w:rStyle w:val="HideTWBExt"/>
        </w:rPr>
        <w:t>&lt;/DocAmend2&gt;</w:t>
      </w:r>
    </w:p>
    <w:p w:rsidR="0018078A" w:rsidRPr="004A7A04" w:rsidRDefault="003E6EC1" w:rsidP="0018078A">
      <w:r w:rsidRPr="004A7A04">
        <w:rPr>
          <w:rStyle w:val="HideTWBExt"/>
        </w:rPr>
        <w:t>&lt;Article2&gt;</w:t>
      </w:r>
      <w:r w:rsidRPr="004A7A04">
        <w:t>Artikel 5a – stk. 8</w:t>
      </w:r>
      <w:r w:rsidRPr="004A7A0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hideMark/>
          </w:tcPr>
          <w:p w:rsidR="0018078A" w:rsidRPr="004A7A04" w:rsidRDefault="003E6EC1">
            <w:pPr>
              <w:pStyle w:val="Normal6"/>
            </w:pPr>
            <w:r w:rsidRPr="004A7A04">
              <w:t>8.</w:t>
            </w:r>
            <w:r w:rsidRPr="004A7A04">
              <w:tab/>
            </w:r>
            <w:r w:rsidRPr="004A7A04">
              <w:rPr>
                <w:b/>
                <w:i/>
              </w:rPr>
              <w:t>Bestyrelsen</w:t>
            </w:r>
            <w:r w:rsidRPr="004A7A04">
              <w:t xml:space="preserve"> vedtager gennemførelsesbestemmelser for oprettelse og anvendelse af operationelle taskforcer.</w:t>
            </w:r>
          </w:p>
        </w:tc>
        <w:tc>
          <w:tcPr>
            <w:tcW w:w="4876" w:type="dxa"/>
            <w:hideMark/>
          </w:tcPr>
          <w:p w:rsidR="0018078A" w:rsidRPr="004A7A04" w:rsidRDefault="003E6EC1">
            <w:pPr>
              <w:pStyle w:val="Normal6"/>
              <w:rPr>
                <w:szCs w:val="24"/>
              </w:rPr>
            </w:pPr>
            <w:r w:rsidRPr="004A7A04">
              <w:t>8.</w:t>
            </w:r>
            <w:r w:rsidRPr="004A7A04">
              <w:tab/>
            </w:r>
            <w:r w:rsidRPr="004A7A04">
              <w:rPr>
                <w:b/>
                <w:i/>
              </w:rPr>
              <w:t>Efter forslag fra den administrerende direktør</w:t>
            </w:r>
            <w:r w:rsidRPr="004A7A04">
              <w:t xml:space="preserve"> vedtager</w:t>
            </w:r>
            <w:r w:rsidRPr="004A7A04">
              <w:rPr>
                <w:b/>
                <w:i/>
              </w:rPr>
              <w:t xml:space="preserve"> bestyrelsen</w:t>
            </w:r>
            <w:r w:rsidRPr="004A7A04">
              <w:t xml:space="preserve"> gennemførelsesbestemmelser for oprettelse</w:t>
            </w:r>
            <w:r w:rsidRPr="004A7A04">
              <w:rPr>
                <w:b/>
                <w:i/>
              </w:rPr>
              <w:t>, deltagelse i</w:t>
            </w:r>
            <w:r w:rsidRPr="004A7A04">
              <w:t xml:space="preserve"> og anvendelse af operationelle taskforcer. </w:t>
            </w:r>
            <w:r w:rsidRPr="004A7A04">
              <w:rPr>
                <w:b/>
                <w:i/>
              </w:rPr>
              <w:t xml:space="preserve">Tredjelandes og andre partneres deltagelse i de operationelle taskforcer finder sted i overensstemmelse med denne forordning. </w:t>
            </w:r>
          </w:p>
        </w:tc>
      </w:tr>
    </w:tbl>
    <w:p w:rsidR="0018078A" w:rsidRPr="004A7A04" w:rsidRDefault="003E6EC1" w:rsidP="0018078A">
      <w:pPr>
        <w:pStyle w:val="Olang"/>
      </w:pPr>
      <w:r w:rsidRPr="004A7A04">
        <w:t xml:space="preserve">Or. </w:t>
      </w:r>
      <w:r w:rsidRPr="004A7A04">
        <w:rPr>
          <w:rStyle w:val="HideTWBExt"/>
          <w:noProof w:val="0"/>
        </w:rPr>
        <w:t>&lt;Or</w:t>
      </w:r>
      <w:r w:rsidRPr="004A7A04">
        <w:rPr>
          <w:rStyle w:val="HideTWBExt"/>
          <w:noProof w:val="0"/>
        </w:rPr>
        <w:t>iginal&gt;</w:t>
      </w:r>
      <w:r w:rsidRPr="004A7A04">
        <w:rPr>
          <w:rStyle w:val="HideTWBInt"/>
        </w:rPr>
        <w:t>{EN}</w:t>
      </w:r>
      <w:r w:rsidRPr="004A7A04">
        <w:t>en</w:t>
      </w:r>
      <w:r w:rsidRPr="004A7A04">
        <w:rPr>
          <w:rStyle w:val="HideTWBExt"/>
          <w:noProof w:val="0"/>
        </w:rPr>
        <w:t>&lt;/Original&gt;</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35</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Artikel 9 – stk. 1 – nr. 3</w:t>
      </w:r>
      <w:r w:rsidRPr="004A7A04">
        <w:rPr>
          <w:rStyle w:val="HideTWBExt"/>
          <w:b w:val="0"/>
        </w:rPr>
        <w:t>&lt;/Article&gt;</w:t>
      </w:r>
    </w:p>
    <w:p w:rsidR="0018078A" w:rsidRPr="004A7A04" w:rsidRDefault="003E6EC1" w:rsidP="0018078A">
      <w:pPr>
        <w:keepNext/>
      </w:pPr>
      <w:r w:rsidRPr="004A7A04">
        <w:rPr>
          <w:rStyle w:val="HideTWBExt"/>
        </w:rPr>
        <w:t>&lt;DocAmend2&gt;</w:t>
      </w:r>
      <w:r w:rsidRPr="004A7A04">
        <w:t>Forordning (EU) 2016/794</w:t>
      </w:r>
      <w:r w:rsidRPr="004A7A04">
        <w:rPr>
          <w:rStyle w:val="HideTWBExt"/>
        </w:rPr>
        <w:t>&lt;/DocAmend2&gt;</w:t>
      </w:r>
    </w:p>
    <w:p w:rsidR="0018078A" w:rsidRPr="004A7A04" w:rsidRDefault="003E6EC1" w:rsidP="0018078A">
      <w:r w:rsidRPr="004A7A04">
        <w:rPr>
          <w:rStyle w:val="HideTWBExt"/>
        </w:rPr>
        <w:t>&lt;Article2&gt;</w:t>
      </w:r>
      <w:r w:rsidRPr="004A7A04">
        <w:t>Artikel 5b – stk. 1</w:t>
      </w:r>
      <w:r w:rsidRPr="004A7A0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hideMark/>
          </w:tcPr>
          <w:p w:rsidR="0018078A" w:rsidRPr="004A7A04" w:rsidRDefault="003E6EC1">
            <w:pPr>
              <w:pStyle w:val="Normal6"/>
            </w:pPr>
            <w:r w:rsidRPr="004A7A04">
              <w:t>1.</w:t>
            </w:r>
            <w:r w:rsidRPr="004A7A04">
              <w:tab/>
              <w:t>En medlemsstat kan i overensstemmelse med sin nationale lovgivning anmode om indsættelse af Europol med henblik på operationel støtte på sit område for at gøre brug af den analytiske, operationelle, tekniske, krim</w:t>
            </w:r>
            <w:r w:rsidRPr="004A7A04">
              <w:t>inaltekniske og finansielle støtte, som Europol yder for at forebygge og bekæmpe former for kriminalitet, der er omfattet af Europols målsætninger.</w:t>
            </w:r>
          </w:p>
        </w:tc>
        <w:tc>
          <w:tcPr>
            <w:tcW w:w="4876" w:type="dxa"/>
            <w:hideMark/>
          </w:tcPr>
          <w:p w:rsidR="0018078A" w:rsidRPr="004A7A04" w:rsidRDefault="003E6EC1">
            <w:pPr>
              <w:pStyle w:val="Normal6"/>
              <w:rPr>
                <w:szCs w:val="24"/>
              </w:rPr>
            </w:pPr>
            <w:r w:rsidRPr="004A7A04">
              <w:t>1.</w:t>
            </w:r>
            <w:r w:rsidRPr="004A7A04">
              <w:tab/>
              <w:t xml:space="preserve">En medlemsstat kan i overensstemmelse med sin nationale ret anmode om indsættelse af Europol med henblik </w:t>
            </w:r>
            <w:r w:rsidRPr="004A7A04">
              <w:t>på operationel støtte på sit område for at gøre brug af den analytiske, operationelle, tekniske, kriminaltekniske og finansielle støtte, som Europol yder for at forebygge og bekæmpe former for kriminalitet, der er omfattet af Europols målsætninger.</w:t>
            </w:r>
            <w:r w:rsidRPr="004A7A04">
              <w:rPr>
                <w:b/>
                <w:i/>
              </w:rPr>
              <w:t xml:space="preserve"> Den adm</w:t>
            </w:r>
            <w:r w:rsidRPr="004A7A04">
              <w:rPr>
                <w:b/>
                <w:i/>
              </w:rPr>
              <w:t>inistrerende direktør evaluerer alle anmodninger og kan godkende eller afvise indsættelsen under hensyntagen til de operationelle behov, risikovurderingen og de disponible ressourcer.</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w:t>
      </w:r>
      <w:r w:rsidRPr="004A7A04">
        <w:rPr>
          <w:rStyle w:val="HideTWBExt"/>
          <w:b w:val="0"/>
        </w:rPr>
        <w:t>&gt;</w:t>
      </w:r>
      <w:r w:rsidRPr="004A7A04">
        <w:t>36</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Artikel 9 – stk. 1 – nr. 3</w:t>
      </w:r>
      <w:r w:rsidRPr="004A7A04">
        <w:rPr>
          <w:rStyle w:val="HideTWBExt"/>
          <w:b w:val="0"/>
        </w:rPr>
        <w:t>&lt;/Article&gt;</w:t>
      </w:r>
    </w:p>
    <w:p w:rsidR="0018078A" w:rsidRPr="004A7A04" w:rsidRDefault="003E6EC1" w:rsidP="0018078A">
      <w:pPr>
        <w:keepNext/>
      </w:pPr>
      <w:r w:rsidRPr="004A7A04">
        <w:rPr>
          <w:rStyle w:val="HideTWBExt"/>
        </w:rPr>
        <w:t>&lt;DocAmend2&gt;</w:t>
      </w:r>
      <w:r w:rsidRPr="004A7A04">
        <w:t>Forordning (EU) 2016/794</w:t>
      </w:r>
      <w:r w:rsidRPr="004A7A04">
        <w:rPr>
          <w:rStyle w:val="HideTWBExt"/>
        </w:rPr>
        <w:t>&lt;/DocAmend2&gt;</w:t>
      </w:r>
    </w:p>
    <w:p w:rsidR="0018078A" w:rsidRPr="004A7A04" w:rsidRDefault="003E6EC1" w:rsidP="0018078A">
      <w:r w:rsidRPr="004A7A04">
        <w:rPr>
          <w:rStyle w:val="HideTWBExt"/>
        </w:rPr>
        <w:t>&lt;Article2&gt;</w:t>
      </w:r>
      <w:r w:rsidRPr="004A7A04">
        <w:t>Artikel 5b – stk. 2</w:t>
      </w:r>
      <w:r w:rsidRPr="004A7A0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hideMark/>
          </w:tcPr>
          <w:p w:rsidR="0018078A" w:rsidRPr="004A7A04" w:rsidRDefault="003E6EC1">
            <w:pPr>
              <w:pStyle w:val="Normal6"/>
            </w:pPr>
            <w:r w:rsidRPr="004A7A04">
              <w:rPr>
                <w:b/>
                <w:i/>
              </w:rPr>
              <w:t>2.</w:t>
            </w:r>
            <w:r w:rsidRPr="004A7A04">
              <w:rPr>
                <w:b/>
                <w:i/>
              </w:rPr>
              <w:tab/>
              <w:t xml:space="preserve">Indsættelse af </w:t>
            </w:r>
            <w:r w:rsidRPr="004A7A04">
              <w:rPr>
                <w:b/>
                <w:i/>
              </w:rPr>
              <w:t>Europol med henblik på operationel støtte finder sted i forbindelse med kompleks og omfattende efterforskning, der kræver støtte fra Europol, herunder inden for rammerne af fælles efterforskningshold eller operationelle taskforcer, eller for at støtte søgn</w:t>
            </w:r>
            <w:r w:rsidRPr="004A7A04">
              <w:rPr>
                <w:b/>
                <w:i/>
              </w:rPr>
              <w:t>ing i relevante databaser med henblik på at styrke kontrollen ved Unionens ydre grænser eller migrationsstyringsstøttehold i overensstemmelse med Europa-Parlamentets og Rådets forordning (EU) 2019/1896 eller for at bistå medlemsstaterne i forbindelse med s</w:t>
            </w:r>
            <w:r w:rsidRPr="004A7A04">
              <w:rPr>
                <w:b/>
                <w:i/>
              </w:rPr>
              <w:t>tørre internationale begivenheder</w:t>
            </w:r>
          </w:p>
        </w:tc>
        <w:tc>
          <w:tcPr>
            <w:tcW w:w="4876" w:type="dxa"/>
            <w:hideMark/>
          </w:tcPr>
          <w:p w:rsidR="0018078A" w:rsidRPr="004A7A04" w:rsidRDefault="003E6EC1">
            <w:pPr>
              <w:pStyle w:val="Normal6"/>
              <w:rPr>
                <w:szCs w:val="24"/>
              </w:rPr>
            </w:pPr>
            <w:r w:rsidRPr="004A7A04">
              <w:rPr>
                <w:b/>
                <w:i/>
              </w:rPr>
              <w:t>udgår</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pPr>
        <w:pStyle w:val="JustificationTitle"/>
        <w:rPr>
          <w:noProof w:val="0"/>
        </w:rPr>
      </w:pPr>
      <w:r w:rsidRPr="004A7A04">
        <w:rPr>
          <w:rStyle w:val="HideTWBExt"/>
          <w:i w:val="0"/>
        </w:rPr>
        <w:t>&lt;TitreJust&gt;</w:t>
      </w:r>
      <w:r w:rsidRPr="004A7A04">
        <w:t>Begrundelse</w:t>
      </w:r>
      <w:r w:rsidRPr="004A7A04">
        <w:rPr>
          <w:rStyle w:val="HideTWBExt"/>
          <w:i w:val="0"/>
        </w:rPr>
        <w:t>&lt;/TitreJust&gt;</w:t>
      </w:r>
    </w:p>
    <w:p w:rsidR="0018078A" w:rsidRPr="004A7A04" w:rsidRDefault="003E6EC1" w:rsidP="0018078A">
      <w:pPr>
        <w:pStyle w:val="Normal12Italic"/>
        <w:rPr>
          <w:noProof w:val="0"/>
        </w:rPr>
      </w:pPr>
      <w:r w:rsidRPr="004A7A04">
        <w:t xml:space="preserve">Udgår for at undgå overdreven regulering og sikre større fleksibilitet i forbindelse med indsættelse af Europol. Det foreslås, at bestyrelsen på </w:t>
      </w:r>
      <w:r w:rsidRPr="004A7A04">
        <w:t>grundlag af et forslag fra den administrerende direktør får større råderum til at træffe afgørelse om detaljerne i gennemførelsen af indsættelse af Europol (stk. 9).</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37</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w:t>
      </w:r>
      <w:r w:rsidRPr="004A7A04">
        <w:rPr>
          <w:rStyle w:val="HideTWBExt"/>
          <w:b w:val="0"/>
        </w:rPr>
        <w:t>end&gt;</w:t>
      </w:r>
    </w:p>
    <w:p w:rsidR="0018078A" w:rsidRPr="004A7A04" w:rsidRDefault="003E6EC1" w:rsidP="0018078A">
      <w:pPr>
        <w:pStyle w:val="NormalBold"/>
      </w:pPr>
      <w:r w:rsidRPr="004A7A04">
        <w:rPr>
          <w:rStyle w:val="HideTWBExt"/>
          <w:b w:val="0"/>
        </w:rPr>
        <w:t>&lt;Article&gt;</w:t>
      </w:r>
      <w:r w:rsidRPr="004A7A04">
        <w:t>Artikel 9 – stk. 1 – nr. 3</w:t>
      </w:r>
      <w:r w:rsidRPr="004A7A04">
        <w:rPr>
          <w:rStyle w:val="HideTWBExt"/>
          <w:b w:val="0"/>
        </w:rPr>
        <w:t>&lt;/Article&gt;</w:t>
      </w:r>
    </w:p>
    <w:p w:rsidR="0018078A" w:rsidRPr="004A7A04" w:rsidRDefault="003E6EC1" w:rsidP="0018078A">
      <w:pPr>
        <w:keepNext/>
      </w:pPr>
      <w:r w:rsidRPr="004A7A04">
        <w:rPr>
          <w:rStyle w:val="HideTWBExt"/>
        </w:rPr>
        <w:t>&lt;DocAmend2&gt;</w:t>
      </w:r>
      <w:r w:rsidRPr="004A7A04">
        <w:t>Forordning (EU) 2016/794</w:t>
      </w:r>
      <w:r w:rsidRPr="004A7A04">
        <w:rPr>
          <w:rStyle w:val="HideTWBExt"/>
        </w:rPr>
        <w:t>&lt;/DocAmend2&gt;</w:t>
      </w:r>
    </w:p>
    <w:p w:rsidR="0018078A" w:rsidRPr="004A7A04" w:rsidRDefault="003E6EC1" w:rsidP="0018078A">
      <w:r w:rsidRPr="004A7A04">
        <w:rPr>
          <w:rStyle w:val="HideTWBExt"/>
        </w:rPr>
        <w:t>&lt;Article2&gt;</w:t>
      </w:r>
      <w:r w:rsidRPr="004A7A04">
        <w:t>Artikel 5b – stk. 3</w:t>
      </w:r>
      <w:r w:rsidRPr="004A7A0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hideMark/>
          </w:tcPr>
          <w:p w:rsidR="0018078A" w:rsidRPr="004A7A04" w:rsidRDefault="003E6EC1">
            <w:pPr>
              <w:pStyle w:val="Normal6"/>
            </w:pPr>
            <w:r w:rsidRPr="004A7A04">
              <w:rPr>
                <w:b/>
                <w:i/>
              </w:rPr>
              <w:t>3.</w:t>
            </w:r>
            <w:r w:rsidRPr="004A7A04">
              <w:rPr>
                <w:b/>
                <w:i/>
              </w:rPr>
              <w:tab/>
              <w:t xml:space="preserve">Den administrerende direktør evaluerer en medlemsstats anmodning i </w:t>
            </w:r>
            <w:r w:rsidRPr="004A7A04">
              <w:rPr>
                <w:b/>
                <w:i/>
              </w:rPr>
              <w:t>henhold til stk. 1 og kan godkende indsættelsen af Europol med henblik på operationel støtte i en begrænset periode, der kan forlænges under hensyntagen til de operationelle behov og de disponible ressourcer. Den administrerende direktørs afgørelse baseres</w:t>
            </w:r>
            <w:r w:rsidRPr="004A7A04">
              <w:rPr>
                <w:b/>
                <w:i/>
              </w:rPr>
              <w:t xml:space="preserve"> på en risikovurdering.</w:t>
            </w:r>
          </w:p>
        </w:tc>
        <w:tc>
          <w:tcPr>
            <w:tcW w:w="4876" w:type="dxa"/>
            <w:hideMark/>
          </w:tcPr>
          <w:p w:rsidR="0018078A" w:rsidRPr="004A7A04" w:rsidRDefault="003E6EC1">
            <w:pPr>
              <w:pStyle w:val="Normal6"/>
              <w:rPr>
                <w:szCs w:val="24"/>
              </w:rPr>
            </w:pPr>
            <w:r w:rsidRPr="004A7A04">
              <w:rPr>
                <w:b/>
                <w:i/>
              </w:rPr>
              <w:t>udgår</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pPr>
        <w:pStyle w:val="JustificationTitle"/>
        <w:rPr>
          <w:noProof w:val="0"/>
        </w:rPr>
      </w:pPr>
      <w:r w:rsidRPr="004A7A04">
        <w:rPr>
          <w:rStyle w:val="HideTWBExt"/>
          <w:i w:val="0"/>
        </w:rPr>
        <w:t>&lt;TitreJust&gt;</w:t>
      </w:r>
      <w:r w:rsidRPr="004A7A04">
        <w:t>Begrundelse</w:t>
      </w:r>
      <w:r w:rsidRPr="004A7A04">
        <w:rPr>
          <w:rStyle w:val="HideTWBExt"/>
          <w:i w:val="0"/>
        </w:rPr>
        <w:t>&lt;/TitreJust&gt;</w:t>
      </w:r>
    </w:p>
    <w:p w:rsidR="0018078A" w:rsidRPr="004A7A04" w:rsidRDefault="003E6EC1" w:rsidP="0018078A">
      <w:pPr>
        <w:pStyle w:val="Normal12Italic"/>
        <w:rPr>
          <w:noProof w:val="0"/>
        </w:rPr>
      </w:pPr>
      <w:r w:rsidRPr="004A7A04">
        <w:t xml:space="preserve">Udgår for at undgå overdreven regulering og sikre større fleksibilitet i forbindelse med indsættelse af Europol. Det foreslås, at bestyrelsen på grundlag af </w:t>
      </w:r>
      <w:r w:rsidRPr="004A7A04">
        <w:t>et forslag fra den administrerende direktør får større råderum til at træffe afgørelse om detaljerne i gennemførelsen af indsættelse af Europol (stk. 9).</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38</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w:t>
      </w:r>
      <w:r w:rsidRPr="004A7A04">
        <w:rPr>
          <w:rStyle w:val="HideTWBExt"/>
          <w:b w:val="0"/>
        </w:rPr>
        <w:t>e&gt;</w:t>
      </w:r>
      <w:r w:rsidRPr="004A7A04">
        <w:t>Artikel 9 – stk. 1 – nr. 3</w:t>
      </w:r>
      <w:r w:rsidRPr="004A7A04">
        <w:rPr>
          <w:rStyle w:val="HideTWBExt"/>
          <w:b w:val="0"/>
        </w:rPr>
        <w:t>&lt;/Article&gt;</w:t>
      </w:r>
    </w:p>
    <w:p w:rsidR="0018078A" w:rsidRPr="004A7A04" w:rsidRDefault="003E6EC1" w:rsidP="0018078A">
      <w:pPr>
        <w:keepNext/>
      </w:pPr>
      <w:r w:rsidRPr="004A7A04">
        <w:rPr>
          <w:rStyle w:val="HideTWBExt"/>
        </w:rPr>
        <w:t>&lt;DocAmend2&gt;</w:t>
      </w:r>
      <w:r w:rsidRPr="004A7A04">
        <w:t>Forordning (EU) 2016/794</w:t>
      </w:r>
      <w:r w:rsidRPr="004A7A04">
        <w:rPr>
          <w:rStyle w:val="HideTWBExt"/>
        </w:rPr>
        <w:t>&lt;/DocAmend2&gt;</w:t>
      </w:r>
    </w:p>
    <w:p w:rsidR="0018078A" w:rsidRPr="004A7A04" w:rsidRDefault="003E6EC1" w:rsidP="0018078A">
      <w:r w:rsidRPr="004A7A04">
        <w:rPr>
          <w:rStyle w:val="HideTWBExt"/>
        </w:rPr>
        <w:t>&lt;Article2&gt;</w:t>
      </w:r>
      <w:r w:rsidRPr="004A7A04">
        <w:t>Artikel 5b – stk. 5</w:t>
      </w:r>
      <w:r w:rsidRPr="004A7A0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hideMark/>
          </w:tcPr>
          <w:p w:rsidR="0018078A" w:rsidRPr="004A7A04" w:rsidRDefault="003E6EC1">
            <w:pPr>
              <w:pStyle w:val="Normal6"/>
            </w:pPr>
            <w:r w:rsidRPr="004A7A04">
              <w:rPr>
                <w:b/>
                <w:i/>
              </w:rPr>
              <w:t>5.</w:t>
            </w:r>
            <w:r w:rsidRPr="004A7A04">
              <w:rPr>
                <w:b/>
                <w:i/>
              </w:rPr>
              <w:tab/>
              <w:t xml:space="preserve">I ekstraordinære hastetilfælde, der kræver øjeblikkelig indsættelse af Europol med </w:t>
            </w:r>
            <w:r w:rsidRPr="004A7A04">
              <w:rPr>
                <w:b/>
                <w:i/>
              </w:rPr>
              <w:t>henblik på operationel støtte på en medlemsstats område, sikrer den pågældende medlemsstat og den administrerende direktør, at de foranstaltninger, der er fastsat i stk. 1, 3 og 4, træffes inden for 72 timer.</w:t>
            </w:r>
          </w:p>
        </w:tc>
        <w:tc>
          <w:tcPr>
            <w:tcW w:w="4876" w:type="dxa"/>
            <w:hideMark/>
          </w:tcPr>
          <w:p w:rsidR="0018078A" w:rsidRPr="004A7A04" w:rsidRDefault="003E6EC1">
            <w:pPr>
              <w:pStyle w:val="Normal6"/>
              <w:rPr>
                <w:szCs w:val="24"/>
              </w:rPr>
            </w:pPr>
            <w:r w:rsidRPr="004A7A04">
              <w:rPr>
                <w:b/>
                <w:i/>
              </w:rPr>
              <w:t>udgår</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pPr>
        <w:pStyle w:val="JustificationTitle"/>
        <w:rPr>
          <w:noProof w:val="0"/>
        </w:rPr>
      </w:pPr>
      <w:r w:rsidRPr="004A7A04">
        <w:rPr>
          <w:rStyle w:val="HideTWBExt"/>
          <w:i w:val="0"/>
        </w:rPr>
        <w:t>&lt;TitreJu</w:t>
      </w:r>
      <w:r w:rsidRPr="004A7A04">
        <w:rPr>
          <w:rStyle w:val="HideTWBExt"/>
          <w:i w:val="0"/>
        </w:rPr>
        <w:t>st&gt;</w:t>
      </w:r>
      <w:r w:rsidRPr="004A7A04">
        <w:t>Begrundelse</w:t>
      </w:r>
      <w:r w:rsidRPr="004A7A04">
        <w:rPr>
          <w:rStyle w:val="HideTWBExt"/>
          <w:i w:val="0"/>
        </w:rPr>
        <w:t>&lt;/TitreJust&gt;</w:t>
      </w:r>
    </w:p>
    <w:p w:rsidR="0018078A" w:rsidRPr="004A7A04" w:rsidRDefault="003E6EC1" w:rsidP="0018078A">
      <w:pPr>
        <w:pStyle w:val="Normal12Italic"/>
        <w:rPr>
          <w:noProof w:val="0"/>
        </w:rPr>
      </w:pPr>
      <w:r w:rsidRPr="004A7A04">
        <w:t>Udgår for at undgå overdreven regulering og sikre større fleksibilitet i forbindelse med indsættelse af Europol. Det foreslås, at bestyrelsen på grundlag af et forslag fra den administrerende direktør får større råderum til at tr</w:t>
      </w:r>
      <w:r w:rsidRPr="004A7A04">
        <w:t>æffe afgørelse om detaljerne i gennemførelsen af indsættelse af Europol (stk. 9).</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39</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Artikel 9 – stk. 1 – nr. 3</w:t>
      </w:r>
      <w:r w:rsidRPr="004A7A04">
        <w:rPr>
          <w:rStyle w:val="HideTWBExt"/>
          <w:b w:val="0"/>
        </w:rPr>
        <w:t>&lt;/Article&gt;</w:t>
      </w:r>
    </w:p>
    <w:p w:rsidR="0018078A" w:rsidRPr="004A7A04" w:rsidRDefault="003E6EC1" w:rsidP="0018078A">
      <w:pPr>
        <w:keepNext/>
      </w:pPr>
      <w:r w:rsidRPr="004A7A04">
        <w:rPr>
          <w:rStyle w:val="HideTWBExt"/>
        </w:rPr>
        <w:t>&lt;DocAmend2&gt;</w:t>
      </w:r>
      <w:r w:rsidRPr="004A7A04">
        <w:t xml:space="preserve">Forordning </w:t>
      </w:r>
      <w:r w:rsidRPr="004A7A04">
        <w:t>(EU) 2016/794</w:t>
      </w:r>
      <w:r w:rsidRPr="004A7A04">
        <w:rPr>
          <w:rStyle w:val="HideTWBExt"/>
        </w:rPr>
        <w:t>&lt;/DocAmend2&gt;</w:t>
      </w:r>
    </w:p>
    <w:p w:rsidR="0018078A" w:rsidRPr="004A7A04" w:rsidRDefault="003E6EC1" w:rsidP="0018078A">
      <w:r w:rsidRPr="004A7A04">
        <w:rPr>
          <w:rStyle w:val="HideTWBExt"/>
        </w:rPr>
        <w:t>&lt;Article2&gt;</w:t>
      </w:r>
      <w:r w:rsidRPr="004A7A04">
        <w:t>Artikel 5b – stk. 6</w:t>
      </w:r>
      <w:r w:rsidRPr="004A7A0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hideMark/>
          </w:tcPr>
          <w:p w:rsidR="0018078A" w:rsidRPr="004A7A04" w:rsidRDefault="003E6EC1">
            <w:pPr>
              <w:pStyle w:val="Normal6"/>
            </w:pPr>
            <w:r w:rsidRPr="004A7A04">
              <w:t>6.</w:t>
            </w:r>
            <w:r w:rsidRPr="004A7A04">
              <w:tab/>
              <w:t>Europol opretter en reservepulje af eksperter fra medlemsstaterne til indsættelse af Europol med henblik på operationel støtte. Reservepuljen sam</w:t>
            </w:r>
            <w:r w:rsidRPr="004A7A04">
              <w:t>mensættes af eksperter, der arbejder i deres medlemsstater, og som straks kan stilles til rådighed for Europol til dette formål. Medlemsstaterne sikrer, at deres eksperter står til rådighed til efter anmodning fra Europol at blive indsat som udstationerede</w:t>
            </w:r>
            <w:r w:rsidRPr="004A7A04">
              <w:t xml:space="preserve"> nationale eksperter af Europol med henblik på operationel </w:t>
            </w:r>
            <w:r w:rsidRPr="004A7A04">
              <w:rPr>
                <w:b/>
                <w:i/>
              </w:rPr>
              <w:t>støtte</w:t>
            </w:r>
            <w:r w:rsidRPr="004A7A04">
              <w:t>.</w:t>
            </w:r>
          </w:p>
        </w:tc>
        <w:tc>
          <w:tcPr>
            <w:tcW w:w="4876" w:type="dxa"/>
            <w:hideMark/>
          </w:tcPr>
          <w:p w:rsidR="0018078A" w:rsidRPr="004A7A04" w:rsidRDefault="003E6EC1">
            <w:pPr>
              <w:pStyle w:val="Normal6"/>
              <w:rPr>
                <w:szCs w:val="24"/>
              </w:rPr>
            </w:pPr>
            <w:r w:rsidRPr="004A7A04">
              <w:t>6.</w:t>
            </w:r>
            <w:r w:rsidRPr="004A7A04">
              <w:tab/>
              <w:t xml:space="preserve">Europol opretter en </w:t>
            </w:r>
            <w:r w:rsidRPr="004A7A04">
              <w:rPr>
                <w:b/>
                <w:i/>
              </w:rPr>
              <w:t xml:space="preserve">obligatorisk </w:t>
            </w:r>
            <w:r w:rsidRPr="004A7A04">
              <w:t xml:space="preserve">reservepulje af eksperter fra medlemsstaterne til indsættelse af Europol med henblik på operationel støtte. Reservepuljen sammensættes af eksperter, der </w:t>
            </w:r>
            <w:r w:rsidRPr="004A7A04">
              <w:t>arbejder i deres medlemsstater, og som straks kan stilles til rådighed for Europol til dette formål. Medlemsstaterne sikrer, at deres eksperter står til rådighed til efter anmodning fra Europol at blive indsat som udstationerede nationale eksperter af Euro</w:t>
            </w:r>
            <w:r w:rsidRPr="004A7A04">
              <w:t xml:space="preserve">pol med henblik på operationel </w:t>
            </w:r>
            <w:r w:rsidRPr="004A7A04">
              <w:rPr>
                <w:b/>
                <w:i/>
              </w:rPr>
              <w:t>støtte i overensstemmelse med princippet om rimelig ansvarsfordeling, idet det sikres, at hver medlemsstat yder et rimeligt bidrag, samtidig med at den bevarer de ressourcer, der er nødvendige for udøvelsen af sit nationale a</w:t>
            </w:r>
            <w:r w:rsidRPr="004A7A04">
              <w:rPr>
                <w:b/>
                <w:i/>
              </w:rPr>
              <w:t>nsvar.</w:t>
            </w:r>
            <w:r w:rsidRPr="004A7A04">
              <w:t xml:space="preserve"> </w:t>
            </w:r>
            <w:r w:rsidRPr="004A7A04">
              <w:rPr>
                <w:b/>
                <w:i/>
              </w:rPr>
              <w:t>Reservepuljens sammensætning skal i videst muligt omfang være både geografisk afbalanceret og stå i et rimeligt forhold til hver medlemsstats kapacitet.</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40</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Artikel 9 – stk. 1 – nr. 3</w:t>
      </w:r>
      <w:r w:rsidRPr="004A7A04">
        <w:rPr>
          <w:rStyle w:val="HideTWBExt"/>
          <w:b w:val="0"/>
        </w:rPr>
        <w:t>&lt;/Article&gt;</w:t>
      </w:r>
    </w:p>
    <w:p w:rsidR="0018078A" w:rsidRPr="004A7A04" w:rsidRDefault="003E6EC1" w:rsidP="0018078A">
      <w:pPr>
        <w:keepNext/>
      </w:pPr>
      <w:r w:rsidRPr="004A7A04">
        <w:rPr>
          <w:rStyle w:val="HideTWBExt"/>
        </w:rPr>
        <w:t>&lt;DocAmend2&gt;</w:t>
      </w:r>
      <w:r w:rsidRPr="004A7A04">
        <w:t>Forordning (EU) 2016/794</w:t>
      </w:r>
      <w:r w:rsidRPr="004A7A04">
        <w:rPr>
          <w:rStyle w:val="HideTWBExt"/>
        </w:rPr>
        <w:t>&lt;/DocAmend2&gt;</w:t>
      </w:r>
    </w:p>
    <w:p w:rsidR="0018078A" w:rsidRPr="004A7A04" w:rsidRDefault="003E6EC1" w:rsidP="0018078A">
      <w:r w:rsidRPr="004A7A04">
        <w:rPr>
          <w:rStyle w:val="HideTWBExt"/>
        </w:rPr>
        <w:t>&lt;Article2&gt;</w:t>
      </w:r>
      <w:r w:rsidRPr="004A7A04">
        <w:t>Artikel 5b – stk. 9</w:t>
      </w:r>
      <w:r w:rsidRPr="004A7A0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hideMark/>
          </w:tcPr>
          <w:p w:rsidR="0018078A" w:rsidRPr="004A7A04" w:rsidRDefault="003E6EC1">
            <w:pPr>
              <w:pStyle w:val="Normal6"/>
            </w:pPr>
            <w:r w:rsidRPr="004A7A04">
              <w:t>9.</w:t>
            </w:r>
            <w:r w:rsidRPr="004A7A04">
              <w:tab/>
            </w:r>
            <w:r w:rsidRPr="004A7A04">
              <w:rPr>
                <w:b/>
                <w:i/>
              </w:rPr>
              <w:t>Bestyrelsen</w:t>
            </w:r>
            <w:r w:rsidRPr="004A7A04">
              <w:t xml:space="preserve"> vedtager gennemførelsesbestemmelser for forberedelsen og gennemførelsen af indsættelse af Europol med henblik på operationel støtte, herunder om antallet af eksperter, der skal indgå i reservepuljen, og deres profiler, samt eventuelle senere ændringer her</w:t>
            </w:r>
            <w:r w:rsidRPr="004A7A04">
              <w:t>af.</w:t>
            </w:r>
          </w:p>
        </w:tc>
        <w:tc>
          <w:tcPr>
            <w:tcW w:w="4876" w:type="dxa"/>
            <w:hideMark/>
          </w:tcPr>
          <w:p w:rsidR="0018078A" w:rsidRPr="004A7A04" w:rsidRDefault="003E6EC1">
            <w:pPr>
              <w:pStyle w:val="Normal6"/>
              <w:rPr>
                <w:szCs w:val="24"/>
              </w:rPr>
            </w:pPr>
            <w:r w:rsidRPr="004A7A04">
              <w:t>9.</w:t>
            </w:r>
            <w:r w:rsidRPr="004A7A04">
              <w:tab/>
            </w:r>
            <w:r w:rsidRPr="004A7A04">
              <w:rPr>
                <w:b/>
                <w:i/>
              </w:rPr>
              <w:t>Efter forslag fra den administrerende direktør</w:t>
            </w:r>
            <w:r w:rsidRPr="004A7A04">
              <w:t xml:space="preserve"> vedtager</w:t>
            </w:r>
            <w:r w:rsidRPr="004A7A04">
              <w:rPr>
                <w:b/>
                <w:i/>
              </w:rPr>
              <w:t xml:space="preserve"> bestyrelsen</w:t>
            </w:r>
            <w:r w:rsidRPr="004A7A04">
              <w:t xml:space="preserve"> gennemførelsesbestemmelser for forberedelsen og gennemførelsen af indsættelse af Europol med henblik på operationel støtte, herunder om antallet af eksperter, der skal indgå i reser</w:t>
            </w:r>
            <w:r w:rsidRPr="004A7A04">
              <w:t>vepuljen, og deres profiler, samt eventuelle senere ændringer heraf.</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41</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Artikel 9 – stk. 1 – nr. 3 a (nyt)</w:t>
      </w:r>
      <w:r w:rsidRPr="004A7A04">
        <w:rPr>
          <w:rStyle w:val="HideTWBExt"/>
          <w:b w:val="0"/>
        </w:rPr>
        <w:t>&lt;/Article&gt;</w:t>
      </w:r>
    </w:p>
    <w:p w:rsidR="0018078A" w:rsidRPr="004A7A04" w:rsidRDefault="003E6EC1" w:rsidP="0018078A">
      <w:pPr>
        <w:keepNext/>
      </w:pPr>
      <w:r w:rsidRPr="004A7A04">
        <w:rPr>
          <w:rStyle w:val="HideTWBExt"/>
        </w:rPr>
        <w:t>&lt;DocAmend2&gt;</w:t>
      </w:r>
      <w:r w:rsidRPr="004A7A04">
        <w:t>Forordning (EU) 2016/794</w:t>
      </w:r>
      <w:r w:rsidRPr="004A7A04">
        <w:rPr>
          <w:rStyle w:val="HideTWBExt"/>
        </w:rPr>
        <w:t>&lt;/DocAmend2&gt;</w:t>
      </w:r>
    </w:p>
    <w:p w:rsidR="0018078A" w:rsidRPr="004A7A04" w:rsidRDefault="003E6EC1" w:rsidP="0018078A">
      <w:r w:rsidRPr="004A7A04">
        <w:rPr>
          <w:rStyle w:val="HideTWBExt"/>
        </w:rPr>
        <w:t>&lt;Article2&gt;</w:t>
      </w:r>
      <w:r w:rsidRPr="004A7A04">
        <w:t>Artikel 8 a (ny)</w:t>
      </w:r>
      <w:r w:rsidRPr="004A7A0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rsidP="008B091D">
            <w:pPr>
              <w:pStyle w:val="Normal6"/>
              <w:rPr>
                <w:szCs w:val="24"/>
              </w:rPr>
            </w:pPr>
            <w:r w:rsidRPr="004A7A04">
              <w:rPr>
                <w:b/>
                <w:i/>
              </w:rPr>
              <w:t>3a)</w:t>
            </w:r>
            <w:r w:rsidRPr="004A7A04">
              <w:rPr>
                <w:b/>
                <w:i/>
              </w:rPr>
              <w:tab/>
              <w:t>Følgende indsættes:</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"Artikel 8a</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 xml:space="preserve">Nationale specialiserede tjenester til forebyggelse og bekæmpelse af smugling af </w:t>
            </w:r>
            <w:r w:rsidRPr="004A7A04">
              <w:rPr>
                <w:b/>
                <w:i/>
              </w:rPr>
              <w:t>migranter og menneskehandel</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rsidP="008B091D">
            <w:pPr>
              <w:pStyle w:val="Normal6"/>
              <w:rPr>
                <w:szCs w:val="24"/>
              </w:rPr>
            </w:pPr>
            <w:r w:rsidRPr="004A7A04">
              <w:rPr>
                <w:b/>
                <w:i/>
              </w:rPr>
              <w:t>1.</w:t>
            </w:r>
            <w:r w:rsidRPr="004A7A04">
              <w:rPr>
                <w:b/>
                <w:i/>
              </w:rPr>
              <w:tab/>
              <w:t>Senest ... [et år efter denne forordnings ikrafttræden] udpeger hver medlemsstat i overensstemmelse med national ret en eller flere specialiserede tjenester under sine kompetente myndigheder for at forebygge og bekæmpe smug</w:t>
            </w:r>
            <w:r w:rsidRPr="004A7A04">
              <w:rPr>
                <w:b/>
                <w:i/>
              </w:rPr>
              <w:t>ling af migranter og menneskehandel, herunder gennem strafferetlig efterforskning, og underretter straks Kommissionen herom.</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2.</w:t>
            </w:r>
            <w:r w:rsidRPr="004A7A04">
              <w:rPr>
                <w:b/>
                <w:i/>
              </w:rPr>
              <w:tab/>
              <w:t xml:space="preserve">Hver medlemsstat sikrer, at dens specialiserede tjenester, der er udpeget i henhold til denne artikels stk. 1, indsamler alle </w:t>
            </w:r>
            <w:r w:rsidRPr="004A7A04">
              <w:rPr>
                <w:b/>
                <w:i/>
              </w:rPr>
              <w:t xml:space="preserve">relevante oplysninger vedrørende strafferetlig efterforskning af smugling af migranter og menneskehandel og alle oplysninger hidrørende fra denne efterforskning og udveksler hurtigst muligt disse oplysninger med Europol og andre medlemsstater via Europols </w:t>
            </w:r>
            <w:r w:rsidRPr="004A7A04">
              <w:rPr>
                <w:b/>
                <w:i/>
              </w:rPr>
              <w:t>netværksprogram til sikker informationsudveksling (SIENA).</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3.</w:t>
            </w:r>
            <w:r w:rsidRPr="004A7A04">
              <w:rPr>
                <w:b/>
                <w:i/>
              </w:rPr>
              <w:tab/>
              <w:t>Hver medlemsstat sikrer, at dens indvandringsforbindelsesofficerer er forbundet med SIENA og, så vidt muligt og i overensstemmelse med national ret, samarbejder med de specialiserede tjenester</w:t>
            </w:r>
            <w:r w:rsidRPr="004A7A04">
              <w:rPr>
                <w:b/>
                <w:i/>
              </w:rPr>
              <w:t>, der er udpeget i overensstemmelse med stk. 1, og Europol om forebyggelse og bekæmpelse af smugling af migranter og menneskehandel."</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42</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Artikel 9 – stk. 1 – nr. 3 b (nyt)</w:t>
      </w:r>
      <w:r w:rsidRPr="004A7A04">
        <w:rPr>
          <w:rStyle w:val="HideTWBExt"/>
          <w:b w:val="0"/>
        </w:rPr>
        <w:t>&lt;/Article&gt;</w:t>
      </w:r>
    </w:p>
    <w:p w:rsidR="0018078A" w:rsidRPr="004A7A04" w:rsidRDefault="003E6EC1" w:rsidP="0018078A">
      <w:pPr>
        <w:keepNext/>
      </w:pPr>
      <w:r w:rsidRPr="004A7A04">
        <w:rPr>
          <w:rStyle w:val="HideTWBExt"/>
        </w:rPr>
        <w:t>&lt;DocAmend2&gt;</w:t>
      </w:r>
      <w:r w:rsidRPr="004A7A04">
        <w:t>Forordning (EU) 2016/794</w:t>
      </w:r>
      <w:r w:rsidRPr="004A7A04">
        <w:rPr>
          <w:rStyle w:val="HideTWBExt"/>
        </w:rPr>
        <w:t>&lt;/DocAmend2&gt;</w:t>
      </w:r>
    </w:p>
    <w:p w:rsidR="0018078A" w:rsidRPr="004A7A04" w:rsidRDefault="003E6EC1" w:rsidP="0018078A">
      <w:r w:rsidRPr="004A7A04">
        <w:rPr>
          <w:rStyle w:val="HideTWBExt"/>
        </w:rPr>
        <w:t>&lt;Article2&gt;</w:t>
      </w:r>
      <w:r w:rsidRPr="004A7A04">
        <w:t>Afdeling 2 a (ny) – artikel 16a (ny)</w:t>
      </w:r>
      <w:r w:rsidRPr="004A7A0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rsidP="008B091D">
            <w:pPr>
              <w:pStyle w:val="Normal6"/>
              <w:rPr>
                <w:szCs w:val="24"/>
              </w:rPr>
            </w:pPr>
            <w:r w:rsidRPr="004A7A04">
              <w:rPr>
                <w:b/>
                <w:i/>
              </w:rPr>
              <w:t>3b)</w:t>
            </w:r>
            <w:r w:rsidRPr="004A7A04">
              <w:rPr>
                <w:b/>
                <w:i/>
              </w:rPr>
              <w:tab/>
              <w:t>Følgende afdeling indsættes:</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rsidP="008B091D">
            <w:pPr>
              <w:pStyle w:val="Normal6"/>
              <w:rPr>
                <w:szCs w:val="24"/>
              </w:rPr>
            </w:pPr>
            <w:r w:rsidRPr="004A7A04">
              <w:rPr>
                <w:b/>
                <w:i/>
              </w:rPr>
              <w:t>"Afdeling 2a</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Det Europæiske Center for Bekæmpelse af Migrantsmugling</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Artikel 16a</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Sammensætning af Det Europæiske Center for Bekæmpelse af Migrantsmuglings og dets opgaver</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1.</w:t>
            </w:r>
            <w:r w:rsidRPr="004A7A04">
              <w:rPr>
                <w:b/>
                <w:i/>
              </w:rPr>
              <w:tab/>
              <w:t>Det Europæiske Center for Bekæmpelse af Migrantsmugling oprettes under Eur</w:t>
            </w:r>
            <w:r w:rsidRPr="004A7A04">
              <w:rPr>
                <w:b/>
                <w:i/>
              </w:rPr>
              <w:t>opol som et specialiseret EU-ekspertisecenter. Det bistår medlemsstaterne i deres indsats for at forebygge og bekæmpe smugling af migranter og menneskehandel ved at udføre operationelle og strategiske opgaver. Disse opgaver omfatter koordinering, tilrettel</w:t>
            </w:r>
            <w:r w:rsidRPr="004A7A04">
              <w:rPr>
                <w:b/>
                <w:i/>
              </w:rPr>
              <w:t>æggelse og gennemførelse af efterforskningsmæssige og operationelle foranstaltninger og støtte til medlemsstaternes informationsudvekslingsaktiviteter, operationer og efterforskninger på tværs af landegrænserne samt fælles efterforskningshold og operatione</w:t>
            </w:r>
            <w:r w:rsidRPr="004A7A04">
              <w:rPr>
                <w:b/>
                <w:i/>
              </w:rPr>
              <w:t>lle taskforcer. De omfatter også overvågning af smugling af migranter og menneskehandel, der finder sted i Unionen og i tredjelande, og udpegelse af sager vedrørende smugling af migranter og menneskehandel, der kan kræve samarbejde med tredjelande, herunde</w:t>
            </w:r>
            <w:r w:rsidRPr="004A7A04">
              <w:rPr>
                <w:b/>
                <w:i/>
              </w:rPr>
              <w:t>r ved udveksling af personoplysninger. Det Europæiske Center for Bekæmpelse af Migrantsmugling udarbejder også strategiske analyser og trusselsvurderinger om smugling af migranter og menneskehandel og en årlig rapport med angivelse af de vigtigste operatio</w:t>
            </w:r>
            <w:r w:rsidRPr="004A7A04">
              <w:rPr>
                <w:b/>
                <w:i/>
              </w:rPr>
              <w:t>nelle prioriteter og de mulige relaterede foranstaltninger på EU-plan.</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2.</w:t>
            </w:r>
            <w:r w:rsidRPr="004A7A04">
              <w:rPr>
                <w:b/>
                <w:i/>
              </w:rPr>
              <w:tab/>
              <w:t>Europol giver Det Europæiske Center for Bekæmpelse af Migrantsmugling tilstrækkelige ressourcer til at udføre sine opgaver.</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3.</w:t>
            </w:r>
            <w:r w:rsidRPr="004A7A04">
              <w:rPr>
                <w:b/>
                <w:i/>
              </w:rPr>
              <w:tab/>
              <w:t xml:space="preserve">Det Europæiske Center for Bekæmpelse af </w:t>
            </w:r>
            <w:r w:rsidRPr="004A7A04">
              <w:rPr>
                <w:b/>
                <w:i/>
              </w:rPr>
              <w:t>Migrantsmugling består af Europols personale og repræsentanter for følgende enheder:</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a)</w:t>
            </w:r>
            <w:r w:rsidRPr="004A7A04">
              <w:rPr>
                <w:b/>
                <w:i/>
              </w:rPr>
              <w:tab/>
              <w:t>en repræsentant for hver medlemsstat, der er udpeget fra en national specialiseret tjeneste under de kompetente myndigheder, der er ansvarlige for at forebygge og bek</w:t>
            </w:r>
            <w:r w:rsidRPr="004A7A04">
              <w:rPr>
                <w:b/>
                <w:i/>
              </w:rPr>
              <w:t>æmpe af smugling af migranter og menneskehandel, jf. artikel 8a</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b)</w:t>
            </w:r>
            <w:r w:rsidRPr="004A7A04">
              <w:rPr>
                <w:b/>
                <w:i/>
              </w:rPr>
              <w:tab/>
              <w:t>en fast repræsentant for Eurojust</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c)</w:t>
            </w:r>
            <w:r w:rsidRPr="004A7A04">
              <w:rPr>
                <w:b/>
                <w:i/>
              </w:rPr>
              <w:tab/>
              <w:t>en fast repræsentant for Det Europæiske Agentur for Grænse- og Kystbevogtning.</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Europol kan opfordre andre deltagere til at deltage i Det Europæisk</w:t>
            </w:r>
            <w:r w:rsidRPr="004A7A04">
              <w:rPr>
                <w:b/>
                <w:i/>
              </w:rPr>
              <w:t>e Center for Bekæmpelse af Migrantsmuglings aktiviteter.</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4.</w:t>
            </w:r>
            <w:r w:rsidRPr="004A7A04">
              <w:rPr>
                <w:b/>
                <w:i/>
              </w:rPr>
              <w:tab/>
              <w:t>Efter forslag fra den administrerende direktør og efter høring af de enheder, der er anført i stk. 3, litra a), b) og c), vedtager bestyrelsen gennemførelsesbestemmelser for Det Europæiske Cente</w:t>
            </w:r>
            <w:r w:rsidRPr="004A7A04">
              <w:rPr>
                <w:b/>
                <w:i/>
              </w:rPr>
              <w:t>r for Bekæmpelse af Migrantsmugling, herunder om de typer af operationelle og strategiske opgaver, der skal udføres, og om deltagelse af de repræsentanter og indbudte deltagere, der er anført i stk. 3. EU-organer eller -agenturer, herunder dem, der er omha</w:t>
            </w:r>
            <w:r w:rsidRPr="004A7A04">
              <w:rPr>
                <w:b/>
                <w:i/>
              </w:rPr>
              <w:t>ndlet i stk. 3, som deltager i Det Europæiske Center for Bekæmpelse af Migrantsmuglings aktiviteter, gør dette i overensstemmelse med deres respektive retlige rammer."</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pPr>
        <w:pStyle w:val="JustificationTitle"/>
        <w:rPr>
          <w:noProof w:val="0"/>
        </w:rPr>
      </w:pPr>
      <w:r w:rsidRPr="004A7A04">
        <w:rPr>
          <w:rStyle w:val="HideTWBExt"/>
          <w:i w:val="0"/>
        </w:rPr>
        <w:t>&lt;TitreJust&gt;</w:t>
      </w:r>
      <w:r w:rsidRPr="004A7A04">
        <w:t>Begrundelse</w:t>
      </w:r>
      <w:r w:rsidRPr="004A7A04">
        <w:rPr>
          <w:rStyle w:val="HideTWBExt"/>
          <w:i w:val="0"/>
        </w:rPr>
        <w:t>&lt;/TitreJust&gt;</w:t>
      </w:r>
    </w:p>
    <w:p w:rsidR="0018078A" w:rsidRPr="004A7A04" w:rsidRDefault="003E6EC1" w:rsidP="0018078A">
      <w:pPr>
        <w:pStyle w:val="Normal12Italic"/>
        <w:rPr>
          <w:noProof w:val="0"/>
        </w:rPr>
      </w:pPr>
      <w:r w:rsidRPr="004A7A04">
        <w:t xml:space="preserve">Det foreslås at </w:t>
      </w:r>
      <w:r w:rsidRPr="004A7A04">
        <w:t>oprette Det Europæiske Center for Bekæmpelse af Migrantsmugling inden for rammerne af Europolforordningen. Det foreslås, at bestyrelsen på grundlag af et forslag fra den administrerende direktør får større råderum til at træffe afgørelse om centrets detalj</w:t>
      </w:r>
      <w:r w:rsidRPr="004A7A04">
        <w:t>erede opgaver og andre enheders deltagelse (stk. 4).</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43</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Artikel 9 – stk. 1 – nr. 4 a (nyt)</w:t>
      </w:r>
      <w:r w:rsidRPr="004A7A04">
        <w:rPr>
          <w:rStyle w:val="HideTWBExt"/>
          <w:b w:val="0"/>
        </w:rPr>
        <w:t>&lt;/Article&gt;</w:t>
      </w:r>
    </w:p>
    <w:p w:rsidR="0018078A" w:rsidRPr="004A7A04" w:rsidRDefault="003E6EC1" w:rsidP="0018078A">
      <w:pPr>
        <w:keepNext/>
      </w:pPr>
      <w:r w:rsidRPr="004A7A04">
        <w:rPr>
          <w:rStyle w:val="HideTWBExt"/>
        </w:rPr>
        <w:t>&lt;DocAmend2&gt;</w:t>
      </w:r>
      <w:r w:rsidRPr="004A7A04">
        <w:t>Forordning (EU) 2016/794</w:t>
      </w:r>
      <w:r w:rsidRPr="004A7A04">
        <w:rPr>
          <w:rStyle w:val="HideTWBExt"/>
        </w:rPr>
        <w:t>&lt;/DocAmend2&gt;</w:t>
      </w:r>
    </w:p>
    <w:p w:rsidR="0018078A" w:rsidRPr="004A7A04" w:rsidRDefault="003E6EC1" w:rsidP="0018078A">
      <w:r w:rsidRPr="004A7A04">
        <w:rPr>
          <w:rStyle w:val="HideTWBExt"/>
        </w:rPr>
        <w:t>&lt;Article2&gt;</w:t>
      </w:r>
      <w:r w:rsidRPr="004A7A04">
        <w:t>Artikel 49 – stk. 5 a (nyt)</w:t>
      </w:r>
      <w:r w:rsidRPr="004A7A0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rsidP="008B091D">
            <w:pPr>
              <w:pStyle w:val="Normal6"/>
              <w:rPr>
                <w:szCs w:val="24"/>
              </w:rPr>
            </w:pPr>
            <w:r w:rsidRPr="004A7A04">
              <w:rPr>
                <w:b/>
                <w:i/>
              </w:rPr>
              <w:t>4a)</w:t>
            </w:r>
            <w:r w:rsidRPr="004A7A04">
              <w:rPr>
                <w:b/>
                <w:i/>
              </w:rPr>
              <w:tab/>
              <w:t>I artikel 49 tilføjes følgende stykke:</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"5a.</w:t>
            </w:r>
            <w:r w:rsidRPr="004A7A04">
              <w:rPr>
                <w:b/>
                <w:i/>
              </w:rPr>
              <w:tab/>
              <w:t xml:space="preserve">Enhver person, som har lidt materiel eller immateriel skade som følge af en overtrædelse af denne forordning, har </w:t>
            </w:r>
            <w:r w:rsidRPr="004A7A04">
              <w:rPr>
                <w:b/>
                <w:i/>
              </w:rPr>
              <w:t>ret til erstatning i overensstemmelse med artikel 65 i forordning (EU) 2018/1725 og artikel 56 i direktiv (EU) 2016/680."</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44</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Artikel 9 – stk. 1 – nr. 4 b (nyt)</w:t>
      </w:r>
      <w:r w:rsidRPr="004A7A04">
        <w:rPr>
          <w:rStyle w:val="HideTWBExt"/>
          <w:b w:val="0"/>
        </w:rPr>
        <w:t>&lt;/Article&gt;</w:t>
      </w:r>
    </w:p>
    <w:p w:rsidR="0018078A" w:rsidRPr="004A7A04" w:rsidRDefault="003E6EC1" w:rsidP="0018078A">
      <w:pPr>
        <w:keepNext/>
      </w:pPr>
      <w:r w:rsidRPr="004A7A04">
        <w:rPr>
          <w:rStyle w:val="HideTWBExt"/>
        </w:rPr>
        <w:t>&lt;DocAmend2&gt;</w:t>
      </w:r>
      <w:r w:rsidRPr="004A7A04">
        <w:t>Forordning (EU) 2016/794</w:t>
      </w:r>
      <w:r w:rsidRPr="004A7A04">
        <w:rPr>
          <w:rStyle w:val="HideTWBExt"/>
        </w:rPr>
        <w:t>&lt;/DocAmend2&gt;</w:t>
      </w:r>
    </w:p>
    <w:p w:rsidR="0018078A" w:rsidRPr="004A7A04" w:rsidRDefault="003E6EC1" w:rsidP="0018078A">
      <w:r w:rsidRPr="004A7A04">
        <w:rPr>
          <w:rStyle w:val="HideTWBExt"/>
        </w:rPr>
        <w:t>&lt;Article2&gt;</w:t>
      </w:r>
      <w:r w:rsidRPr="004A7A04">
        <w:t>Artikel 50</w:t>
      </w:r>
      <w:r w:rsidRPr="004A7A0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rsidP="008B091D">
            <w:pPr>
              <w:pStyle w:val="ColumnHeading"/>
              <w:keepNext/>
            </w:pPr>
            <w:r w:rsidRPr="004A7A04">
              <w:t>Gældende ordlyd</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rsidP="003C4EC2">
            <w:pPr>
              <w:pStyle w:val="Normal6"/>
              <w:rPr>
                <w:szCs w:val="24"/>
              </w:rPr>
            </w:pPr>
            <w:r w:rsidRPr="004A7A04">
              <w:rPr>
                <w:b/>
                <w:i/>
              </w:rPr>
              <w:t>4b)</w:t>
            </w:r>
            <w:r w:rsidRPr="004A7A04">
              <w:rPr>
                <w:b/>
                <w:i/>
              </w:rPr>
              <w:tab/>
              <w:t>Artikel 50 affattes således:</w:t>
            </w:r>
          </w:p>
        </w:tc>
      </w:tr>
      <w:tr w:rsidR="00502EA6" w:rsidRPr="004A7A04" w:rsidTr="0018078A">
        <w:trPr>
          <w:jc w:val="center"/>
        </w:trPr>
        <w:tc>
          <w:tcPr>
            <w:tcW w:w="4876" w:type="dxa"/>
          </w:tcPr>
          <w:p w:rsidR="0018078A" w:rsidRPr="004A7A04" w:rsidRDefault="003E6EC1">
            <w:pPr>
              <w:pStyle w:val="Normal6"/>
            </w:pPr>
            <w:r w:rsidRPr="004A7A04">
              <w:rPr>
                <w:b/>
                <w:i/>
              </w:rPr>
              <w:t>Artikel 50</w:t>
            </w:r>
          </w:p>
        </w:tc>
        <w:tc>
          <w:tcPr>
            <w:tcW w:w="4876" w:type="dxa"/>
            <w:hideMark/>
          </w:tcPr>
          <w:p w:rsidR="0018078A" w:rsidRPr="004A7A04" w:rsidRDefault="003E6EC1">
            <w:pPr>
              <w:pStyle w:val="Normal6"/>
              <w:rPr>
                <w:szCs w:val="24"/>
              </w:rPr>
            </w:pPr>
            <w:r w:rsidRPr="004A7A04">
              <w:rPr>
                <w:b/>
                <w:i/>
              </w:rPr>
              <w:t>"Artikel 50</w:t>
            </w:r>
          </w:p>
        </w:tc>
      </w:tr>
      <w:tr w:rsidR="00502EA6" w:rsidRPr="004A7A04" w:rsidTr="0018078A">
        <w:trPr>
          <w:jc w:val="center"/>
        </w:trPr>
        <w:tc>
          <w:tcPr>
            <w:tcW w:w="4876" w:type="dxa"/>
          </w:tcPr>
          <w:p w:rsidR="0018078A" w:rsidRPr="004A7A04" w:rsidRDefault="003E6EC1">
            <w:pPr>
              <w:pStyle w:val="Normal6"/>
            </w:pPr>
            <w:r w:rsidRPr="004A7A04">
              <w:t xml:space="preserve">Ansvar for forkert behandling af </w:t>
            </w:r>
            <w:r w:rsidRPr="004A7A04">
              <w:rPr>
                <w:b/>
                <w:i/>
              </w:rPr>
              <w:t>personoplysninger og ret til erstatning</w:t>
            </w:r>
          </w:p>
        </w:tc>
        <w:tc>
          <w:tcPr>
            <w:tcW w:w="4876" w:type="dxa"/>
            <w:hideMark/>
          </w:tcPr>
          <w:p w:rsidR="0018078A" w:rsidRPr="004A7A04" w:rsidRDefault="003E6EC1">
            <w:pPr>
              <w:pStyle w:val="Normal6"/>
              <w:rPr>
                <w:szCs w:val="24"/>
              </w:rPr>
            </w:pPr>
            <w:r w:rsidRPr="004A7A04">
              <w:t xml:space="preserve">Ansvar for </w:t>
            </w:r>
            <w:r w:rsidRPr="004A7A04">
              <w:rPr>
                <w:b/>
                <w:i/>
              </w:rPr>
              <w:t xml:space="preserve">uautoriseret eller </w:t>
            </w:r>
            <w:r w:rsidRPr="004A7A04">
              <w:t xml:space="preserve">forkert behandling af </w:t>
            </w:r>
            <w:r w:rsidRPr="004A7A04">
              <w:rPr>
                <w:b/>
                <w:i/>
              </w:rPr>
              <w:t>oplysninger</w:t>
            </w:r>
          </w:p>
        </w:tc>
      </w:tr>
      <w:tr w:rsidR="00502EA6" w:rsidRPr="004A7A04" w:rsidTr="0018078A">
        <w:trPr>
          <w:jc w:val="center"/>
        </w:trPr>
        <w:tc>
          <w:tcPr>
            <w:tcW w:w="4876" w:type="dxa"/>
          </w:tcPr>
          <w:p w:rsidR="0018078A" w:rsidRPr="004A7A04" w:rsidRDefault="003E6EC1">
            <w:pPr>
              <w:pStyle w:val="Normal6"/>
            </w:pPr>
            <w:r w:rsidRPr="004A7A04">
              <w:t>1.</w:t>
            </w:r>
            <w:r w:rsidRPr="004A7A04">
              <w:tab/>
            </w:r>
            <w:r w:rsidRPr="004A7A04">
              <w:rPr>
                <w:b/>
                <w:i/>
              </w:rPr>
              <w:t>Enhver, der har lidt skade som følge af ulovlig behandling af oplysninger, har ret til erstatning for den forvoldte</w:t>
            </w:r>
            <w:r w:rsidRPr="004A7A04">
              <w:rPr>
                <w:b/>
                <w:i/>
              </w:rPr>
              <w:t xml:space="preserve"> skade enten fra Europol</w:t>
            </w:r>
            <w:r w:rsidRPr="004A7A04">
              <w:t xml:space="preserve"> i henhold til artikel</w:t>
            </w:r>
            <w:r w:rsidRPr="004A7A04">
              <w:rPr>
                <w:b/>
                <w:i/>
              </w:rPr>
              <w:t xml:space="preserve"> </w:t>
            </w:r>
            <w:r w:rsidRPr="004A7A04">
              <w:t xml:space="preserve">340 i TEUF </w:t>
            </w:r>
            <w:r w:rsidRPr="004A7A04">
              <w:rPr>
                <w:b/>
                <w:i/>
              </w:rPr>
              <w:t>eller fra den medlemsstat, hvor den begivenhed</w:t>
            </w:r>
            <w:r w:rsidRPr="004A7A04">
              <w:t xml:space="preserve">, der </w:t>
            </w:r>
            <w:r w:rsidRPr="004A7A04">
              <w:rPr>
                <w:b/>
                <w:i/>
              </w:rPr>
              <w:t>gav anledning til skaden, indtraf, i henhold til medlemsstatens nationale ret.</w:t>
            </w:r>
            <w:r w:rsidRPr="004A7A04">
              <w:t xml:space="preserve"> </w:t>
            </w:r>
            <w:r w:rsidRPr="004A7A04">
              <w:rPr>
                <w:b/>
                <w:i/>
              </w:rPr>
              <w:t>Skadelidte kan indbringe</w:t>
            </w:r>
            <w:r w:rsidRPr="004A7A04">
              <w:t xml:space="preserve"> en </w:t>
            </w:r>
            <w:r w:rsidRPr="004A7A04">
              <w:rPr>
                <w:b/>
                <w:i/>
              </w:rPr>
              <w:t xml:space="preserve">sag mod Europol for Den Europæiske </w:t>
            </w:r>
            <w:r w:rsidRPr="004A7A04">
              <w:rPr>
                <w:b/>
                <w:i/>
              </w:rPr>
              <w:t>Unions Domstol</w:t>
            </w:r>
            <w:r w:rsidRPr="004A7A04">
              <w:t xml:space="preserve"> eller </w:t>
            </w:r>
            <w:r w:rsidRPr="004A7A04">
              <w:rPr>
                <w:b/>
                <w:i/>
              </w:rPr>
              <w:t>mod medlemsstaten for den kompetente retsinstans i den pågældende medlemsstat</w:t>
            </w:r>
            <w:r w:rsidRPr="004A7A04">
              <w:t>.</w:t>
            </w:r>
          </w:p>
        </w:tc>
        <w:tc>
          <w:tcPr>
            <w:tcW w:w="4876" w:type="dxa"/>
            <w:hideMark/>
          </w:tcPr>
          <w:p w:rsidR="0018078A" w:rsidRPr="004A7A04" w:rsidRDefault="003E6EC1">
            <w:pPr>
              <w:pStyle w:val="Normal6"/>
              <w:rPr>
                <w:szCs w:val="24"/>
              </w:rPr>
            </w:pPr>
            <w:r w:rsidRPr="004A7A04">
              <w:t>1.</w:t>
            </w:r>
            <w:r w:rsidRPr="004A7A04">
              <w:rPr>
                <w:b/>
                <w:i/>
              </w:rPr>
              <w:tab/>
              <w:t>Europol er</w:t>
            </w:r>
            <w:r w:rsidRPr="004A7A04">
              <w:t xml:space="preserve"> i henhold til artikel</w:t>
            </w:r>
            <w:r w:rsidRPr="004A7A04">
              <w:rPr>
                <w:b/>
                <w:i/>
              </w:rPr>
              <w:t> </w:t>
            </w:r>
            <w:r w:rsidRPr="004A7A04">
              <w:t xml:space="preserve">340 i TEUF </w:t>
            </w:r>
            <w:r w:rsidRPr="004A7A04">
              <w:rPr>
                <w:b/>
                <w:i/>
              </w:rPr>
              <w:t>ansvarlig for enhver skade</w:t>
            </w:r>
            <w:r w:rsidRPr="004A7A04">
              <w:t xml:space="preserve">, der </w:t>
            </w:r>
            <w:r w:rsidRPr="004A7A04">
              <w:rPr>
                <w:b/>
                <w:i/>
              </w:rPr>
              <w:t>forvoldes</w:t>
            </w:r>
            <w:r w:rsidRPr="004A7A04">
              <w:t xml:space="preserve"> en </w:t>
            </w:r>
            <w:r w:rsidRPr="004A7A04">
              <w:rPr>
                <w:b/>
                <w:i/>
              </w:rPr>
              <w:t>person, og som skyldes Europols uautoriserede</w:t>
            </w:r>
            <w:r w:rsidRPr="004A7A04">
              <w:t xml:space="preserve"> eller </w:t>
            </w:r>
            <w:r w:rsidRPr="004A7A04">
              <w:rPr>
                <w:b/>
                <w:i/>
              </w:rPr>
              <w:t>forkerte beh</w:t>
            </w:r>
            <w:r w:rsidRPr="004A7A04">
              <w:rPr>
                <w:b/>
                <w:i/>
              </w:rPr>
              <w:t>andling af oplysninger</w:t>
            </w:r>
            <w:r w:rsidRPr="004A7A04">
              <w:t>.</w:t>
            </w:r>
          </w:p>
        </w:tc>
      </w:tr>
      <w:tr w:rsidR="00502EA6" w:rsidRPr="004A7A04" w:rsidTr="0018078A">
        <w:trPr>
          <w:jc w:val="center"/>
        </w:trPr>
        <w:tc>
          <w:tcPr>
            <w:tcW w:w="4876" w:type="dxa"/>
          </w:tcPr>
          <w:p w:rsidR="0018078A" w:rsidRPr="004A7A04" w:rsidRDefault="003E6EC1">
            <w:pPr>
              <w:pStyle w:val="Normal6"/>
              <w:rPr>
                <w:b/>
                <w:i/>
              </w:rPr>
            </w:pPr>
            <w:r w:rsidRPr="004A7A04">
              <w:rPr>
                <w:b/>
                <w:i/>
              </w:rPr>
              <w:t>2.</w:t>
            </w:r>
            <w:r w:rsidRPr="004A7A04">
              <w:rPr>
                <w:b/>
                <w:i/>
              </w:rPr>
              <w:tab/>
              <w:t>Tvister mellem Europol og medlemsstaterne om det endelige ansvar for erstatning, der tilkendes en skadelidt i henhold til stk. 1, forelægges for bestyrelsen, der træffer afgørelse med to tredjedeles flertal blandt bestyrelsesmed</w:t>
            </w:r>
            <w:r w:rsidRPr="004A7A04">
              <w:rPr>
                <w:b/>
                <w:i/>
              </w:rPr>
              <w:t>lemmerne, idet dette dog ikke griber ind i retten til prøvelse af den pågældende afgørelse i henhold til artikel 263 i TEUF.</w:t>
            </w:r>
          </w:p>
        </w:tc>
        <w:tc>
          <w:tcPr>
            <w:tcW w:w="4876" w:type="dxa"/>
            <w:hideMark/>
          </w:tcPr>
          <w:p w:rsidR="0018078A" w:rsidRPr="004A7A04" w:rsidRDefault="003E6EC1">
            <w:pPr>
              <w:pStyle w:val="Normal6"/>
              <w:rPr>
                <w:szCs w:val="24"/>
              </w:rPr>
            </w:pPr>
            <w:r w:rsidRPr="004A7A04">
              <w:rPr>
                <w:b/>
                <w:i/>
              </w:rPr>
              <w:t>2.</w:t>
            </w:r>
            <w:r w:rsidRPr="004A7A04">
              <w:rPr>
                <w:b/>
                <w:i/>
              </w:rPr>
              <w:tab/>
              <w:t>Klager over Europol på grund af det ansvar, der er omhandlet i denne artikels stk. 1, behandles af Den Europæiske Unions Domstol</w:t>
            </w:r>
            <w:r w:rsidRPr="004A7A04">
              <w:rPr>
                <w:b/>
                <w:i/>
              </w:rPr>
              <w:t xml:space="preserve"> i overensstemmelse med artikel 268 i TEUF.</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3.</w:t>
            </w:r>
            <w:r w:rsidRPr="004A7A04">
              <w:rPr>
                <w:b/>
                <w:i/>
              </w:rPr>
              <w:tab/>
              <w:t>Enhver medlemsstat er i henhold til sin nationale ret ansvarlig for enhver skade, som forvoldes en person, og som skyldes medlemsstatens uautoriserede eller forkerte behandling af oplysninger, der er videreg</w:t>
            </w:r>
            <w:r w:rsidRPr="004A7A04">
              <w:rPr>
                <w:b/>
                <w:i/>
              </w:rPr>
              <w:t>ivet til Europol."</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pPr>
        <w:pStyle w:val="JustificationTitle"/>
        <w:rPr>
          <w:noProof w:val="0"/>
        </w:rPr>
      </w:pPr>
      <w:r w:rsidRPr="004A7A04">
        <w:rPr>
          <w:rStyle w:val="HideTWBExt"/>
          <w:i w:val="0"/>
        </w:rPr>
        <w:t>&lt;TitreJust&gt;</w:t>
      </w:r>
      <w:r w:rsidRPr="004A7A04">
        <w:t>Begrundelse</w:t>
      </w:r>
      <w:r w:rsidRPr="004A7A04">
        <w:rPr>
          <w:rStyle w:val="HideTWBExt"/>
          <w:i w:val="0"/>
        </w:rPr>
        <w:t>&lt;/TitreJust&gt;</w:t>
      </w:r>
    </w:p>
    <w:p w:rsidR="0018078A" w:rsidRPr="004A7A04" w:rsidRDefault="003E6EC1" w:rsidP="0018078A">
      <w:pPr>
        <w:pStyle w:val="Normal12Italic"/>
        <w:rPr>
          <w:noProof w:val="0"/>
        </w:rPr>
      </w:pPr>
      <w:r w:rsidRPr="004A7A04">
        <w:t>Harmonisering af den gældende ansvars- og erstatningsordning med den tilsvarende i andre agenturer (jf. Eurojustforordningens artikel 46).</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w:t>
      </w:r>
      <w:r w:rsidRPr="004A7A04">
        <w:t>g</w:t>
      </w:r>
      <w:r w:rsidRPr="004A7A04">
        <w:tab/>
      </w:r>
      <w:r w:rsidRPr="004A7A04">
        <w:tab/>
      </w:r>
      <w:r w:rsidRPr="004A7A04">
        <w:rPr>
          <w:rStyle w:val="HideTWBExt"/>
          <w:b w:val="0"/>
        </w:rPr>
        <w:t>&lt;NumAm&gt;</w:t>
      </w:r>
      <w:r w:rsidRPr="004A7A04">
        <w:t>45</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Artikel 9 – stk. 1 – nr. 4 c (nyt)</w:t>
      </w:r>
      <w:r w:rsidRPr="004A7A04">
        <w:rPr>
          <w:rStyle w:val="HideTWBExt"/>
          <w:b w:val="0"/>
        </w:rPr>
        <w:t>&lt;/Article&gt;</w:t>
      </w:r>
    </w:p>
    <w:p w:rsidR="0018078A" w:rsidRPr="004A7A04" w:rsidRDefault="003E6EC1" w:rsidP="0018078A">
      <w:pPr>
        <w:keepNext/>
      </w:pPr>
      <w:r w:rsidRPr="004A7A04">
        <w:rPr>
          <w:rStyle w:val="HideTWBExt"/>
        </w:rPr>
        <w:t>&lt;DocAmend2&gt;</w:t>
      </w:r>
      <w:r w:rsidRPr="004A7A04">
        <w:t>Forordning (EU) 2016/794</w:t>
      </w:r>
      <w:r w:rsidRPr="004A7A04">
        <w:rPr>
          <w:rStyle w:val="HideTWBExt"/>
        </w:rPr>
        <w:t>&lt;/DocAmend2&gt;</w:t>
      </w:r>
    </w:p>
    <w:p w:rsidR="0018078A" w:rsidRPr="004A7A04" w:rsidRDefault="003E6EC1" w:rsidP="0018078A">
      <w:r w:rsidRPr="004A7A04">
        <w:rPr>
          <w:rStyle w:val="HideTWBExt"/>
        </w:rPr>
        <w:t>&lt;Article2&gt;</w:t>
      </w:r>
      <w:r w:rsidRPr="004A7A04">
        <w:t>Artikel 53</w:t>
      </w:r>
      <w:r w:rsidRPr="004A7A0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rsidP="008B091D">
            <w:pPr>
              <w:pStyle w:val="ColumnHeading"/>
              <w:keepNext/>
            </w:pPr>
            <w:r w:rsidRPr="004A7A04">
              <w:t>Gældende ordlyd</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rsidP="003C4EC2">
            <w:pPr>
              <w:pStyle w:val="Normal6"/>
              <w:rPr>
                <w:szCs w:val="24"/>
              </w:rPr>
            </w:pPr>
            <w:r w:rsidRPr="004A7A04">
              <w:rPr>
                <w:b/>
                <w:i/>
              </w:rPr>
              <w:t>4c)</w:t>
            </w:r>
            <w:r w:rsidRPr="004A7A04">
              <w:rPr>
                <w:b/>
                <w:i/>
              </w:rPr>
              <w:tab/>
              <w:t xml:space="preserve">Artikel 53 </w:t>
            </w:r>
            <w:r w:rsidRPr="004A7A04">
              <w:rPr>
                <w:b/>
                <w:i/>
              </w:rPr>
              <w:t>affattes således:</w:t>
            </w:r>
          </w:p>
        </w:tc>
      </w:tr>
      <w:tr w:rsidR="00502EA6" w:rsidRPr="004A7A04" w:rsidTr="0018078A">
        <w:trPr>
          <w:jc w:val="center"/>
        </w:trPr>
        <w:tc>
          <w:tcPr>
            <w:tcW w:w="4876" w:type="dxa"/>
          </w:tcPr>
          <w:p w:rsidR="0018078A" w:rsidRPr="004A7A04" w:rsidRDefault="003E6EC1">
            <w:pPr>
              <w:pStyle w:val="Normal6"/>
            </w:pPr>
            <w:r w:rsidRPr="004A7A04">
              <w:t>Artikel 53</w:t>
            </w:r>
          </w:p>
        </w:tc>
        <w:tc>
          <w:tcPr>
            <w:tcW w:w="4876" w:type="dxa"/>
            <w:hideMark/>
          </w:tcPr>
          <w:p w:rsidR="0018078A" w:rsidRPr="004A7A04" w:rsidRDefault="003E6EC1">
            <w:pPr>
              <w:pStyle w:val="Normal6"/>
              <w:rPr>
                <w:szCs w:val="24"/>
              </w:rPr>
            </w:pPr>
            <w:r w:rsidRPr="004A7A04">
              <w:t>"Artikel 53</w:t>
            </w:r>
          </w:p>
        </w:tc>
      </w:tr>
      <w:tr w:rsidR="00502EA6" w:rsidRPr="004A7A04" w:rsidTr="0018078A">
        <w:trPr>
          <w:jc w:val="center"/>
        </w:trPr>
        <w:tc>
          <w:tcPr>
            <w:tcW w:w="4876" w:type="dxa"/>
          </w:tcPr>
          <w:p w:rsidR="0018078A" w:rsidRPr="004A7A04" w:rsidRDefault="003E6EC1">
            <w:pPr>
              <w:pStyle w:val="Normal6"/>
            </w:pPr>
            <w:r w:rsidRPr="004A7A04">
              <w:t>Generelle bestemmelser</w:t>
            </w:r>
          </w:p>
        </w:tc>
        <w:tc>
          <w:tcPr>
            <w:tcW w:w="4876" w:type="dxa"/>
            <w:hideMark/>
          </w:tcPr>
          <w:p w:rsidR="0018078A" w:rsidRPr="004A7A04" w:rsidRDefault="003E6EC1">
            <w:pPr>
              <w:pStyle w:val="Normal6"/>
              <w:rPr>
                <w:szCs w:val="24"/>
              </w:rPr>
            </w:pPr>
            <w:r w:rsidRPr="004A7A04">
              <w:t>Generelle bestemmelser</w:t>
            </w:r>
          </w:p>
        </w:tc>
      </w:tr>
      <w:tr w:rsidR="00502EA6" w:rsidRPr="004A7A04" w:rsidTr="0018078A">
        <w:trPr>
          <w:jc w:val="center"/>
        </w:trPr>
        <w:tc>
          <w:tcPr>
            <w:tcW w:w="4876" w:type="dxa"/>
          </w:tcPr>
          <w:p w:rsidR="0018078A" w:rsidRPr="004A7A04" w:rsidRDefault="003E6EC1">
            <w:pPr>
              <w:pStyle w:val="Normal6"/>
            </w:pPr>
            <w:r w:rsidRPr="004A7A04">
              <w:t>1.</w:t>
            </w:r>
            <w:r w:rsidRPr="004A7A04">
              <w:tab/>
              <w:t>Personalevedtægten, ansættelsesvilkårene for de øvrige ansatte og de regler, som EU-institutionerne i fællesskab har vedtaget for anvendelsen af personalevedtægten</w:t>
            </w:r>
            <w:r w:rsidRPr="004A7A04">
              <w:t xml:space="preserve"> og af ansættelsesvilkårene for de øvrige ansatte, gælder for Europols personale</w:t>
            </w:r>
            <w:r w:rsidRPr="004A7A04">
              <w:rPr>
                <w:b/>
                <w:i/>
              </w:rPr>
              <w:t xml:space="preserve"> med undtagelse af personale, som den 1. maj 2017 er ansat i henhold til en kontrakt, der er indgået af Europol som oprettet ved Europolkonventionen, jf. dog artikel 73, stk. 4</w:t>
            </w:r>
            <w:r w:rsidRPr="004A7A04">
              <w:rPr>
                <w:b/>
                <w:i/>
              </w:rPr>
              <w:t>, i denne forordning.  Sådanne kontrakter er fortsat reguleret af Rådets retsakt af 3. december 1998.</w:t>
            </w:r>
          </w:p>
        </w:tc>
        <w:tc>
          <w:tcPr>
            <w:tcW w:w="4876" w:type="dxa"/>
            <w:hideMark/>
          </w:tcPr>
          <w:p w:rsidR="0018078A" w:rsidRPr="004A7A04" w:rsidRDefault="003E6EC1">
            <w:pPr>
              <w:pStyle w:val="Normal6"/>
              <w:rPr>
                <w:szCs w:val="24"/>
              </w:rPr>
            </w:pPr>
            <w:r w:rsidRPr="004A7A04">
              <w:t>1.</w:t>
            </w:r>
            <w:r w:rsidRPr="004A7A04">
              <w:tab/>
              <w:t>Personalevedtægten, ansættelsesvilkårene for de øvrige ansatte og de regler, som EU-institutionerne i fællesskab har vedtaget for anvendelsen af person</w:t>
            </w:r>
            <w:r w:rsidRPr="004A7A04">
              <w:t>alevedtægten og af ansættelsesvilkårene for de øvrige ansatte, gælder for Europols personale.</w:t>
            </w:r>
          </w:p>
        </w:tc>
      </w:tr>
      <w:tr w:rsidR="00502EA6" w:rsidRPr="004A7A04" w:rsidTr="0018078A">
        <w:trPr>
          <w:jc w:val="center"/>
        </w:trPr>
        <w:tc>
          <w:tcPr>
            <w:tcW w:w="4876" w:type="dxa"/>
          </w:tcPr>
          <w:p w:rsidR="0018078A" w:rsidRPr="004A7A04" w:rsidRDefault="003E6EC1">
            <w:pPr>
              <w:pStyle w:val="Normal6"/>
            </w:pPr>
            <w:r w:rsidRPr="004A7A04">
              <w:t>2.</w:t>
            </w:r>
            <w:r w:rsidRPr="004A7A04">
              <w:tab/>
              <w:t xml:space="preserve">Europols personale består af midlertidigt ansatte </w:t>
            </w:r>
            <w:r w:rsidRPr="004A7A04">
              <w:rPr>
                <w:b/>
                <w:i/>
              </w:rPr>
              <w:t>og/</w:t>
            </w:r>
            <w:r w:rsidRPr="004A7A04">
              <w:t xml:space="preserve">eller kontraktansatte. Bestyrelsen underrettes hvert år om tidsubegrænsede kontrakter, der er indgået af </w:t>
            </w:r>
            <w:r w:rsidRPr="004A7A04">
              <w:t xml:space="preserve">den administrerende direktør. Bestyrelsen træffer afgørelse om, hvilke af de midlertidige stillinger i stillingsfortegnelsen, der kun kan besættes med ansatte fra medlemsstaternes kompetente myndigheder.  Personale, der ansættes i sådanne stillinger, skal </w:t>
            </w:r>
            <w:r w:rsidRPr="004A7A04">
              <w:t>være midlertidigt ansatte og kan kun ansættes i tidsbegrænsede kontrakter, der kan fornyes én gang for en bestemt periode.</w:t>
            </w:r>
          </w:p>
        </w:tc>
        <w:tc>
          <w:tcPr>
            <w:tcW w:w="4876" w:type="dxa"/>
            <w:hideMark/>
          </w:tcPr>
          <w:p w:rsidR="0018078A" w:rsidRPr="004A7A04" w:rsidRDefault="003E6EC1">
            <w:pPr>
              <w:pStyle w:val="Normal6"/>
              <w:rPr>
                <w:szCs w:val="24"/>
              </w:rPr>
            </w:pPr>
            <w:r w:rsidRPr="004A7A04">
              <w:t>2.</w:t>
            </w:r>
            <w:r w:rsidRPr="004A7A04">
              <w:tab/>
              <w:t>Europols personale består af midlertidigt ansatte eller kontraktansatte. Bestyrelsen underrettes hvert år om tidsubegrænsede kontr</w:t>
            </w:r>
            <w:r w:rsidRPr="004A7A04">
              <w:t>akter, der er indgået af den administrerende direktør. Bestyrelsen træffer afgørelse om, hvilke af de midlertidige stillinger i stillingsfortegnelsen, der kun kan besættes med ansatte fra medlemsstaternes kompetente myndigheder.</w:t>
            </w:r>
            <w:r w:rsidRPr="004A7A04">
              <w:rPr>
                <w:b/>
                <w:i/>
              </w:rPr>
              <w:t xml:space="preserve"> </w:t>
            </w:r>
            <w:r w:rsidRPr="004A7A04">
              <w:t>Personale, der ansættes i s</w:t>
            </w:r>
            <w:r w:rsidRPr="004A7A04">
              <w:t>ådanne stillinger, skal være midlertidigt ansatte og kan kun ansættes i tidsbegrænsede kontrakter, der kan fornyes én gang for en bestemt periode</w:t>
            </w:r>
            <w:r w:rsidRPr="004A7A04">
              <w:rPr>
                <w:b/>
                <w:bCs/>
                <w:i/>
                <w:iCs/>
              </w:rPr>
              <w:t xml:space="preserve"> op til den samlede maksimale varighed på ti år."</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46</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Artikel 9 – stk. 1 – nr. 4 d (nyt)</w:t>
      </w:r>
      <w:r w:rsidRPr="004A7A04">
        <w:rPr>
          <w:rStyle w:val="HideTWBExt"/>
          <w:b w:val="0"/>
        </w:rPr>
        <w:t>&lt;/Article&gt;</w:t>
      </w:r>
    </w:p>
    <w:p w:rsidR="0018078A" w:rsidRPr="004A7A04" w:rsidRDefault="003E6EC1" w:rsidP="0018078A">
      <w:pPr>
        <w:keepNext/>
      </w:pPr>
      <w:r w:rsidRPr="004A7A04">
        <w:rPr>
          <w:rStyle w:val="HideTWBExt"/>
        </w:rPr>
        <w:t>&lt;DocAmend2&gt;</w:t>
      </w:r>
      <w:r w:rsidRPr="004A7A04">
        <w:t>Forordning (EU) 2016/794</w:t>
      </w:r>
      <w:r w:rsidRPr="004A7A04">
        <w:rPr>
          <w:rStyle w:val="HideTWBExt"/>
        </w:rPr>
        <w:t>&lt;/DocAmend2&gt;</w:t>
      </w:r>
    </w:p>
    <w:p w:rsidR="0018078A" w:rsidRPr="004A7A04" w:rsidRDefault="003E6EC1" w:rsidP="0018078A">
      <w:r w:rsidRPr="004A7A04">
        <w:rPr>
          <w:rStyle w:val="HideTWBExt"/>
        </w:rPr>
        <w:t>&lt;Article2&gt;</w:t>
      </w:r>
      <w:r w:rsidRPr="004A7A04">
        <w:t>Artikel 54 – stk. 3 – indledning</w:t>
      </w:r>
      <w:r w:rsidRPr="004A7A0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 xml:space="preserve">Kommissionens </w:t>
            </w:r>
            <w:r w:rsidRPr="004A7A04">
              <w:t>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4d)</w:t>
            </w:r>
            <w:r w:rsidRPr="004A7A04">
              <w:rPr>
                <w:b/>
                <w:i/>
              </w:rPr>
              <w:tab/>
              <w:t>I artikel 54, stk. 3, affattes indledningen således:</w:t>
            </w:r>
          </w:p>
        </w:tc>
      </w:tr>
      <w:tr w:rsidR="00502EA6" w:rsidRPr="004A7A04" w:rsidTr="0018078A">
        <w:trPr>
          <w:jc w:val="center"/>
        </w:trPr>
        <w:tc>
          <w:tcPr>
            <w:tcW w:w="4876" w:type="dxa"/>
          </w:tcPr>
          <w:p w:rsidR="0018078A" w:rsidRPr="004A7A04" w:rsidRDefault="003E6EC1">
            <w:pPr>
              <w:pStyle w:val="Normal6"/>
            </w:pPr>
            <w:r w:rsidRPr="004A7A04">
              <w:t>3.</w:t>
            </w:r>
            <w:r w:rsidRPr="004A7A04">
              <w:tab/>
              <w:t xml:space="preserve">Den administrerende direktør udnævnes for </w:t>
            </w:r>
            <w:r w:rsidRPr="004A7A04">
              <w:rPr>
                <w:b/>
                <w:i/>
              </w:rPr>
              <w:t>fire</w:t>
            </w:r>
            <w:r w:rsidRPr="004A7A04">
              <w:t xml:space="preserve"> år. Ved udgangen af denne periode foretager Kommissionen i samråd med bestyrelsen en vurdering, der tager hensyn til:</w:t>
            </w:r>
          </w:p>
        </w:tc>
        <w:tc>
          <w:tcPr>
            <w:tcW w:w="4876" w:type="dxa"/>
            <w:hideMark/>
          </w:tcPr>
          <w:p w:rsidR="0018078A" w:rsidRPr="004A7A04" w:rsidRDefault="003E6EC1">
            <w:pPr>
              <w:pStyle w:val="Normal6"/>
              <w:rPr>
                <w:szCs w:val="24"/>
              </w:rPr>
            </w:pPr>
            <w:r w:rsidRPr="004A7A04">
              <w:rPr>
                <w:b/>
                <w:i/>
              </w:rPr>
              <w:t>"3.</w:t>
            </w:r>
            <w:r w:rsidRPr="004A7A04">
              <w:tab/>
            </w:r>
            <w:r w:rsidRPr="004A7A04">
              <w:t xml:space="preserve">Den administrerende direktør udnævnes for </w:t>
            </w:r>
            <w:r w:rsidRPr="004A7A04">
              <w:rPr>
                <w:b/>
                <w:i/>
              </w:rPr>
              <w:t>fem</w:t>
            </w:r>
            <w:r w:rsidRPr="004A7A04">
              <w:t xml:space="preserve"> år.</w:t>
            </w:r>
            <w:r w:rsidRPr="004A7A04">
              <w:rPr>
                <w:b/>
                <w:i/>
              </w:rPr>
              <w:t xml:space="preserve"> </w:t>
            </w:r>
            <w:r w:rsidRPr="004A7A04">
              <w:t>Ved udgangen af denne periode foretager Kommissionen i samråd med bestyrelsen en vurdering, der tager hensyn til:</w:t>
            </w:r>
            <w:r w:rsidRPr="004A7A04">
              <w:rPr>
                <w:b/>
                <w:i/>
              </w:rPr>
              <w:t>"</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pPr>
        <w:pStyle w:val="JustificationTitle"/>
        <w:rPr>
          <w:noProof w:val="0"/>
        </w:rPr>
      </w:pPr>
      <w:r w:rsidRPr="004A7A04">
        <w:rPr>
          <w:rStyle w:val="HideTWBExt"/>
          <w:i w:val="0"/>
        </w:rPr>
        <w:t>&lt;TitreJust&gt;</w:t>
      </w:r>
      <w:r w:rsidRPr="004A7A04">
        <w:t>Begrundelse</w:t>
      </w:r>
      <w:r w:rsidRPr="004A7A04">
        <w:rPr>
          <w:rStyle w:val="HideTWBExt"/>
          <w:i w:val="0"/>
        </w:rPr>
        <w:t>&lt;/TitreJust&gt;</w:t>
      </w:r>
    </w:p>
    <w:p w:rsidR="0018078A" w:rsidRPr="004A7A04" w:rsidRDefault="003E6EC1" w:rsidP="0018078A">
      <w:pPr>
        <w:pStyle w:val="Normal12Italic"/>
        <w:rPr>
          <w:noProof w:val="0"/>
        </w:rPr>
      </w:pPr>
      <w:r w:rsidRPr="004A7A04">
        <w:t xml:space="preserve">Det foreslås at </w:t>
      </w:r>
      <w:r w:rsidRPr="004A7A04">
        <w:t>harmonisere ansættelsesperioden for den administrerende ledelse med den tilsvarende i andre RIA-agenturer såsom Frontex, EU's Agentur for Grundlæggende Rettigheder (FRA) og eu-LISA.</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47</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w:t>
      </w:r>
      <w:r w:rsidRPr="004A7A04">
        <w:t>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Artikel 9 – stk. 1 – nr. 4 e (nyt)</w:t>
      </w:r>
      <w:r w:rsidRPr="004A7A04">
        <w:rPr>
          <w:rStyle w:val="HideTWBExt"/>
          <w:b w:val="0"/>
        </w:rPr>
        <w:t>&lt;/Article&gt;</w:t>
      </w:r>
    </w:p>
    <w:p w:rsidR="0018078A" w:rsidRPr="004A7A04" w:rsidRDefault="003E6EC1" w:rsidP="0018078A">
      <w:pPr>
        <w:keepNext/>
      </w:pPr>
      <w:r w:rsidRPr="004A7A04">
        <w:rPr>
          <w:rStyle w:val="HideTWBExt"/>
        </w:rPr>
        <w:t>&lt;DocAmend2&gt;</w:t>
      </w:r>
      <w:r w:rsidRPr="004A7A04">
        <w:t>Forordning (EU) 2016/794</w:t>
      </w:r>
      <w:r w:rsidRPr="004A7A04">
        <w:rPr>
          <w:rStyle w:val="HideTWBExt"/>
        </w:rPr>
        <w:t>&lt;/DocAmend2&gt;</w:t>
      </w:r>
    </w:p>
    <w:p w:rsidR="0018078A" w:rsidRPr="004A7A04" w:rsidRDefault="003E6EC1" w:rsidP="0018078A">
      <w:r w:rsidRPr="004A7A04">
        <w:rPr>
          <w:rStyle w:val="HideTWBExt"/>
        </w:rPr>
        <w:t>&lt;Article2&gt;</w:t>
      </w:r>
      <w:r w:rsidRPr="004A7A04">
        <w:t>Artikel 54 – stk. 4</w:t>
      </w:r>
      <w:r w:rsidRPr="004A7A0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4e)</w:t>
            </w:r>
            <w:r w:rsidRPr="004A7A04">
              <w:rPr>
                <w:b/>
                <w:i/>
              </w:rPr>
              <w:tab/>
              <w:t>Artikel 54, stk. 4, affattes således:</w:t>
            </w:r>
          </w:p>
        </w:tc>
      </w:tr>
      <w:tr w:rsidR="00502EA6" w:rsidRPr="004A7A04" w:rsidTr="0018078A">
        <w:trPr>
          <w:jc w:val="center"/>
        </w:trPr>
        <w:tc>
          <w:tcPr>
            <w:tcW w:w="4876" w:type="dxa"/>
          </w:tcPr>
          <w:p w:rsidR="0018078A" w:rsidRPr="004A7A04" w:rsidRDefault="003E6EC1">
            <w:pPr>
              <w:pStyle w:val="Normal6"/>
            </w:pPr>
            <w:r w:rsidRPr="004A7A04">
              <w:t>4.</w:t>
            </w:r>
            <w:r w:rsidRPr="004A7A04">
              <w:tab/>
            </w:r>
            <w:r w:rsidRPr="004A7A04">
              <w:t>Rådet kan forlænge den administrerende direktørs ansættelsesperiode én gang efter forslag fra bestyrelsen, der tager hensyn til den i stk.</w:t>
            </w:r>
            <w:r w:rsidRPr="004A7A04">
              <w:rPr>
                <w:b/>
                <w:i/>
              </w:rPr>
              <w:t xml:space="preserve"> </w:t>
            </w:r>
            <w:r w:rsidRPr="004A7A04">
              <w:t xml:space="preserve">3 omhandlede vurdering, og højst for en periode på </w:t>
            </w:r>
            <w:r w:rsidRPr="004A7A04">
              <w:rPr>
                <w:b/>
                <w:i/>
              </w:rPr>
              <w:t>fire</w:t>
            </w:r>
            <w:r w:rsidRPr="004A7A04">
              <w:t xml:space="preserve"> år.</w:t>
            </w:r>
          </w:p>
        </w:tc>
        <w:tc>
          <w:tcPr>
            <w:tcW w:w="4876" w:type="dxa"/>
            <w:hideMark/>
          </w:tcPr>
          <w:p w:rsidR="0018078A" w:rsidRPr="004A7A04" w:rsidRDefault="003E6EC1">
            <w:pPr>
              <w:pStyle w:val="Normal6"/>
              <w:rPr>
                <w:szCs w:val="24"/>
              </w:rPr>
            </w:pPr>
            <w:r w:rsidRPr="004A7A04">
              <w:rPr>
                <w:b/>
                <w:i/>
              </w:rPr>
              <w:t>"4.</w:t>
            </w:r>
            <w:r w:rsidRPr="004A7A04">
              <w:tab/>
              <w:t>Rådet kan forlænge den administrerende direktørs ansæ</w:t>
            </w:r>
            <w:r w:rsidRPr="004A7A04">
              <w:t>ttelsesperiode én gang efter forslag fra bestyrelsen, der tager hensyn til den i stk.</w:t>
            </w:r>
            <w:r w:rsidRPr="004A7A04">
              <w:rPr>
                <w:b/>
                <w:i/>
              </w:rPr>
              <w:t> </w:t>
            </w:r>
            <w:r w:rsidRPr="004A7A04">
              <w:t xml:space="preserve">3 omhandlede vurdering, og højst for en periode på </w:t>
            </w:r>
            <w:r w:rsidRPr="004A7A04">
              <w:rPr>
                <w:b/>
                <w:i/>
              </w:rPr>
              <w:t>fem</w:t>
            </w:r>
            <w:r w:rsidRPr="004A7A04">
              <w:t xml:space="preserve"> år.</w:t>
            </w:r>
            <w:r w:rsidRPr="004A7A04">
              <w:rPr>
                <w:b/>
                <w:bCs/>
                <w:i/>
                <w:iCs/>
              </w:rPr>
              <w:t>"</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pPr>
        <w:pStyle w:val="JustificationTitle"/>
        <w:rPr>
          <w:noProof w:val="0"/>
        </w:rPr>
      </w:pPr>
      <w:r w:rsidRPr="004A7A04">
        <w:rPr>
          <w:rStyle w:val="HideTWBExt"/>
          <w:i w:val="0"/>
        </w:rPr>
        <w:t>&lt;TitreJust&gt;</w:t>
      </w:r>
      <w:r w:rsidRPr="004A7A04">
        <w:t>Begrundelse</w:t>
      </w:r>
      <w:r w:rsidRPr="004A7A04">
        <w:rPr>
          <w:rStyle w:val="HideTWBExt"/>
          <w:i w:val="0"/>
        </w:rPr>
        <w:t>&lt;/TitreJust&gt;</w:t>
      </w:r>
    </w:p>
    <w:p w:rsidR="0018078A" w:rsidRPr="004A7A04" w:rsidRDefault="003E6EC1" w:rsidP="0018078A">
      <w:pPr>
        <w:pStyle w:val="Normal12Italic"/>
        <w:rPr>
          <w:noProof w:val="0"/>
        </w:rPr>
      </w:pPr>
      <w:r w:rsidRPr="004A7A04">
        <w:t xml:space="preserve">Det foreslås at harmonisere </w:t>
      </w:r>
      <w:r w:rsidRPr="004A7A04">
        <w:t>ansættelsesperioden for den administrerende ledelse med den tilsvarende i andre RIA-agenturer såsom Frontex, EU's Agentur for Grundlæggende Rettigheder (FRA) og eu-LISA.</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48</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w:t>
      </w:r>
      <w:r w:rsidRPr="004A7A04">
        <w:rPr>
          <w:rStyle w:val="HideTWBExt"/>
          <w:b w:val="0"/>
        </w:rPr>
        <w:t>ocAmend&gt;</w:t>
      </w:r>
    </w:p>
    <w:p w:rsidR="0018078A" w:rsidRPr="004A7A04" w:rsidRDefault="003E6EC1" w:rsidP="0018078A">
      <w:pPr>
        <w:pStyle w:val="NormalBold"/>
      </w:pPr>
      <w:r w:rsidRPr="004A7A04">
        <w:rPr>
          <w:rStyle w:val="HideTWBExt"/>
          <w:b w:val="0"/>
        </w:rPr>
        <w:t>&lt;Article&gt;</w:t>
      </w:r>
      <w:r w:rsidRPr="004A7A04">
        <w:t>Artikel 9 – stk. 1 – nr. 4 f (nyt)</w:t>
      </w:r>
      <w:r w:rsidRPr="004A7A04">
        <w:rPr>
          <w:rStyle w:val="HideTWBExt"/>
          <w:b w:val="0"/>
        </w:rPr>
        <w:t>&lt;/Article&gt;</w:t>
      </w:r>
    </w:p>
    <w:p w:rsidR="0018078A" w:rsidRPr="004A7A04" w:rsidRDefault="003E6EC1" w:rsidP="0018078A">
      <w:pPr>
        <w:keepNext/>
      </w:pPr>
      <w:r w:rsidRPr="004A7A04">
        <w:rPr>
          <w:rStyle w:val="HideTWBExt"/>
        </w:rPr>
        <w:t>&lt;DocAmend2&gt;</w:t>
      </w:r>
      <w:r w:rsidRPr="004A7A04">
        <w:t>Forordning (EU) 2016/794</w:t>
      </w:r>
      <w:r w:rsidRPr="004A7A04">
        <w:rPr>
          <w:rStyle w:val="HideTWBExt"/>
        </w:rPr>
        <w:t>&lt;/DocAmend2&gt;</w:t>
      </w:r>
    </w:p>
    <w:p w:rsidR="0018078A" w:rsidRPr="004A7A04" w:rsidRDefault="003E6EC1" w:rsidP="0018078A">
      <w:r w:rsidRPr="004A7A04">
        <w:rPr>
          <w:rStyle w:val="HideTWBExt"/>
        </w:rPr>
        <w:t>&lt;Article2&gt;</w:t>
      </w:r>
      <w:r w:rsidRPr="004A7A04">
        <w:t>Artikel 63 a (ny)</w:t>
      </w:r>
      <w:r w:rsidRPr="004A7A0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4f)</w:t>
            </w:r>
            <w:r w:rsidRPr="004A7A04">
              <w:rPr>
                <w:b/>
                <w:i/>
              </w:rPr>
              <w:tab/>
              <w:t>Følgende indsættes som artikel 63a:</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"Artikel 63a</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Vidneudsagn fra Europols personale</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Den administrerende direktør træffer afgørelse om at give Europols personale tilladelse til at afgive vidneforklaring ved en domstol i en medlemsstat. Tilladelsen til at afgive vidneforklaring kan ikke nægtes uretmæssig</w:t>
            </w:r>
            <w:r w:rsidRPr="004A7A04">
              <w:rPr>
                <w:b/>
                <w:i/>
              </w:rPr>
              <w:t>t, men den administrerende direktør kan afhængigt af omstændighederne fastlægge betingelser for vidneforklaringen i overensstemmelse med national ret. Disse bestemmelser finder også anvendelse på personale, der tidligere har været ansat i Europol."</w:t>
            </w:r>
          </w:p>
        </w:tc>
      </w:tr>
    </w:tbl>
    <w:p w:rsidR="0018078A" w:rsidRPr="004A7A04" w:rsidRDefault="003E6EC1" w:rsidP="0018078A">
      <w:pPr>
        <w:pStyle w:val="Olang"/>
      </w:pPr>
      <w:r w:rsidRPr="004A7A04">
        <w:t xml:space="preserve">Or. </w:t>
      </w:r>
      <w:r w:rsidRPr="004A7A04">
        <w:rPr>
          <w:rStyle w:val="HideTWBExt"/>
          <w:noProof w:val="0"/>
        </w:rPr>
        <w:t>&lt;O</w:t>
      </w:r>
      <w:r w:rsidRPr="004A7A04">
        <w:rPr>
          <w:rStyle w:val="HideTWBExt"/>
          <w:noProof w:val="0"/>
        </w:rPr>
        <w:t>riginal&gt;</w:t>
      </w:r>
      <w:r w:rsidRPr="004A7A04">
        <w:rPr>
          <w:rStyle w:val="HideTWBInt"/>
        </w:rPr>
        <w:t>{EN}</w:t>
      </w:r>
      <w:r w:rsidRPr="004A7A04">
        <w:t>en</w:t>
      </w:r>
      <w:r w:rsidRPr="004A7A04">
        <w:rPr>
          <w:rStyle w:val="HideTWBExt"/>
          <w:noProof w:val="0"/>
        </w:rPr>
        <w:t>&lt;/Original&gt;</w:t>
      </w:r>
    </w:p>
    <w:p w:rsidR="0018078A" w:rsidRPr="004A7A04" w:rsidRDefault="003E6EC1" w:rsidP="0018078A">
      <w:r w:rsidRPr="004A7A04">
        <w:rPr>
          <w:rStyle w:val="HideTWBExt"/>
        </w:rPr>
        <w:t>&lt;/Amend&gt;</w:t>
      </w:r>
    </w:p>
    <w:p w:rsidR="0018078A" w:rsidRPr="004A7A04" w:rsidRDefault="003E6EC1" w:rsidP="0018078A">
      <w:pPr>
        <w:pStyle w:val="AMNumberTabs0"/>
        <w:keepNext/>
      </w:pPr>
      <w:r w:rsidRPr="004A7A04">
        <w:rPr>
          <w:rStyle w:val="HideTWBExt"/>
          <w:b w:val="0"/>
        </w:rPr>
        <w:t>&lt;Amend&gt;</w:t>
      </w:r>
      <w:r w:rsidRPr="004A7A04">
        <w:t>Ændringsforslag</w:t>
      </w:r>
      <w:r w:rsidRPr="004A7A04">
        <w:tab/>
      </w:r>
      <w:r w:rsidRPr="004A7A04">
        <w:tab/>
      </w:r>
      <w:r w:rsidRPr="004A7A04">
        <w:rPr>
          <w:rStyle w:val="HideTWBExt"/>
          <w:b w:val="0"/>
        </w:rPr>
        <w:t>&lt;NumAm&gt;</w:t>
      </w:r>
      <w:r w:rsidRPr="004A7A04">
        <w:t>49</w:t>
      </w:r>
      <w:r w:rsidRPr="004A7A04">
        <w:rPr>
          <w:rStyle w:val="HideTWBExt"/>
          <w:b w:val="0"/>
        </w:rPr>
        <w:t>&lt;/NumAm&gt;</w:t>
      </w:r>
    </w:p>
    <w:p w:rsidR="0018078A" w:rsidRPr="004A7A04" w:rsidRDefault="003E6EC1" w:rsidP="0018078A">
      <w:pPr>
        <w:pStyle w:val="NormalBold12b"/>
        <w:keepNext/>
      </w:pPr>
      <w:r w:rsidRPr="004A7A04">
        <w:rPr>
          <w:rStyle w:val="HideTWBExt"/>
          <w:b w:val="0"/>
        </w:rPr>
        <w:t>&lt;DocAmend&gt;</w:t>
      </w:r>
      <w:r w:rsidRPr="004A7A04">
        <w:t>Forslag til forordning</w:t>
      </w:r>
      <w:r w:rsidRPr="004A7A04">
        <w:rPr>
          <w:rStyle w:val="HideTWBExt"/>
          <w:b w:val="0"/>
        </w:rPr>
        <w:t>&lt;/DocAmend&gt;</w:t>
      </w:r>
    </w:p>
    <w:p w:rsidR="0018078A" w:rsidRPr="004A7A04" w:rsidRDefault="003E6EC1" w:rsidP="0018078A">
      <w:pPr>
        <w:pStyle w:val="NormalBold"/>
      </w:pPr>
      <w:r w:rsidRPr="004A7A04">
        <w:rPr>
          <w:rStyle w:val="HideTWBExt"/>
          <w:b w:val="0"/>
        </w:rPr>
        <w:t>&lt;Article&gt;</w:t>
      </w:r>
      <w:r w:rsidRPr="004A7A04">
        <w:t>Artikel 9 – stk. 1 – nr. 4 g (nyt)</w:t>
      </w:r>
      <w:r w:rsidRPr="004A7A04">
        <w:rPr>
          <w:rStyle w:val="HideTWBExt"/>
          <w:b w:val="0"/>
        </w:rPr>
        <w:t>&lt;/Article&gt;</w:t>
      </w:r>
    </w:p>
    <w:p w:rsidR="0018078A" w:rsidRPr="004A7A04" w:rsidRDefault="003E6EC1" w:rsidP="0018078A">
      <w:pPr>
        <w:keepNext/>
      </w:pPr>
      <w:r w:rsidRPr="004A7A04">
        <w:rPr>
          <w:rStyle w:val="HideTWBExt"/>
        </w:rPr>
        <w:t>&lt;DocAmend2&gt;</w:t>
      </w:r>
      <w:r w:rsidRPr="004A7A04">
        <w:t>Forordning (EU) 2016/794</w:t>
      </w:r>
      <w:r w:rsidRPr="004A7A04">
        <w:rPr>
          <w:rStyle w:val="HideTWBExt"/>
        </w:rPr>
        <w:t>&lt;/DocAmend2&gt;</w:t>
      </w:r>
    </w:p>
    <w:p w:rsidR="0018078A" w:rsidRPr="004A7A04" w:rsidRDefault="003E6EC1" w:rsidP="0018078A">
      <w:r w:rsidRPr="004A7A04">
        <w:rPr>
          <w:rStyle w:val="HideTWBExt"/>
        </w:rPr>
        <w:t>&lt;Article2&gt;</w:t>
      </w:r>
      <w:r w:rsidRPr="004A7A04">
        <w:t>Artikel 74 c (ny)</w:t>
      </w:r>
      <w:r w:rsidRPr="004A7A0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02EA6" w:rsidRPr="004A7A04" w:rsidTr="0018078A">
        <w:trPr>
          <w:jc w:val="center"/>
        </w:trPr>
        <w:tc>
          <w:tcPr>
            <w:tcW w:w="9752" w:type="dxa"/>
            <w:gridSpan w:val="2"/>
          </w:tcPr>
          <w:p w:rsidR="0018078A" w:rsidRPr="004A7A04" w:rsidRDefault="0018078A">
            <w:pPr>
              <w:keepNext/>
            </w:pPr>
          </w:p>
        </w:tc>
      </w:tr>
      <w:tr w:rsidR="00502EA6" w:rsidRPr="004A7A04" w:rsidTr="0018078A">
        <w:trPr>
          <w:jc w:val="center"/>
        </w:trPr>
        <w:tc>
          <w:tcPr>
            <w:tcW w:w="4876" w:type="dxa"/>
            <w:hideMark/>
          </w:tcPr>
          <w:p w:rsidR="0018078A" w:rsidRPr="004A7A04" w:rsidRDefault="003E6EC1">
            <w:pPr>
              <w:pStyle w:val="ColumnHeading"/>
              <w:keepNext/>
            </w:pPr>
            <w:r w:rsidRPr="004A7A04">
              <w:t>Kommissionens forslag</w:t>
            </w:r>
          </w:p>
        </w:tc>
        <w:tc>
          <w:tcPr>
            <w:tcW w:w="4876" w:type="dxa"/>
            <w:hideMark/>
          </w:tcPr>
          <w:p w:rsidR="0018078A" w:rsidRPr="004A7A04" w:rsidRDefault="003E6EC1">
            <w:pPr>
              <w:pStyle w:val="ColumnHeading"/>
              <w:keepNext/>
            </w:pPr>
            <w:r w:rsidRPr="004A7A04">
              <w:t>Ændringsforslag</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4g)</w:t>
            </w:r>
            <w:r w:rsidRPr="004A7A04">
              <w:rPr>
                <w:b/>
                <w:i/>
              </w:rPr>
              <w:tab/>
              <w:t>Følgende indsættes som artikel 74c:</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"Artikel 74c</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Overgangsordning vedrørende varigheden af tjenestetiden for den administrerende direktør, vicedirektørerne og personalet</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1.</w:t>
            </w:r>
            <w:r w:rsidRPr="004A7A04">
              <w:rPr>
                <w:b/>
                <w:i/>
              </w:rPr>
              <w:tab/>
              <w:t>Den administrerende</w:t>
            </w:r>
            <w:r w:rsidRPr="004A7A04">
              <w:rPr>
                <w:b/>
                <w:i/>
              </w:rPr>
              <w:t xml:space="preserve"> direktør, der udnævnes på grundlag af denne forordnings artikel 54, og hvis ansættelsesperiode ophører efter den ... [datoen for denne ændringsforordnings ikrafttræden], får automatisk forlænget sin første eller anden ansættelsesperiode op til den maksima</w:t>
            </w:r>
            <w:r w:rsidRPr="004A7A04">
              <w:rPr>
                <w:b/>
                <w:i/>
              </w:rPr>
              <w:t>le ansættelsesperiode på ti år. Denne forlængelse udgør ikke en kontraktfornyelse i henhold til artikel 8 i ansættelsesvilkårene for de øvrige ansatte.</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2.</w:t>
            </w:r>
            <w:r w:rsidRPr="004A7A04">
              <w:rPr>
                <w:b/>
                <w:i/>
              </w:rPr>
              <w:tab/>
              <w:t xml:space="preserve">Hvis den administrerende direktør ikke vil acceptere den automatiske forlængelse, der er omhandlet </w:t>
            </w:r>
            <w:r w:rsidRPr="004A7A04">
              <w:rPr>
                <w:b/>
                <w:i/>
              </w:rPr>
              <w:t>i stk. 1, kan den administrerende direktør bevare sin nuværende ansættelsesperiode.</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3.</w:t>
            </w:r>
            <w:r w:rsidRPr="004A7A04">
              <w:rPr>
                <w:b/>
                <w:i/>
              </w:rPr>
              <w:tab/>
              <w:t>Denne artikels stk. 1 og 2 finder anvendelse på de vicedirektører, der udnævnes på grundlag af denne forordnings artikel 55, og hvis ansættelsesperiode ophører efter d</w:t>
            </w:r>
            <w:r w:rsidRPr="004A7A04">
              <w:rPr>
                <w:b/>
                <w:i/>
              </w:rPr>
              <w:t>en... [datoen for denne ændringsforordnings ikrafttræden].</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4.</w:t>
            </w:r>
            <w:r w:rsidRPr="004A7A04">
              <w:rPr>
                <w:b/>
                <w:i/>
              </w:rPr>
              <w:tab/>
              <w:t>Kontrakten for en midlertidigt ansat, som varetager en stilling, der er opført i stillingsfortegnelsen, og som er i aktiv tjeneste den [datoen for denne ændringsforordnings ikrafttræden], forl</w:t>
            </w:r>
            <w:r w:rsidRPr="004A7A04">
              <w:rPr>
                <w:b/>
                <w:i/>
              </w:rPr>
              <w:t>ænges automatisk op til den samlede maksimale varighed på ti år, forudsat at:</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a)</w:t>
            </w:r>
            <w:r w:rsidRPr="004A7A04">
              <w:rPr>
                <w:b/>
                <w:i/>
              </w:rPr>
              <w:tab/>
              <w:t>den midlertidigt ansatte blev ansat med henblik på at varetage en stilling, der kun kan besættes med ansatte fra medlemsstaternes kompetente myndigheder i overensstemmelse m</w:t>
            </w:r>
            <w:r w:rsidRPr="004A7A04">
              <w:rPr>
                <w:b/>
                <w:i/>
              </w:rPr>
              <w:t>ed denne forordnings artikel 53, stk. 2</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b)</w:t>
            </w:r>
            <w:r w:rsidRPr="004A7A04">
              <w:rPr>
                <w:b/>
                <w:i/>
              </w:rPr>
              <w:tab/>
              <w:t>kontrakten allerede er blevet fornyet én gang og nærmer sig afslutningen på den maksimale ansættelsesperiode på ni år.</w:t>
            </w:r>
          </w:p>
        </w:tc>
      </w:tr>
      <w:tr w:rsidR="00502EA6" w:rsidRPr="004A7A04" w:rsidTr="0018078A">
        <w:trPr>
          <w:jc w:val="center"/>
        </w:trPr>
        <w:tc>
          <w:tcPr>
            <w:tcW w:w="4876" w:type="dxa"/>
          </w:tcPr>
          <w:p w:rsidR="0018078A" w:rsidRPr="004A7A04" w:rsidRDefault="0018078A">
            <w:pPr>
              <w:pStyle w:val="Normal6"/>
            </w:pPr>
          </w:p>
        </w:tc>
        <w:tc>
          <w:tcPr>
            <w:tcW w:w="4876" w:type="dxa"/>
            <w:hideMark/>
          </w:tcPr>
          <w:p w:rsidR="0018078A" w:rsidRPr="004A7A04" w:rsidRDefault="003E6EC1">
            <w:pPr>
              <w:pStyle w:val="Normal6"/>
              <w:rPr>
                <w:szCs w:val="24"/>
              </w:rPr>
            </w:pPr>
            <w:r w:rsidRPr="004A7A04">
              <w:rPr>
                <w:b/>
                <w:i/>
              </w:rPr>
              <w:t xml:space="preserve">Denne automatiske forlængelse udgør ikke en kontraktfornyelse i henhold til artikel 8 i </w:t>
            </w:r>
            <w:r w:rsidRPr="004A7A04">
              <w:rPr>
                <w:b/>
                <w:i/>
              </w:rPr>
              <w:t>ansættelsesvilkårene for de øvrige ansatte. Et medlem af personalet, som ikke accepterer den automatiske forlængelse, der er omhandlet i dette stykkes første afsnit, kan bevare sit eksisterende kontraktforhold med Europol i overensstemmelse med artikel 53.</w:t>
            </w:r>
            <w:r w:rsidRPr="004A7A04">
              <w:rPr>
                <w:b/>
                <w:i/>
              </w:rPr>
              <w:t>"</w:t>
            </w:r>
          </w:p>
        </w:tc>
      </w:tr>
    </w:tbl>
    <w:p w:rsidR="0018078A" w:rsidRPr="004A7A04" w:rsidRDefault="003E6EC1" w:rsidP="0018078A">
      <w:pPr>
        <w:pStyle w:val="Olang"/>
      </w:pPr>
      <w:r w:rsidRPr="004A7A04">
        <w:t xml:space="preserve">Or. </w:t>
      </w:r>
      <w:r w:rsidRPr="004A7A04">
        <w:rPr>
          <w:rStyle w:val="HideTWBExt"/>
          <w:noProof w:val="0"/>
        </w:rPr>
        <w:t>&lt;Original&gt;</w:t>
      </w:r>
      <w:r w:rsidRPr="004A7A04">
        <w:rPr>
          <w:rStyle w:val="HideTWBInt"/>
        </w:rPr>
        <w:t>{EN}</w:t>
      </w:r>
      <w:r w:rsidRPr="004A7A04">
        <w:t>en</w:t>
      </w:r>
      <w:r w:rsidRPr="004A7A04">
        <w:rPr>
          <w:rStyle w:val="HideTWBExt"/>
          <w:noProof w:val="0"/>
        </w:rPr>
        <w:t>&lt;/Original&gt;</w:t>
      </w:r>
    </w:p>
    <w:p w:rsidR="0018078A" w:rsidRPr="004A7A04" w:rsidRDefault="003E6EC1" w:rsidP="0018078A">
      <w:pPr>
        <w:pStyle w:val="JustificationTitle"/>
        <w:rPr>
          <w:noProof w:val="0"/>
        </w:rPr>
      </w:pPr>
      <w:r w:rsidRPr="004A7A04">
        <w:rPr>
          <w:rStyle w:val="HideTWBExt"/>
          <w:i w:val="0"/>
        </w:rPr>
        <w:t>&lt;TitreJust&gt;</w:t>
      </w:r>
      <w:r w:rsidRPr="004A7A04">
        <w:t>Begrundelse</w:t>
      </w:r>
      <w:r w:rsidRPr="004A7A04">
        <w:rPr>
          <w:rStyle w:val="HideTWBExt"/>
          <w:i w:val="0"/>
        </w:rPr>
        <w:t>&lt;/TitreJust&gt;</w:t>
      </w:r>
    </w:p>
    <w:p w:rsidR="0018078A" w:rsidRPr="004A7A04" w:rsidRDefault="003E6EC1" w:rsidP="0018078A">
      <w:pPr>
        <w:pStyle w:val="Normal12Italic"/>
        <w:rPr>
          <w:noProof w:val="0"/>
        </w:rPr>
      </w:pPr>
      <w:r w:rsidRPr="004A7A04">
        <w:t>At give de ansatte og den administrerende ledelse, der arbejder i det specifikke agentur på tidspunktet for denne ændringsforordnings ikrafttræden, mulighed for at drage fordel af de nye</w:t>
      </w:r>
      <w:r w:rsidRPr="004A7A04">
        <w:t xml:space="preserve"> regler.</w:t>
      </w:r>
    </w:p>
    <w:p w:rsidR="0018078A" w:rsidRPr="004A7A04" w:rsidRDefault="003E6EC1" w:rsidP="0018078A">
      <w:r w:rsidRPr="004A7A04">
        <w:rPr>
          <w:rStyle w:val="HideTWBExt"/>
        </w:rPr>
        <w:t>&lt;/Amend&gt;&lt;/RepeatBlock-Amend&gt;</w:t>
      </w:r>
    </w:p>
    <w:p w:rsidR="0018078A" w:rsidRPr="004A7A04" w:rsidRDefault="0018078A" w:rsidP="0018078A"/>
    <w:p w:rsidR="0018078A" w:rsidRPr="004A7A04" w:rsidRDefault="0018078A" w:rsidP="00D30DE2"/>
    <w:p w:rsidR="00742F5F" w:rsidRPr="004A7A04" w:rsidRDefault="00742F5F" w:rsidP="00742F5F"/>
    <w:p w:rsidR="00C24129" w:rsidRPr="004A7A04" w:rsidRDefault="00C24129" w:rsidP="00D30DE2">
      <w:pPr>
        <w:sectPr w:rsidR="00C24129" w:rsidRPr="004A7A04" w:rsidSect="004A7A04">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C24129" w:rsidRPr="004A7A04" w:rsidRDefault="003E6EC1" w:rsidP="00C24129">
      <w:pPr>
        <w:pStyle w:val="PageHeading"/>
      </w:pPr>
      <w:bookmarkStart w:id="1" w:name="_Toc191638966"/>
      <w:r w:rsidRPr="004A7A04">
        <w:t>BEGRUNDELSE</w:t>
      </w:r>
      <w:bookmarkEnd w:id="1"/>
    </w:p>
    <w:p w:rsidR="005C2937" w:rsidRPr="004A7A04" w:rsidRDefault="003E6EC1" w:rsidP="005C2937">
      <w:pPr>
        <w:pStyle w:val="NoSpacing"/>
        <w:jc w:val="both"/>
        <w:rPr>
          <w:rFonts w:ascii="Times New Roman" w:hAnsi="Times New Roman" w:cs="Times New Roman"/>
          <w:i/>
          <w:sz w:val="24"/>
          <w:szCs w:val="24"/>
        </w:rPr>
      </w:pPr>
      <w:r w:rsidRPr="004A7A04">
        <w:rPr>
          <w:rFonts w:ascii="Times New Roman" w:hAnsi="Times New Roman"/>
          <w:i/>
          <w:sz w:val="24"/>
        </w:rPr>
        <w:t xml:space="preserve">Forslag til EUROPA-PARLAMENTETS OG RÅDETS FORORDNING om ændring af forordning (EU) 2016/794 for så vidt angår forøgelse af Europols støtte og styrkelse af politisamarbejdet med henblik på </w:t>
      </w:r>
      <w:r w:rsidRPr="004A7A04">
        <w:rPr>
          <w:rFonts w:ascii="Times New Roman" w:hAnsi="Times New Roman"/>
          <w:i/>
          <w:sz w:val="24"/>
        </w:rPr>
        <w:t>forebyggelse og bekæmpelse af smugling af migranter og menneskehandel</w:t>
      </w:r>
    </w:p>
    <w:p w:rsidR="005C2937" w:rsidRPr="004A7A04" w:rsidRDefault="005C2937" w:rsidP="005C2937">
      <w:pPr>
        <w:pStyle w:val="NoSpacing"/>
        <w:jc w:val="both"/>
        <w:rPr>
          <w:rFonts w:ascii="Times New Roman" w:hAnsi="Times New Roman" w:cs="Times New Roman"/>
          <w:i/>
          <w:sz w:val="24"/>
          <w:szCs w:val="24"/>
        </w:rPr>
      </w:pPr>
    </w:p>
    <w:p w:rsidR="005C2937" w:rsidRPr="004A7A04" w:rsidRDefault="003E6EC1" w:rsidP="005C2937">
      <w:pPr>
        <w:pStyle w:val="NoSpacing"/>
        <w:jc w:val="both"/>
        <w:rPr>
          <w:rFonts w:ascii="Times New Roman" w:hAnsi="Times New Roman" w:cs="Times New Roman"/>
          <w:sz w:val="24"/>
          <w:szCs w:val="24"/>
        </w:rPr>
      </w:pPr>
      <w:r w:rsidRPr="004A7A04">
        <w:rPr>
          <w:rFonts w:ascii="Times New Roman" w:hAnsi="Times New Roman"/>
          <w:sz w:val="24"/>
        </w:rPr>
        <w:t>Mere end 90 % af de mennesker, der ankommer irregulært til EU, er afhængige af menneskesmuglere for at lette en del af eller hele deres rejse. Disse smuglere er groft kriminelle, og for</w:t>
      </w:r>
      <w:r w:rsidRPr="004A7A04">
        <w:rPr>
          <w:rFonts w:ascii="Times New Roman" w:hAnsi="Times New Roman"/>
          <w:sz w:val="24"/>
        </w:rPr>
        <w:t xml:space="preserve"> dem er menneskeliv blot en forretningsmulighed. En kynisk forretningsmodel, hvor sårbare personer udnyttes og ofte sendes ud på farlige rejser, der bringer deres liv i fare, men også udsættes for vold og misbrug. Efter at have lettet passage af EU's ydre </w:t>
      </w:r>
      <w:r w:rsidRPr="004A7A04">
        <w:rPr>
          <w:rFonts w:ascii="Times New Roman" w:hAnsi="Times New Roman"/>
          <w:sz w:val="24"/>
        </w:rPr>
        <w:t>grænser fortsætter de kriminelle netværk deres aktiviteter ved at lette irregulære sekundære bevægelser inden for EU. Smuglernetværk tilpasser sig hurtigt til den eksterne udvikling ved hjælp af en fleksibel ressourcefordeling og anvendelse af nye ruter, t</w:t>
      </w:r>
      <w:r w:rsidRPr="004A7A04">
        <w:rPr>
          <w:rFonts w:ascii="Times New Roman" w:hAnsi="Times New Roman"/>
          <w:sz w:val="24"/>
        </w:rPr>
        <w:t>eknologier og modus operandi. Efterforskninger har afsløret, at migrantsmuglere ofte anvender eksisterende infrastruktur for parallelle kriminelle aktiviteter, som f.eks. narkotika, skydevåben eller menneskehandel, i kombination med misbrug af retlige inst</w:t>
      </w:r>
      <w:r w:rsidRPr="004A7A04">
        <w:rPr>
          <w:rFonts w:ascii="Times New Roman" w:hAnsi="Times New Roman"/>
          <w:sz w:val="24"/>
        </w:rPr>
        <w:t>rumenter og virksomhedsstrukturer.</w:t>
      </w:r>
    </w:p>
    <w:p w:rsidR="005C2937" w:rsidRPr="004A7A04" w:rsidRDefault="005C2937" w:rsidP="005C2937">
      <w:pPr>
        <w:pStyle w:val="NoSpacing"/>
        <w:jc w:val="both"/>
        <w:rPr>
          <w:rFonts w:ascii="Times New Roman" w:hAnsi="Times New Roman" w:cs="Times New Roman"/>
          <w:sz w:val="24"/>
          <w:szCs w:val="24"/>
        </w:rPr>
      </w:pPr>
    </w:p>
    <w:p w:rsidR="005C2937" w:rsidRPr="004A7A04" w:rsidRDefault="003E6EC1" w:rsidP="005C2937">
      <w:pPr>
        <w:pStyle w:val="NoSpacing"/>
        <w:jc w:val="both"/>
        <w:rPr>
          <w:rFonts w:ascii="Times New Roman" w:hAnsi="Times New Roman" w:cs="Times New Roman"/>
          <w:sz w:val="24"/>
          <w:szCs w:val="24"/>
        </w:rPr>
      </w:pPr>
      <w:r w:rsidRPr="004A7A04">
        <w:rPr>
          <w:rFonts w:ascii="Times New Roman" w:hAnsi="Times New Roman"/>
          <w:sz w:val="24"/>
        </w:rPr>
        <w:t>Disse kriminelle netværk genererer et svimlende beløb på 4,7-6 mia. EUR om året i indtægter. Derfor har alle medlemsstaternes myndigheder, EU-agenturer og centrale aktører, som f.eks. rejse- og transportvirksomheder og c</w:t>
      </w:r>
      <w:r w:rsidRPr="004A7A04">
        <w:rPr>
          <w:rFonts w:ascii="Times New Roman" w:hAnsi="Times New Roman"/>
          <w:sz w:val="24"/>
        </w:rPr>
        <w:t xml:space="preserve">ivilsamfundsorganisationer, en retlig forpligtelse til og et moralsk ansvar for at gøre alt for at forhindre smugling af migranter. </w:t>
      </w:r>
    </w:p>
    <w:p w:rsidR="005C2937" w:rsidRPr="004A7A04" w:rsidRDefault="005C2937" w:rsidP="005C2937">
      <w:pPr>
        <w:pStyle w:val="NoSpacing"/>
        <w:jc w:val="both"/>
        <w:rPr>
          <w:rFonts w:ascii="Times New Roman" w:hAnsi="Times New Roman" w:cs="Times New Roman"/>
          <w:sz w:val="24"/>
          <w:szCs w:val="24"/>
        </w:rPr>
      </w:pPr>
    </w:p>
    <w:p w:rsidR="005C2937" w:rsidRPr="004A7A04" w:rsidRDefault="003E6EC1" w:rsidP="005C2937">
      <w:pPr>
        <w:pStyle w:val="NoSpacing"/>
        <w:jc w:val="both"/>
        <w:rPr>
          <w:rFonts w:ascii="Times New Roman" w:hAnsi="Times New Roman" w:cs="Times New Roman"/>
          <w:sz w:val="24"/>
          <w:szCs w:val="24"/>
        </w:rPr>
      </w:pPr>
      <w:r w:rsidRPr="004A7A04">
        <w:rPr>
          <w:rFonts w:ascii="Times New Roman" w:hAnsi="Times New Roman"/>
          <w:sz w:val="24"/>
        </w:rPr>
        <w:t>Den Europæiske Unions Agentur for Retshåndhævelsessamarbejde (Europol) spiller en afgørende rolle med hensyn til at koordi</w:t>
      </w:r>
      <w:r w:rsidRPr="004A7A04">
        <w:rPr>
          <w:rFonts w:ascii="Times New Roman" w:hAnsi="Times New Roman"/>
          <w:sz w:val="24"/>
        </w:rPr>
        <w:t>nere disse bestræbelser, hvilket er blevet understreget af Europa-Kommissionens formand, Ursula von der Leyen, idet hun har fremhævet, at politiet bør kunne arbejde på tværs af Europa uden grænser. Kommissionen har også foreslået at fordoble Europols perso</w:t>
      </w:r>
      <w:r w:rsidRPr="004A7A04">
        <w:rPr>
          <w:rFonts w:ascii="Times New Roman" w:hAnsi="Times New Roman"/>
          <w:sz w:val="24"/>
        </w:rPr>
        <w:t xml:space="preserve">nale og styrke dets mandat, så Europol kan blive et reelt operationelt politiagentur. Som en del af den reviderede smuglerpakke er </w:t>
      </w:r>
      <w:r w:rsidRPr="004A7A04">
        <w:rPr>
          <w:rFonts w:ascii="Times New Roman" w:hAnsi="Times New Roman"/>
          <w:i/>
          <w:iCs/>
          <w:sz w:val="24"/>
        </w:rPr>
        <w:t>forslaget til forordning om styrkelse af politisamarbejdet i forbindelse med forebyggelse, opdagelse og efterforskning af smu</w:t>
      </w:r>
      <w:r w:rsidRPr="004A7A04">
        <w:rPr>
          <w:rFonts w:ascii="Times New Roman" w:hAnsi="Times New Roman"/>
          <w:i/>
          <w:iCs/>
          <w:sz w:val="24"/>
        </w:rPr>
        <w:t>gling af migranter og menneskehandel og om forøgelse af Europols støtte til forebyggelse og bekæmpelse af disse former for kriminalitet og om ændring af forordning (EU) 2016/794</w:t>
      </w:r>
      <w:r w:rsidRPr="004A7A04">
        <w:rPr>
          <w:rFonts w:ascii="Times New Roman" w:hAnsi="Times New Roman"/>
          <w:sz w:val="24"/>
        </w:rPr>
        <w:t xml:space="preserve"> et vigtigt skridt i retning af at nå disse mål og systematisk bekæmpe migrants</w:t>
      </w:r>
      <w:r w:rsidRPr="004A7A04">
        <w:rPr>
          <w:rFonts w:ascii="Times New Roman" w:hAnsi="Times New Roman"/>
          <w:sz w:val="24"/>
        </w:rPr>
        <w:t>mugling både inden for EU og fra tredjelande. Europa-Kommissionen har anslået, at der kræves et yderligere budget på 50 mio. EUR og 50 yderligere stillinger i den samlede periode for den nuværende flerårige finansielle ramme 2021-2027. Denne forordning vil</w:t>
      </w:r>
      <w:r w:rsidRPr="004A7A04">
        <w:rPr>
          <w:rFonts w:ascii="Times New Roman" w:hAnsi="Times New Roman"/>
          <w:sz w:val="24"/>
        </w:rPr>
        <w:t xml:space="preserve"> frigøre disse hårdt tiltrængte yderligere midler og oprette disse ekstra stillinger, så Europol fuldt ud og effektivt kan udføre de nye strategiske og operationelle opgaver, det er blevet pålagt, samt dets reviderede mandat.</w:t>
      </w:r>
    </w:p>
    <w:p w:rsidR="005C2937" w:rsidRPr="004A7A04" w:rsidRDefault="005C2937" w:rsidP="005C2937">
      <w:pPr>
        <w:pStyle w:val="NoSpacing"/>
        <w:jc w:val="both"/>
        <w:rPr>
          <w:rFonts w:ascii="Times New Roman" w:hAnsi="Times New Roman" w:cs="Times New Roman"/>
          <w:sz w:val="24"/>
          <w:szCs w:val="24"/>
        </w:rPr>
      </w:pPr>
    </w:p>
    <w:p w:rsidR="005C2937" w:rsidRPr="004A7A04" w:rsidRDefault="003E6EC1" w:rsidP="005C2937">
      <w:pPr>
        <w:pStyle w:val="NoSpacing"/>
        <w:jc w:val="both"/>
        <w:rPr>
          <w:rFonts w:ascii="Times New Roman" w:hAnsi="Times New Roman" w:cs="Times New Roman"/>
          <w:sz w:val="24"/>
          <w:szCs w:val="24"/>
        </w:rPr>
      </w:pPr>
      <w:r w:rsidRPr="004A7A04">
        <w:rPr>
          <w:rFonts w:ascii="Times New Roman" w:hAnsi="Times New Roman"/>
          <w:sz w:val="24"/>
        </w:rPr>
        <w:t>De vigtigste aspekter af dett</w:t>
      </w:r>
      <w:r w:rsidRPr="004A7A04">
        <w:rPr>
          <w:rFonts w:ascii="Times New Roman" w:hAnsi="Times New Roman"/>
          <w:sz w:val="24"/>
        </w:rPr>
        <w:t>e udkast til betænkning, der tager sigte på at forbedre den effektive gennemførelse af lovgivningsforslaget, omfatter følgende:</w:t>
      </w:r>
    </w:p>
    <w:p w:rsidR="005C2937" w:rsidRPr="004A7A04" w:rsidRDefault="005C2937" w:rsidP="005C2937">
      <w:pPr>
        <w:pStyle w:val="NoSpacing"/>
        <w:jc w:val="both"/>
        <w:rPr>
          <w:rFonts w:ascii="Times New Roman" w:hAnsi="Times New Roman" w:cs="Times New Roman"/>
        </w:rPr>
      </w:pPr>
    </w:p>
    <w:p w:rsidR="005C2937" w:rsidRPr="004A7A04" w:rsidRDefault="003E6EC1" w:rsidP="00FC7C21">
      <w:pPr>
        <w:pStyle w:val="NoSpacing"/>
        <w:ind w:left="567" w:hanging="567"/>
        <w:jc w:val="both"/>
        <w:rPr>
          <w:rFonts w:ascii="Times New Roman" w:hAnsi="Times New Roman" w:cs="Times New Roman"/>
          <w:sz w:val="24"/>
          <w:szCs w:val="24"/>
        </w:rPr>
      </w:pPr>
      <w:r w:rsidRPr="004A7A04">
        <w:t>–</w:t>
      </w:r>
      <w:r w:rsidRPr="004A7A04">
        <w:rPr>
          <w:rFonts w:ascii="Times New Roman" w:hAnsi="Times New Roman"/>
          <w:sz w:val="24"/>
        </w:rPr>
        <w:tab/>
        <w:t>Betænkningen har til formål at forenkle og præcisere strukturen i Kommissionens forslag ved at lade den selvstændige forordni</w:t>
      </w:r>
      <w:r w:rsidRPr="004A7A04">
        <w:rPr>
          <w:rFonts w:ascii="Times New Roman" w:hAnsi="Times New Roman"/>
          <w:sz w:val="24"/>
        </w:rPr>
        <w:t>ng udgå og gengive nogle af bestemmelserne som ændringsforslag til den eksisterende Europolforordning. Dette mindsker den juridiske kompleksitet, forbedrer læsevenligheden og sikrer, at forvaltningen af agenturet reguleres af en enkelt EU-forordning.</w:t>
      </w:r>
    </w:p>
    <w:p w:rsidR="005C2937" w:rsidRPr="004A7A04" w:rsidRDefault="005C2937" w:rsidP="005C1BF5">
      <w:pPr>
        <w:pStyle w:val="NoSpacing"/>
        <w:jc w:val="both"/>
        <w:rPr>
          <w:rFonts w:ascii="Times New Roman" w:hAnsi="Times New Roman" w:cs="Times New Roman"/>
          <w:sz w:val="24"/>
          <w:szCs w:val="24"/>
        </w:rPr>
      </w:pPr>
    </w:p>
    <w:p w:rsidR="005C2937" w:rsidRPr="004A7A04" w:rsidRDefault="003E6EC1" w:rsidP="00FC7C21">
      <w:pPr>
        <w:pStyle w:val="NoSpacing"/>
        <w:ind w:left="567" w:hanging="567"/>
        <w:jc w:val="both"/>
        <w:rPr>
          <w:rFonts w:ascii="Times New Roman" w:hAnsi="Times New Roman" w:cs="Times New Roman"/>
          <w:sz w:val="24"/>
          <w:szCs w:val="24"/>
        </w:rPr>
      </w:pPr>
      <w:r w:rsidRPr="004A7A04">
        <w:t>–</w:t>
      </w:r>
      <w:r w:rsidRPr="004A7A04">
        <w:rPr>
          <w:rFonts w:ascii="Symbol" w:hAnsi="Symbol"/>
          <w:sz w:val="24"/>
        </w:rPr>
        <w:tab/>
      </w:r>
      <w:r w:rsidRPr="004A7A04">
        <w:rPr>
          <w:rFonts w:ascii="Times New Roman" w:hAnsi="Times New Roman"/>
          <w:sz w:val="24"/>
        </w:rPr>
        <w:t>Smugling af migranter har i sagens natur en grænseoverskridende dimension. Optrævling af smuglernetværk kræver derfor en mere effektiv datadeling og et grænseoverskridende samarbejde mellem medlemsstater, EU-agenturer og med tredjelande. I dette udkast til</w:t>
      </w:r>
      <w:r w:rsidRPr="004A7A04">
        <w:rPr>
          <w:rFonts w:ascii="Times New Roman" w:hAnsi="Times New Roman"/>
          <w:sz w:val="24"/>
        </w:rPr>
        <w:t xml:space="preserve"> betænkning godkendes Kommissionens forslag om at øge medlemsstaternes ansvar for datadeling i denne henseende.</w:t>
      </w:r>
    </w:p>
    <w:p w:rsidR="005C2937" w:rsidRPr="004A7A04" w:rsidRDefault="005C2937" w:rsidP="005C2937">
      <w:pPr>
        <w:pStyle w:val="NoSpacing"/>
        <w:ind w:left="567"/>
        <w:jc w:val="both"/>
        <w:rPr>
          <w:rFonts w:ascii="Times New Roman" w:hAnsi="Times New Roman" w:cs="Times New Roman"/>
          <w:sz w:val="24"/>
          <w:szCs w:val="24"/>
        </w:rPr>
      </w:pPr>
    </w:p>
    <w:p w:rsidR="005C2937" w:rsidRPr="004A7A04" w:rsidRDefault="003E6EC1" w:rsidP="00FC7C21">
      <w:pPr>
        <w:pStyle w:val="NoSpacing"/>
        <w:ind w:left="567" w:hanging="567"/>
        <w:jc w:val="both"/>
        <w:rPr>
          <w:rFonts w:ascii="Times New Roman" w:hAnsi="Times New Roman" w:cs="Times New Roman"/>
          <w:sz w:val="24"/>
          <w:szCs w:val="24"/>
        </w:rPr>
      </w:pPr>
      <w:r w:rsidRPr="004A7A04">
        <w:t>–</w:t>
      </w:r>
      <w:r w:rsidRPr="004A7A04">
        <w:rPr>
          <w:rFonts w:ascii="Symbol" w:hAnsi="Symbol"/>
          <w:sz w:val="24"/>
        </w:rPr>
        <w:tab/>
      </w:r>
      <w:r w:rsidRPr="004A7A04">
        <w:rPr>
          <w:rFonts w:ascii="Times New Roman" w:hAnsi="Times New Roman"/>
          <w:sz w:val="24"/>
        </w:rPr>
        <w:t>For at styrke politisamarbejdet i forbindelse med forebyggelse, opdagelse og efterforskning af smugling af migranter råder Europol over en om</w:t>
      </w:r>
      <w:r w:rsidRPr="004A7A04">
        <w:rPr>
          <w:rFonts w:ascii="Times New Roman" w:hAnsi="Times New Roman"/>
          <w:sz w:val="24"/>
        </w:rPr>
        <w:t xml:space="preserve">fattende værktøjskasse. Dette udkast til betænkning støtter Kommissionens forslag om at kodificere disse værktøjer og strukturer for at skabe juridisk klarhed og udstikke generelle retningslinjer, samtidig med at den stærkt tiltrængte fleksibilitet til at </w:t>
      </w:r>
      <w:r w:rsidRPr="004A7A04">
        <w:rPr>
          <w:rFonts w:ascii="Times New Roman" w:hAnsi="Times New Roman"/>
          <w:sz w:val="24"/>
        </w:rPr>
        <w:t>tilpasse sig skiftende omstændigheder bevares, så Europols bestyrelse får tilstrækkelig mulighed for at træffe afgørelse om, hvordan disse værktøjer og strukturer skal fungere. For at styrke Europols administrerende direktørs rolle foreslås det også, at di</w:t>
      </w:r>
      <w:r w:rsidRPr="004A7A04">
        <w:rPr>
          <w:rFonts w:ascii="Times New Roman" w:hAnsi="Times New Roman"/>
          <w:sz w:val="24"/>
        </w:rPr>
        <w:t>sse gennemførelsesbestemmelser skal være baseret på den administrerende direktørs forslag. Værktøjerne og strukturerne omfatter følgende:</w:t>
      </w:r>
    </w:p>
    <w:p w:rsidR="005C2937" w:rsidRPr="004A7A04" w:rsidRDefault="005C2937" w:rsidP="005C1BF5">
      <w:pPr>
        <w:pStyle w:val="NoSpacing"/>
        <w:ind w:left="567"/>
        <w:jc w:val="both"/>
        <w:rPr>
          <w:rFonts w:ascii="Times New Roman" w:hAnsi="Times New Roman" w:cs="Times New Roman"/>
          <w:sz w:val="24"/>
          <w:szCs w:val="24"/>
        </w:rPr>
      </w:pPr>
    </w:p>
    <w:p w:rsidR="005C2937" w:rsidRPr="004A7A04" w:rsidRDefault="003E6EC1" w:rsidP="009B30C5">
      <w:pPr>
        <w:ind w:left="1134" w:hanging="567"/>
        <w:jc w:val="both"/>
      </w:pPr>
      <w:r w:rsidRPr="004A7A04">
        <w:rPr>
          <w:rFonts w:ascii="Courier New" w:hAnsi="Courier New"/>
        </w:rPr>
        <w:tab/>
      </w:r>
      <w:r w:rsidRPr="004A7A04">
        <w:t>Det Europæiske Center for Bekæmpelse af Migrantsmugling, der skal oprettes under Europol som et specialiseret EU-eks</w:t>
      </w:r>
      <w:r w:rsidRPr="004A7A04">
        <w:t>pertisecenter. Det bistår medlemsstaterne i deres indsats for at forebygge og bekæmpe smugling af migranter og menneskehandel ved at udføre operationelle og strategiske opgaver. Centret består af repræsentanter for de nationale specialiserede tjenester, de</w:t>
      </w:r>
      <w:r w:rsidRPr="004A7A04">
        <w:t>r har til opgave at forebygge og bekæmpe smugling af migranter og menneskehandel. Det består også af faste repræsentanter for Frontex og Eurojust. Det foreslås at lade det være op til det enkelte agentur at beslutte, om disse repræsentanter skal flyttes af</w:t>
      </w:r>
      <w:r w:rsidRPr="004A7A04">
        <w:t xml:space="preserve"> hensyn til deres opgaver.</w:t>
      </w:r>
    </w:p>
    <w:p w:rsidR="001C407A" w:rsidRPr="004A7A04" w:rsidRDefault="001C407A" w:rsidP="00FC7C21">
      <w:pPr>
        <w:ind w:left="1134" w:hanging="567"/>
      </w:pPr>
    </w:p>
    <w:p w:rsidR="005C2937" w:rsidRPr="004A7A04" w:rsidRDefault="003E6EC1" w:rsidP="009B30C5">
      <w:pPr>
        <w:ind w:left="1134" w:hanging="567"/>
        <w:jc w:val="both"/>
      </w:pPr>
      <w:r w:rsidRPr="004A7A04">
        <w:rPr>
          <w:rFonts w:ascii="Courier New" w:hAnsi="Courier New"/>
        </w:rPr>
        <w:tab/>
      </w:r>
      <w:r w:rsidRPr="004A7A04">
        <w:t>Europol bør i forbindelse med indsættelse med henblik på operationel støtte oprette en obligatorisk reservepulje bestående af højt kvalificerede retshåndhævelseseksperter fra medlemsstaterne med specialiserede profiler, der umi</w:t>
      </w:r>
      <w:r w:rsidRPr="004A7A04">
        <w:t xml:space="preserve">ddelbart kan stilles til rådighed for Europol med henblik på operationel indsættelse for at yde specialiseret støtte i forhold til deres kapacitet og operationelle behov. </w:t>
      </w:r>
    </w:p>
    <w:p w:rsidR="001C407A" w:rsidRPr="004A7A04" w:rsidRDefault="001C407A" w:rsidP="00FC7C21">
      <w:pPr>
        <w:ind w:left="1134" w:hanging="567"/>
      </w:pPr>
    </w:p>
    <w:p w:rsidR="005C2937" w:rsidRPr="004A7A04" w:rsidRDefault="003E6EC1" w:rsidP="009B30C5">
      <w:pPr>
        <w:ind w:left="1134" w:hanging="567"/>
        <w:jc w:val="both"/>
      </w:pPr>
      <w:r w:rsidRPr="004A7A04">
        <w:rPr>
          <w:rFonts w:ascii="Courier New" w:hAnsi="Courier New"/>
        </w:rPr>
        <w:tab/>
      </w:r>
      <w:r w:rsidRPr="004A7A04">
        <w:t>Medlemsstaterne bør kunne oprette operationelle taskforcer for at styrke retshåndh</w:t>
      </w:r>
      <w:r w:rsidRPr="004A7A04">
        <w:t xml:space="preserve">ævelsessamarbejdet med støtte fra Europol. Den administrerende direktør skal også have beføjelse til at foreslå operationelle taskforcer for medlemsstaterne. </w:t>
      </w:r>
    </w:p>
    <w:p w:rsidR="001C407A" w:rsidRPr="004A7A04" w:rsidRDefault="001C407A" w:rsidP="00FC7C21">
      <w:pPr>
        <w:ind w:left="1134" w:hanging="567"/>
      </w:pPr>
    </w:p>
    <w:p w:rsidR="005C2937" w:rsidRPr="004A7A04" w:rsidRDefault="003E6EC1" w:rsidP="009B30C5">
      <w:pPr>
        <w:ind w:left="1134" w:hanging="567"/>
        <w:jc w:val="both"/>
      </w:pPr>
      <w:r w:rsidRPr="004A7A04">
        <w:rPr>
          <w:rFonts w:ascii="Courier New" w:hAnsi="Courier New"/>
        </w:rPr>
        <w:tab/>
      </w:r>
      <w:r w:rsidRPr="004A7A04">
        <w:t>Medlemsstaterne skal udpege specialiserede tjenester til forebyggelse og bekæmpelse af smugling</w:t>
      </w:r>
      <w:r w:rsidRPr="004A7A04">
        <w:t xml:space="preserve"> af migranter og menneskehandel. Disse tjenester skal så hurtigt som muligt udveksle alle relevante oplysninger fra strafferetlige efterforskninger med Europol og andre medlemsstater. Der er ikke behov for at etablere yderligere strukturer, hvis de allered</w:t>
      </w:r>
      <w:r w:rsidRPr="004A7A04">
        <w:t>e findes.</w:t>
      </w:r>
    </w:p>
    <w:p w:rsidR="001C407A" w:rsidRPr="004A7A04" w:rsidRDefault="001C407A" w:rsidP="00FC7C21">
      <w:pPr>
        <w:ind w:left="1134" w:hanging="567"/>
      </w:pPr>
    </w:p>
    <w:p w:rsidR="005C2937" w:rsidRPr="004A7A04" w:rsidRDefault="003E6EC1" w:rsidP="009B30C5">
      <w:pPr>
        <w:ind w:left="1134" w:hanging="567"/>
        <w:jc w:val="both"/>
      </w:pPr>
      <w:r w:rsidRPr="004A7A04">
        <w:rPr>
          <w:rFonts w:ascii="Courier New" w:hAnsi="Courier New"/>
        </w:rPr>
        <w:tab/>
      </w:r>
      <w:r w:rsidRPr="004A7A04">
        <w:t>Ordføreren støtter Kommissionens hensigt om at lade behandlingen af biometriske data indgå i agenturets opgaver og foreslår at styrke denne tilgang. I betragtning af den rolle, som onlinetjenester spiller med hensyn til at facilitere og anspore</w:t>
      </w:r>
      <w:r w:rsidRPr="004A7A04">
        <w:t xml:space="preserve"> til smugling af migranter og menneskehandel, foreslås det også at præcisere Europols støtte til bekæmpelse af onlinedimensionen af disse kriminelle aktiviteter.</w:t>
      </w:r>
    </w:p>
    <w:p w:rsidR="005C2937" w:rsidRPr="004A7A04" w:rsidRDefault="005C2937" w:rsidP="005C2937">
      <w:pPr>
        <w:pStyle w:val="ListParagraph"/>
        <w:ind w:left="1134" w:hanging="567"/>
      </w:pPr>
    </w:p>
    <w:p w:rsidR="005C2937" w:rsidRPr="004A7A04" w:rsidRDefault="003E6EC1" w:rsidP="00FC7C21">
      <w:pPr>
        <w:pStyle w:val="NoSpacing"/>
        <w:ind w:left="567" w:hanging="567"/>
        <w:jc w:val="both"/>
        <w:rPr>
          <w:rFonts w:ascii="Times New Roman" w:hAnsi="Times New Roman" w:cs="Times New Roman"/>
          <w:sz w:val="24"/>
          <w:szCs w:val="24"/>
        </w:rPr>
      </w:pPr>
      <w:r w:rsidRPr="004A7A04">
        <w:t>–</w:t>
      </w:r>
      <w:r w:rsidRPr="004A7A04">
        <w:rPr>
          <w:rFonts w:ascii="Symbol" w:hAnsi="Symbol"/>
          <w:sz w:val="24"/>
        </w:rPr>
        <w:tab/>
      </w:r>
      <w:r w:rsidRPr="004A7A04">
        <w:rPr>
          <w:rFonts w:ascii="Times New Roman" w:hAnsi="Times New Roman"/>
          <w:sz w:val="24"/>
        </w:rPr>
        <w:t xml:space="preserve">For at Europol kan udføre sit mandat vellykket og effektivt, bør de proceduremæssige og </w:t>
      </w:r>
      <w:r w:rsidRPr="004A7A04">
        <w:rPr>
          <w:rFonts w:ascii="Times New Roman" w:hAnsi="Times New Roman"/>
          <w:sz w:val="24"/>
        </w:rPr>
        <w:t>interne personaleaspekter forbedres, når det er nødvendigt. Dette udkast til betænkning omfatter ændringer med henblik på at harmonisere såvel ansættelsesperioderne for den administrerende ledelse og personalet som gældende ansvars- og erstatningsordninger</w:t>
      </w:r>
      <w:r w:rsidRPr="004A7A04">
        <w:rPr>
          <w:rFonts w:ascii="Times New Roman" w:hAnsi="Times New Roman"/>
          <w:sz w:val="24"/>
        </w:rPr>
        <w:t xml:space="preserve"> med de tilsvarende i andre agenturer, som f.eks. Frontex, EU's Agentur for Grundlæggende Rettigheder (FRA) og eu-LISA, samtidig med at rettighederne for alle potentielt berørte personer beskyttes. Det præciserer også reglerne om vidneforklaring fra Europo</w:t>
      </w:r>
      <w:r w:rsidRPr="004A7A04">
        <w:rPr>
          <w:rFonts w:ascii="Times New Roman" w:hAnsi="Times New Roman"/>
          <w:sz w:val="24"/>
        </w:rPr>
        <w:t>ls personale, da den nuværende retlige ramme er utilstrækkelig og kan give anledning til fejlfortolkninger med hensyn til retsstillingen for Europols ansatte ved de nationale domstole eller med hensyn til omfanget af deres vidneforklaring.</w:t>
      </w:r>
    </w:p>
    <w:p w:rsidR="00C24129" w:rsidRPr="004A7A04" w:rsidRDefault="00C24129" w:rsidP="00C24129">
      <w:pPr>
        <w:widowControl/>
      </w:pPr>
    </w:p>
    <w:p w:rsidR="00C24129" w:rsidRPr="004A7A04" w:rsidRDefault="00C24129" w:rsidP="00D30DE2"/>
    <w:p w:rsidR="00C24129" w:rsidRPr="004A7A04" w:rsidRDefault="00C24129" w:rsidP="00D30DE2">
      <w:pPr>
        <w:sectPr w:rsidR="00C24129" w:rsidRPr="004A7A04" w:rsidSect="00C24129">
          <w:footnotePr>
            <w:numRestart w:val="eachSect"/>
          </w:footnotePr>
          <w:endnotePr>
            <w:numFmt w:val="decimal"/>
          </w:endnotePr>
          <w:pgSz w:w="11906" w:h="16838" w:code="9"/>
          <w:pgMar w:top="1134" w:right="1418" w:bottom="1418" w:left="1418" w:header="1134" w:footer="567" w:gutter="0"/>
          <w:cols w:space="720"/>
          <w:noEndnote/>
          <w:docGrid w:linePitch="326"/>
        </w:sectPr>
      </w:pPr>
    </w:p>
    <w:p w:rsidR="00366819" w:rsidRPr="004A7A04" w:rsidRDefault="00366819">
      <w:pPr>
        <w:widowControl/>
      </w:pPr>
    </w:p>
    <w:p w:rsidR="00D11284" w:rsidRPr="004A7A04" w:rsidRDefault="003E6EC1" w:rsidP="005C4959">
      <w:pPr>
        <w:pStyle w:val="PageHeading"/>
        <w:rPr>
          <w:noProof/>
        </w:rPr>
      </w:pPr>
      <w:bookmarkStart w:id="2" w:name="FootprintPageRR"/>
      <w:bookmarkStart w:id="3" w:name="_Toc191638967"/>
      <w:r w:rsidRPr="004A7A04">
        <w:t>BILAG: ENHEDER ELLER PERSONER,</w:t>
      </w:r>
      <w:r w:rsidRPr="004A7A04">
        <w:br/>
        <w:t>SOM ORDFØREREN HAR MODTAGET INPUT FRA</w:t>
      </w:r>
      <w:bookmarkEnd w:id="3"/>
    </w:p>
    <w:p w:rsidR="00D11284" w:rsidRPr="004A7A04" w:rsidRDefault="003E6EC1" w:rsidP="005C4959">
      <w:pPr>
        <w:pStyle w:val="Normal24a"/>
        <w:spacing w:after="240"/>
      </w:pPr>
      <w:r w:rsidRPr="004A7A04">
        <w:rPr>
          <w:rStyle w:val="HideTWBExt"/>
        </w:rPr>
        <w:t>&lt;FootprintIntro&gt;</w:t>
      </w:r>
      <w:r w:rsidRPr="004A7A04">
        <w:t>I henhold til artikel 8 i bilag I til forretningsordenen erklærer ordføreren at have modtaget input fra følgende enheder eller personer som</w:t>
      </w:r>
      <w:r w:rsidRPr="004A7A04">
        <w:t xml:space="preserve"> led i udarbejdelsen af udkastet til betænkning:</w:t>
      </w:r>
      <w:r w:rsidRPr="004A7A04">
        <w:rPr>
          <w:rStyle w:val="HideTWBExt"/>
        </w:rPr>
        <w:t>&lt;/FootprintIntro&gt;</w:t>
      </w:r>
    </w:p>
    <w:tbl>
      <w:tblPr>
        <w:tblW w:w="9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502EA6" w:rsidRPr="004A7A04" w:rsidTr="00D11284">
        <w:tc>
          <w:tcPr>
            <w:tcW w:w="9060" w:type="dxa"/>
            <w:shd w:val="clear" w:color="auto" w:fill="auto"/>
          </w:tcPr>
          <w:p w:rsidR="00D11284" w:rsidRPr="004A7A04" w:rsidRDefault="003E6EC1" w:rsidP="00D11284">
            <w:pPr>
              <w:pStyle w:val="NormalBoldCenter"/>
            </w:pPr>
            <w:r w:rsidRPr="004A7A04">
              <w:t>Enhed og/eller person</w:t>
            </w:r>
          </w:p>
        </w:tc>
      </w:tr>
      <w:tr w:rsidR="00502EA6" w:rsidRPr="004A7A04" w:rsidTr="00D11284">
        <w:tc>
          <w:tcPr>
            <w:tcW w:w="9060" w:type="dxa"/>
            <w:shd w:val="clear" w:color="auto" w:fill="auto"/>
          </w:tcPr>
          <w:p w:rsidR="00D11284" w:rsidRPr="004A7A04" w:rsidRDefault="003E6EC1" w:rsidP="00D11284">
            <w:pPr>
              <w:rPr>
                <w:sz w:val="22"/>
              </w:rPr>
            </w:pPr>
            <w:r w:rsidRPr="004A7A04">
              <w:rPr>
                <w:sz w:val="22"/>
              </w:rPr>
              <w:t>EDRi</w:t>
            </w:r>
          </w:p>
        </w:tc>
      </w:tr>
      <w:tr w:rsidR="00502EA6" w:rsidRPr="004A7A04" w:rsidTr="00D11284">
        <w:tc>
          <w:tcPr>
            <w:tcW w:w="9060" w:type="dxa"/>
            <w:shd w:val="clear" w:color="auto" w:fill="auto"/>
          </w:tcPr>
          <w:p w:rsidR="00D11284" w:rsidRPr="004A7A04" w:rsidRDefault="003E6EC1" w:rsidP="00D11284">
            <w:pPr>
              <w:rPr>
                <w:sz w:val="22"/>
              </w:rPr>
            </w:pPr>
            <w:r w:rsidRPr="004A7A04">
              <w:rPr>
                <w:sz w:val="22"/>
              </w:rPr>
              <w:t>Europol</w:t>
            </w:r>
          </w:p>
        </w:tc>
      </w:tr>
      <w:tr w:rsidR="00502EA6" w:rsidRPr="004A7A04" w:rsidTr="00D11284">
        <w:tc>
          <w:tcPr>
            <w:tcW w:w="9060" w:type="dxa"/>
            <w:shd w:val="clear" w:color="auto" w:fill="auto"/>
          </w:tcPr>
          <w:p w:rsidR="00D11284" w:rsidRPr="004A7A04" w:rsidRDefault="003E6EC1" w:rsidP="00D11284">
            <w:pPr>
              <w:rPr>
                <w:sz w:val="22"/>
              </w:rPr>
            </w:pPr>
            <w:r w:rsidRPr="004A7A04">
              <w:rPr>
                <w:sz w:val="22"/>
              </w:rPr>
              <w:t>Europa-Kommissionen - GD HOME</w:t>
            </w:r>
          </w:p>
        </w:tc>
      </w:tr>
      <w:tr w:rsidR="00502EA6" w:rsidRPr="004A7A04" w:rsidTr="00D11284">
        <w:tc>
          <w:tcPr>
            <w:tcW w:w="9060" w:type="dxa"/>
            <w:shd w:val="clear" w:color="auto" w:fill="auto"/>
          </w:tcPr>
          <w:p w:rsidR="00D11284" w:rsidRPr="004A7A04" w:rsidRDefault="003E6EC1" w:rsidP="00D11284">
            <w:pPr>
              <w:rPr>
                <w:sz w:val="22"/>
              </w:rPr>
            </w:pPr>
            <w:r w:rsidRPr="004A7A04">
              <w:rPr>
                <w:sz w:val="22"/>
              </w:rPr>
              <w:t>EPRS</w:t>
            </w:r>
          </w:p>
        </w:tc>
      </w:tr>
      <w:tr w:rsidR="00502EA6" w:rsidRPr="004A7A04" w:rsidTr="00D11284">
        <w:tc>
          <w:tcPr>
            <w:tcW w:w="9060" w:type="dxa"/>
            <w:shd w:val="clear" w:color="auto" w:fill="auto"/>
          </w:tcPr>
          <w:p w:rsidR="00D11284" w:rsidRPr="004A7A04" w:rsidRDefault="003E6EC1" w:rsidP="00D11284">
            <w:pPr>
              <w:rPr>
                <w:sz w:val="22"/>
              </w:rPr>
            </w:pPr>
            <w:r w:rsidRPr="004A7A04">
              <w:rPr>
                <w:sz w:val="22"/>
              </w:rPr>
              <w:t>Equinox</w:t>
            </w:r>
          </w:p>
        </w:tc>
      </w:tr>
    </w:tbl>
    <w:p w:rsidR="00D11284" w:rsidRPr="004A7A04" w:rsidRDefault="003E6EC1" w:rsidP="005C4959">
      <w:pPr>
        <w:pStyle w:val="Footprint12b"/>
      </w:pPr>
      <w:r w:rsidRPr="004A7A04">
        <w:t>Ordføreren har udarbejdet ovenstående liste på eget ansvar.</w:t>
      </w:r>
    </w:p>
    <w:p w:rsidR="00D11284" w:rsidRPr="004A7A04" w:rsidRDefault="003E6EC1" w:rsidP="005C4959">
      <w:pPr>
        <w:pStyle w:val="Footprint12b"/>
      </w:pPr>
      <w:r w:rsidRPr="004A7A04">
        <w:t xml:space="preserve">Når fysiske personer er identificeret på </w:t>
      </w:r>
      <w:r w:rsidRPr="004A7A04">
        <w:t>listen ved deres navn, deres funktion eller begge, erklærer ordføreren at have forelagt de pågældende fysiske personer Europa-Parlamentets databeskyttelsesmeddelelse nr. 484 (</w:t>
      </w:r>
      <w:hyperlink r:id="rId15" w:history="1">
        <w:r w:rsidRPr="004A7A04">
          <w:rPr>
            <w:rStyle w:val="Hyperlink"/>
          </w:rPr>
          <w:t>https://www.</w:t>
        </w:r>
        <w:r w:rsidRPr="004A7A04">
          <w:rPr>
            <w:rStyle w:val="Hyperlink"/>
          </w:rPr>
          <w:t>europarl.europa.eu/data-protect/index.do</w:t>
        </w:r>
      </w:hyperlink>
      <w:r w:rsidRPr="004A7A04">
        <w:t>), hvori de gældende betingelser for behandling af deres personoplysninger og rettighederne forbundet med denne behandling er fastlagt.</w:t>
      </w:r>
    </w:p>
    <w:p w:rsidR="00D11284" w:rsidRPr="004A7A04" w:rsidRDefault="00D11284" w:rsidP="005C4959">
      <w:pPr>
        <w:pStyle w:val="Footprint12b"/>
      </w:pPr>
    </w:p>
    <w:p w:rsidR="00D11284" w:rsidRPr="004A7A04" w:rsidRDefault="00D11284" w:rsidP="00D11284"/>
    <w:p w:rsidR="00366819" w:rsidRPr="004A7A04" w:rsidRDefault="00366819" w:rsidP="00D30DE2">
      <w:bookmarkStart w:id="4" w:name="_GoBack"/>
      <w:bookmarkEnd w:id="2"/>
      <w:bookmarkEnd w:id="4"/>
    </w:p>
    <w:sectPr w:rsidR="00366819" w:rsidRPr="004A7A04" w:rsidSect="00C24129">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4A7A04" w:rsidRDefault="003E6EC1">
      <w:r w:rsidRPr="004A7A04">
        <w:separator/>
      </w:r>
    </w:p>
  </w:endnote>
  <w:endnote w:type="continuationSeparator" w:id="0">
    <w:p w:rsidR="00000000" w:rsidRPr="004A7A04" w:rsidRDefault="003E6EC1">
      <w:r w:rsidRPr="004A7A0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Yu Mincho">
    <w:altName w:val="游明朝"/>
    <w:panose1 w:val="00000000000000000000"/>
    <w:charset w:val="80"/>
    <w:family w:val="roman"/>
    <w:notTrueType/>
    <w:pitch w:val="default"/>
  </w:font>
  <w:font w:name="Roboto">
    <w:altName w:val="Times New Roman"/>
    <w:charset w:val="00"/>
    <w:family w:val="auto"/>
    <w:pitch w:val="variable"/>
    <w:sig w:usb0="E0000AFF" w:usb1="5000217F" w:usb2="00000021"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7A04" w:rsidRPr="004A7A04" w:rsidRDefault="004A7A04" w:rsidP="004A7A04">
    <w:pPr>
      <w:pStyle w:val="EPFooter"/>
    </w:pPr>
    <w:r w:rsidRPr="004A7A04">
      <w:t>PE</w:t>
    </w:r>
    <w:r w:rsidRPr="004A7A04">
      <w:rPr>
        <w:rStyle w:val="HideTWBExt"/>
      </w:rPr>
      <w:t>&lt;NoPE&gt;</w:t>
    </w:r>
    <w:r w:rsidRPr="004A7A04">
      <w:t>768.042</w:t>
    </w:r>
    <w:r w:rsidRPr="004A7A04">
      <w:rPr>
        <w:rStyle w:val="HideTWBExt"/>
      </w:rPr>
      <w:t>&lt;/NoPE&gt;&lt;Version&gt;</w:t>
    </w:r>
    <w:r w:rsidRPr="004A7A04">
      <w:t>v01-00</w:t>
    </w:r>
    <w:r w:rsidRPr="004A7A04">
      <w:rPr>
        <w:rStyle w:val="HideTWBExt"/>
      </w:rPr>
      <w:t>&lt;/Version&gt;</w:t>
    </w:r>
    <w:r w:rsidRPr="004A7A04">
      <w:tab/>
    </w:r>
    <w:r w:rsidRPr="004A7A04">
      <w:fldChar w:fldCharType="begin"/>
    </w:r>
    <w:r w:rsidRPr="004A7A04">
      <w:instrText xml:space="preserve"> PAGE  \* MERGEFORMAT </w:instrText>
    </w:r>
    <w:r w:rsidRPr="004A7A04">
      <w:fldChar w:fldCharType="separate"/>
    </w:r>
    <w:r w:rsidR="003E6EC1">
      <w:rPr>
        <w:noProof/>
      </w:rPr>
      <w:t>48</w:t>
    </w:r>
    <w:r w:rsidRPr="004A7A04">
      <w:fldChar w:fldCharType="end"/>
    </w:r>
    <w:r w:rsidRPr="004A7A04">
      <w:t>/</w:t>
    </w:r>
    <w:fldSimple w:instr=" NUMPAGES  \* MERGEFORMAT ">
      <w:r w:rsidR="003E6EC1">
        <w:rPr>
          <w:noProof/>
        </w:rPr>
        <w:t>49</w:t>
      </w:r>
    </w:fldSimple>
    <w:r w:rsidRPr="004A7A04">
      <w:tab/>
    </w:r>
    <w:r w:rsidRPr="004A7A04">
      <w:rPr>
        <w:rStyle w:val="HideTWBExt"/>
      </w:rPr>
      <w:t>&lt;PathFdR&gt;</w:t>
    </w:r>
    <w:r w:rsidRPr="004A7A04">
      <w:t>PR\1314087DA.docx</w:t>
    </w:r>
    <w:r w:rsidRPr="004A7A04">
      <w:rPr>
        <w:rStyle w:val="HideTWBExt"/>
      </w:rPr>
      <w:t>&lt;/PathFdR&gt;</w:t>
    </w:r>
  </w:p>
  <w:p w:rsidR="006020DB" w:rsidRPr="004A7A04" w:rsidRDefault="004A7A04" w:rsidP="004A7A04">
    <w:pPr>
      <w:pStyle w:val="EPFooter2"/>
    </w:pPr>
    <w:r w:rsidRPr="004A7A04">
      <w:t>DA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7A04" w:rsidRPr="004A7A04" w:rsidRDefault="004A7A04" w:rsidP="004A7A04">
    <w:pPr>
      <w:pStyle w:val="EPFooter"/>
    </w:pPr>
    <w:r w:rsidRPr="004A7A04">
      <w:rPr>
        <w:rStyle w:val="HideTWBExt"/>
      </w:rPr>
      <w:t>&lt;PathFdR&gt;</w:t>
    </w:r>
    <w:r w:rsidRPr="004A7A04">
      <w:t>PR\1314087DA.docx</w:t>
    </w:r>
    <w:r w:rsidRPr="004A7A04">
      <w:rPr>
        <w:rStyle w:val="HideTWBExt"/>
      </w:rPr>
      <w:t>&lt;/PathFdR&gt;</w:t>
    </w:r>
    <w:r w:rsidRPr="004A7A04">
      <w:tab/>
    </w:r>
    <w:r w:rsidRPr="004A7A04">
      <w:fldChar w:fldCharType="begin"/>
    </w:r>
    <w:r w:rsidRPr="004A7A04">
      <w:instrText xml:space="preserve"> PAGE  \* MERGEFORMAT </w:instrText>
    </w:r>
    <w:r w:rsidRPr="004A7A04">
      <w:fldChar w:fldCharType="separate"/>
    </w:r>
    <w:r w:rsidR="003E6EC1">
      <w:rPr>
        <w:noProof/>
      </w:rPr>
      <w:t>49</w:t>
    </w:r>
    <w:r w:rsidRPr="004A7A04">
      <w:fldChar w:fldCharType="end"/>
    </w:r>
    <w:r w:rsidRPr="004A7A04">
      <w:t>/</w:t>
    </w:r>
    <w:fldSimple w:instr=" NUMPAGES  \* MERGEFORMAT ">
      <w:r w:rsidR="003E6EC1">
        <w:rPr>
          <w:noProof/>
        </w:rPr>
        <w:t>49</w:t>
      </w:r>
    </w:fldSimple>
    <w:r w:rsidRPr="004A7A04">
      <w:tab/>
      <w:t>PE</w:t>
    </w:r>
    <w:r w:rsidRPr="004A7A04">
      <w:rPr>
        <w:rStyle w:val="HideTWBExt"/>
      </w:rPr>
      <w:t>&lt;NoPE&gt;</w:t>
    </w:r>
    <w:r w:rsidRPr="004A7A04">
      <w:t>768.042</w:t>
    </w:r>
    <w:r w:rsidRPr="004A7A04">
      <w:rPr>
        <w:rStyle w:val="HideTWBExt"/>
      </w:rPr>
      <w:t>&lt;/NoPE&gt;&lt;Version&gt;</w:t>
    </w:r>
    <w:r w:rsidRPr="004A7A04">
      <w:t>v01-00</w:t>
    </w:r>
    <w:r w:rsidRPr="004A7A04">
      <w:rPr>
        <w:rStyle w:val="HideTWBExt"/>
      </w:rPr>
      <w:t>&lt;/Version&gt;</w:t>
    </w:r>
  </w:p>
  <w:p w:rsidR="006020DB" w:rsidRPr="004A7A04" w:rsidRDefault="004A7A04" w:rsidP="004A7A04">
    <w:pPr>
      <w:pStyle w:val="EPFooter2"/>
    </w:pPr>
    <w:r w:rsidRPr="004A7A04">
      <w:tab/>
    </w:r>
    <w:r w:rsidRPr="004A7A04">
      <w:tab/>
      <w:t>DA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7A04" w:rsidRPr="004A7A04" w:rsidRDefault="004A7A04" w:rsidP="004A7A04">
    <w:pPr>
      <w:pStyle w:val="EPFooter"/>
    </w:pPr>
    <w:r w:rsidRPr="004A7A04">
      <w:rPr>
        <w:rStyle w:val="HideTWBExt"/>
      </w:rPr>
      <w:t>&lt;PathFdR&gt;</w:t>
    </w:r>
    <w:r w:rsidRPr="004A7A04">
      <w:t>PR\1314087DA.docx</w:t>
    </w:r>
    <w:r w:rsidRPr="004A7A04">
      <w:rPr>
        <w:rStyle w:val="HideTWBExt"/>
      </w:rPr>
      <w:t>&lt;/PathFdR&gt;</w:t>
    </w:r>
    <w:r w:rsidRPr="004A7A04">
      <w:tab/>
    </w:r>
    <w:r w:rsidRPr="004A7A04">
      <w:tab/>
      <w:t>PE</w:t>
    </w:r>
    <w:r w:rsidRPr="004A7A04">
      <w:rPr>
        <w:rStyle w:val="HideTWBExt"/>
      </w:rPr>
      <w:t>&lt;NoPE&gt;</w:t>
    </w:r>
    <w:r w:rsidRPr="004A7A04">
      <w:t>768.042</w:t>
    </w:r>
    <w:r w:rsidRPr="004A7A04">
      <w:rPr>
        <w:rStyle w:val="HideTWBExt"/>
      </w:rPr>
      <w:t>&lt;/NoPE&gt;&lt;Version&gt;</w:t>
    </w:r>
    <w:r w:rsidRPr="004A7A04">
      <w:t>v01-00</w:t>
    </w:r>
    <w:r w:rsidRPr="004A7A04">
      <w:rPr>
        <w:rStyle w:val="HideTWBExt"/>
      </w:rPr>
      <w:t>&lt;/Version&gt;</w:t>
    </w:r>
  </w:p>
  <w:p w:rsidR="006020DB" w:rsidRPr="004A7A04" w:rsidRDefault="004A7A04" w:rsidP="004A7A04">
    <w:pPr>
      <w:pStyle w:val="EPFooter2"/>
    </w:pPr>
    <w:r w:rsidRPr="004A7A04">
      <w:t>DA</w:t>
    </w:r>
    <w:r w:rsidRPr="004A7A04">
      <w:tab/>
    </w:r>
    <w:r w:rsidRPr="004A7A04">
      <w:rPr>
        <w:b w:val="0"/>
        <w:i/>
        <w:color w:val="C0C0C0"/>
        <w:sz w:val="22"/>
      </w:rPr>
      <w:t>Forenet i mangfoldighed</w:t>
    </w:r>
    <w:r w:rsidRPr="004A7A04">
      <w:tab/>
      <w:t>DA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20DB" w:rsidRPr="004A7A04" w:rsidRDefault="003E6EC1">
      <w:r w:rsidRPr="004A7A04">
        <w:separator/>
      </w:r>
    </w:p>
  </w:footnote>
  <w:footnote w:type="continuationSeparator" w:id="0">
    <w:p w:rsidR="006020DB" w:rsidRPr="004A7A04" w:rsidRDefault="003E6EC1">
      <w:r w:rsidRPr="004A7A04">
        <w:continuationSeparator/>
      </w:r>
    </w:p>
  </w:footnote>
  <w:footnote w:id="1">
    <w:p w:rsidR="006020DB" w:rsidRPr="004A7A04" w:rsidRDefault="003E6EC1">
      <w:pPr>
        <w:pStyle w:val="FootnoteText"/>
      </w:pPr>
      <w:r w:rsidRPr="004A7A04">
        <w:rPr>
          <w:rStyle w:val="FootnoteReference"/>
        </w:rPr>
        <w:footnoteRef/>
      </w:r>
      <w:r w:rsidRPr="004A7A04">
        <w:t xml:space="preserve"> </w:t>
      </w:r>
      <w:r w:rsidRPr="004A7A04">
        <w:rPr>
          <w:rFonts w:ascii="Roboto" w:hAnsi="Roboto"/>
          <w:color w:val="333333"/>
          <w:sz w:val="21"/>
          <w:shd w:val="clear" w:color="auto" w:fill="FFFFFF"/>
        </w:rPr>
        <w:t>EUT C, C/2024/6024, 23.10.2024, ELI: </w:t>
      </w:r>
      <w:hyperlink r:id="rId1" w:tgtFrame="_blank" w:tooltip="Giver adgang til dokumentet via dets ELI URI." w:history="1">
        <w:r w:rsidRPr="004A7A04">
          <w:rPr>
            <w:rFonts w:ascii="Roboto" w:hAnsi="Roboto"/>
            <w:color w:val="337AB7"/>
            <w:sz w:val="21"/>
            <w:u w:val="single"/>
          </w:rPr>
          <w:t>http://data.europa.eu/eli/C/2024/6024/oj</w:t>
        </w:r>
      </w:hyperlink>
      <w:r w:rsidRPr="004A7A04">
        <w:rPr>
          <w:rFonts w:ascii="Roboto" w:hAnsi="Roboto"/>
          <w:color w:val="333333"/>
          <w:sz w:val="21"/>
          <w:shd w:val="clear" w:color="auto" w:fill="FFFFFF"/>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6EC1" w:rsidRDefault="003E6E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6EC1" w:rsidRDefault="003E6E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6EC1" w:rsidRDefault="003E6E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FCB5BDD"/>
    <w:multiLevelType w:val="hybridMultilevel"/>
    <w:tmpl w:val="D9C29980"/>
    <w:lvl w:ilvl="0" w:tplc="10D0765C">
      <w:start w:val="1"/>
      <w:numFmt w:val="bullet"/>
      <w:lvlText w:val=""/>
      <w:lvlJc w:val="left"/>
      <w:pPr>
        <w:ind w:left="720" w:hanging="360"/>
      </w:pPr>
      <w:rPr>
        <w:rFonts w:ascii="Symbol" w:hAnsi="Symbol" w:hint="default"/>
      </w:rPr>
    </w:lvl>
    <w:lvl w:ilvl="1" w:tplc="101C6BE8">
      <w:start w:val="1"/>
      <w:numFmt w:val="bullet"/>
      <w:lvlText w:val="o"/>
      <w:lvlJc w:val="left"/>
      <w:pPr>
        <w:ind w:left="1440" w:hanging="360"/>
      </w:pPr>
      <w:rPr>
        <w:rFonts w:ascii="Courier New" w:hAnsi="Courier New" w:cs="Courier New" w:hint="default"/>
      </w:rPr>
    </w:lvl>
    <w:lvl w:ilvl="2" w:tplc="09D8DCFE">
      <w:start w:val="1"/>
      <w:numFmt w:val="bullet"/>
      <w:lvlText w:val=""/>
      <w:lvlJc w:val="left"/>
      <w:pPr>
        <w:ind w:left="2160" w:hanging="360"/>
      </w:pPr>
      <w:rPr>
        <w:rFonts w:ascii="Wingdings" w:hAnsi="Wingdings" w:hint="default"/>
      </w:rPr>
    </w:lvl>
    <w:lvl w:ilvl="3" w:tplc="7A3E3CE4">
      <w:start w:val="1"/>
      <w:numFmt w:val="bullet"/>
      <w:lvlText w:val=""/>
      <w:lvlJc w:val="left"/>
      <w:pPr>
        <w:ind w:left="2880" w:hanging="360"/>
      </w:pPr>
      <w:rPr>
        <w:rFonts w:ascii="Symbol" w:hAnsi="Symbol" w:hint="default"/>
      </w:rPr>
    </w:lvl>
    <w:lvl w:ilvl="4" w:tplc="434E9372">
      <w:start w:val="1"/>
      <w:numFmt w:val="bullet"/>
      <w:lvlText w:val="o"/>
      <w:lvlJc w:val="left"/>
      <w:pPr>
        <w:ind w:left="3600" w:hanging="360"/>
      </w:pPr>
      <w:rPr>
        <w:rFonts w:ascii="Courier New" w:hAnsi="Courier New" w:cs="Courier New" w:hint="default"/>
      </w:rPr>
    </w:lvl>
    <w:lvl w:ilvl="5" w:tplc="034235FE">
      <w:start w:val="1"/>
      <w:numFmt w:val="bullet"/>
      <w:lvlText w:val=""/>
      <w:lvlJc w:val="left"/>
      <w:pPr>
        <w:ind w:left="4320" w:hanging="360"/>
      </w:pPr>
      <w:rPr>
        <w:rFonts w:ascii="Wingdings" w:hAnsi="Wingdings" w:hint="default"/>
      </w:rPr>
    </w:lvl>
    <w:lvl w:ilvl="6" w:tplc="BE4617A6">
      <w:start w:val="1"/>
      <w:numFmt w:val="bullet"/>
      <w:lvlText w:val=""/>
      <w:lvlJc w:val="left"/>
      <w:pPr>
        <w:ind w:left="5040" w:hanging="360"/>
      </w:pPr>
      <w:rPr>
        <w:rFonts w:ascii="Symbol" w:hAnsi="Symbol" w:hint="default"/>
      </w:rPr>
    </w:lvl>
    <w:lvl w:ilvl="7" w:tplc="78CEF54E">
      <w:start w:val="1"/>
      <w:numFmt w:val="bullet"/>
      <w:lvlText w:val="o"/>
      <w:lvlJc w:val="left"/>
      <w:pPr>
        <w:ind w:left="5760" w:hanging="360"/>
      </w:pPr>
      <w:rPr>
        <w:rFonts w:ascii="Courier New" w:hAnsi="Courier New" w:cs="Courier New" w:hint="default"/>
      </w:rPr>
    </w:lvl>
    <w:lvl w:ilvl="8" w:tplc="74C40902">
      <w:start w:val="1"/>
      <w:numFmt w:val="bullet"/>
      <w:lvlText w:val=""/>
      <w:lvlJc w:val="left"/>
      <w:pPr>
        <w:ind w:left="6480" w:hanging="360"/>
      </w:pPr>
      <w:rPr>
        <w:rFonts w:ascii="Wingdings" w:hAnsi="Wingdings" w:hint="default"/>
      </w:rPr>
    </w:lvl>
  </w:abstractNum>
  <w:abstractNum w:abstractNumId="11" w15:restartNumberingAfterBreak="0">
    <w:nsid w:val="27F47A1A"/>
    <w:multiLevelType w:val="hybridMultilevel"/>
    <w:tmpl w:val="07908532"/>
    <w:lvl w:ilvl="0" w:tplc="B1E6357E">
      <w:start w:val="1"/>
      <w:numFmt w:val="bullet"/>
      <w:lvlText w:val=""/>
      <w:lvlJc w:val="left"/>
      <w:pPr>
        <w:ind w:left="720" w:hanging="360"/>
      </w:pPr>
      <w:rPr>
        <w:rFonts w:ascii="Symbol" w:hAnsi="Symbol" w:hint="default"/>
      </w:rPr>
    </w:lvl>
    <w:lvl w:ilvl="1" w:tplc="771ABD1E">
      <w:start w:val="1"/>
      <w:numFmt w:val="bullet"/>
      <w:lvlText w:val="o"/>
      <w:lvlJc w:val="left"/>
      <w:pPr>
        <w:ind w:left="1440" w:hanging="360"/>
      </w:pPr>
      <w:rPr>
        <w:rFonts w:ascii="Courier New" w:hAnsi="Courier New" w:cs="Courier New" w:hint="default"/>
      </w:rPr>
    </w:lvl>
    <w:lvl w:ilvl="2" w:tplc="CBAAC940">
      <w:start w:val="1"/>
      <w:numFmt w:val="bullet"/>
      <w:lvlText w:val=""/>
      <w:lvlJc w:val="left"/>
      <w:pPr>
        <w:ind w:left="2160" w:hanging="360"/>
      </w:pPr>
      <w:rPr>
        <w:rFonts w:ascii="Wingdings" w:hAnsi="Wingdings" w:hint="default"/>
      </w:rPr>
    </w:lvl>
    <w:lvl w:ilvl="3" w:tplc="47F85764">
      <w:start w:val="1"/>
      <w:numFmt w:val="bullet"/>
      <w:lvlText w:val=""/>
      <w:lvlJc w:val="left"/>
      <w:pPr>
        <w:ind w:left="2880" w:hanging="360"/>
      </w:pPr>
      <w:rPr>
        <w:rFonts w:ascii="Symbol" w:hAnsi="Symbol" w:hint="default"/>
      </w:rPr>
    </w:lvl>
    <w:lvl w:ilvl="4" w:tplc="2E060108">
      <w:start w:val="1"/>
      <w:numFmt w:val="bullet"/>
      <w:lvlText w:val="o"/>
      <w:lvlJc w:val="left"/>
      <w:pPr>
        <w:ind w:left="3600" w:hanging="360"/>
      </w:pPr>
      <w:rPr>
        <w:rFonts w:ascii="Courier New" w:hAnsi="Courier New" w:cs="Courier New" w:hint="default"/>
      </w:rPr>
    </w:lvl>
    <w:lvl w:ilvl="5" w:tplc="F46C5CC8">
      <w:start w:val="1"/>
      <w:numFmt w:val="bullet"/>
      <w:lvlText w:val=""/>
      <w:lvlJc w:val="left"/>
      <w:pPr>
        <w:ind w:left="4320" w:hanging="360"/>
      </w:pPr>
      <w:rPr>
        <w:rFonts w:ascii="Wingdings" w:hAnsi="Wingdings" w:hint="default"/>
      </w:rPr>
    </w:lvl>
    <w:lvl w:ilvl="6" w:tplc="C898EA0A">
      <w:start w:val="1"/>
      <w:numFmt w:val="bullet"/>
      <w:lvlText w:val=""/>
      <w:lvlJc w:val="left"/>
      <w:pPr>
        <w:ind w:left="5040" w:hanging="360"/>
      </w:pPr>
      <w:rPr>
        <w:rFonts w:ascii="Symbol" w:hAnsi="Symbol" w:hint="default"/>
      </w:rPr>
    </w:lvl>
    <w:lvl w:ilvl="7" w:tplc="1024AFC8">
      <w:start w:val="1"/>
      <w:numFmt w:val="bullet"/>
      <w:lvlText w:val="o"/>
      <w:lvlJc w:val="left"/>
      <w:pPr>
        <w:ind w:left="5760" w:hanging="360"/>
      </w:pPr>
      <w:rPr>
        <w:rFonts w:ascii="Courier New" w:hAnsi="Courier New" w:cs="Courier New" w:hint="default"/>
      </w:rPr>
    </w:lvl>
    <w:lvl w:ilvl="8" w:tplc="0B2AB9A2">
      <w:start w:val="1"/>
      <w:numFmt w:val="bullet"/>
      <w:lvlText w:val=""/>
      <w:lvlJc w:val="left"/>
      <w:pPr>
        <w:ind w:left="6480" w:hanging="360"/>
      </w:pPr>
      <w:rPr>
        <w:rFonts w:ascii="Wingdings" w:hAnsi="Wingdings" w:hint="default"/>
      </w:rPr>
    </w:lvl>
  </w:abstractNum>
  <w:abstractNum w:abstractNumId="12" w15:restartNumberingAfterBreak="0">
    <w:nsid w:val="5944571E"/>
    <w:multiLevelType w:val="hybridMultilevel"/>
    <w:tmpl w:val="09F8BC3C"/>
    <w:lvl w:ilvl="0" w:tplc="725C9EF8">
      <w:start w:val="1"/>
      <w:numFmt w:val="bullet"/>
      <w:lvlText w:val="o"/>
      <w:lvlJc w:val="left"/>
      <w:pPr>
        <w:ind w:left="2160" w:hanging="360"/>
      </w:pPr>
      <w:rPr>
        <w:rFonts w:ascii="Courier New" w:hAnsi="Courier New" w:cs="Courier New" w:hint="default"/>
      </w:rPr>
    </w:lvl>
    <w:lvl w:ilvl="1" w:tplc="0C9C18BC">
      <w:start w:val="1"/>
      <w:numFmt w:val="bullet"/>
      <w:lvlText w:val="o"/>
      <w:lvlJc w:val="left"/>
      <w:pPr>
        <w:ind w:left="2880" w:hanging="360"/>
      </w:pPr>
      <w:rPr>
        <w:rFonts w:ascii="Courier New" w:hAnsi="Courier New" w:cs="Courier New" w:hint="default"/>
      </w:rPr>
    </w:lvl>
    <w:lvl w:ilvl="2" w:tplc="6632128C">
      <w:start w:val="1"/>
      <w:numFmt w:val="bullet"/>
      <w:lvlText w:val=""/>
      <w:lvlJc w:val="left"/>
      <w:pPr>
        <w:ind w:left="3600" w:hanging="360"/>
      </w:pPr>
      <w:rPr>
        <w:rFonts w:ascii="Wingdings" w:hAnsi="Wingdings" w:hint="default"/>
      </w:rPr>
    </w:lvl>
    <w:lvl w:ilvl="3" w:tplc="E716F696">
      <w:start w:val="1"/>
      <w:numFmt w:val="bullet"/>
      <w:lvlText w:val=""/>
      <w:lvlJc w:val="left"/>
      <w:pPr>
        <w:ind w:left="4320" w:hanging="360"/>
      </w:pPr>
      <w:rPr>
        <w:rFonts w:ascii="Symbol" w:hAnsi="Symbol" w:hint="default"/>
      </w:rPr>
    </w:lvl>
    <w:lvl w:ilvl="4" w:tplc="6C708478">
      <w:start w:val="1"/>
      <w:numFmt w:val="bullet"/>
      <w:lvlText w:val="o"/>
      <w:lvlJc w:val="left"/>
      <w:pPr>
        <w:ind w:left="5040" w:hanging="360"/>
      </w:pPr>
      <w:rPr>
        <w:rFonts w:ascii="Courier New" w:hAnsi="Courier New" w:cs="Courier New" w:hint="default"/>
      </w:rPr>
    </w:lvl>
    <w:lvl w:ilvl="5" w:tplc="763C6D20">
      <w:start w:val="1"/>
      <w:numFmt w:val="bullet"/>
      <w:lvlText w:val=""/>
      <w:lvlJc w:val="left"/>
      <w:pPr>
        <w:ind w:left="5760" w:hanging="360"/>
      </w:pPr>
      <w:rPr>
        <w:rFonts w:ascii="Wingdings" w:hAnsi="Wingdings" w:hint="default"/>
      </w:rPr>
    </w:lvl>
    <w:lvl w:ilvl="6" w:tplc="F2F071E6">
      <w:start w:val="1"/>
      <w:numFmt w:val="bullet"/>
      <w:lvlText w:val=""/>
      <w:lvlJc w:val="left"/>
      <w:pPr>
        <w:ind w:left="6480" w:hanging="360"/>
      </w:pPr>
      <w:rPr>
        <w:rFonts w:ascii="Symbol" w:hAnsi="Symbol" w:hint="default"/>
      </w:rPr>
    </w:lvl>
    <w:lvl w:ilvl="7" w:tplc="06542620">
      <w:start w:val="1"/>
      <w:numFmt w:val="bullet"/>
      <w:lvlText w:val="o"/>
      <w:lvlJc w:val="left"/>
      <w:pPr>
        <w:ind w:left="7200" w:hanging="360"/>
      </w:pPr>
      <w:rPr>
        <w:rFonts w:ascii="Courier New" w:hAnsi="Courier New" w:cs="Courier New" w:hint="default"/>
      </w:rPr>
    </w:lvl>
    <w:lvl w:ilvl="8" w:tplc="1444EE2A">
      <w:start w:val="1"/>
      <w:numFmt w:val="bullet"/>
      <w:lvlText w:val=""/>
      <w:lvlJc w:val="left"/>
      <w:pPr>
        <w:ind w:left="7920" w:hanging="360"/>
      </w:pPr>
      <w:rPr>
        <w:rFonts w:ascii="Wingdings" w:hAnsi="Wingdings" w:hint="default"/>
      </w:rPr>
    </w:lvl>
  </w:abstractNum>
  <w:abstractNum w:abstractNumId="13" w15:restartNumberingAfterBreak="0">
    <w:nsid w:val="6BF45036"/>
    <w:multiLevelType w:val="hybridMultilevel"/>
    <w:tmpl w:val="2A9E6A64"/>
    <w:lvl w:ilvl="0" w:tplc="77A2FA08">
      <w:start w:val="1"/>
      <w:numFmt w:val="bullet"/>
      <w:lvlText w:val=""/>
      <w:lvlJc w:val="left"/>
      <w:pPr>
        <w:ind w:left="720" w:hanging="360"/>
      </w:pPr>
      <w:rPr>
        <w:rFonts w:ascii="Symbol" w:hAnsi="Symbol" w:hint="default"/>
      </w:rPr>
    </w:lvl>
    <w:lvl w:ilvl="1" w:tplc="8F3C7396">
      <w:start w:val="1"/>
      <w:numFmt w:val="bullet"/>
      <w:lvlText w:val="o"/>
      <w:lvlJc w:val="left"/>
      <w:pPr>
        <w:ind w:left="1440" w:hanging="360"/>
      </w:pPr>
      <w:rPr>
        <w:rFonts w:ascii="Courier New" w:hAnsi="Courier New" w:cs="Courier New" w:hint="default"/>
      </w:rPr>
    </w:lvl>
    <w:lvl w:ilvl="2" w:tplc="DBDE7BD4">
      <w:start w:val="1"/>
      <w:numFmt w:val="bullet"/>
      <w:lvlText w:val=""/>
      <w:lvlJc w:val="left"/>
      <w:pPr>
        <w:ind w:left="2160" w:hanging="360"/>
      </w:pPr>
      <w:rPr>
        <w:rFonts w:ascii="Wingdings" w:hAnsi="Wingdings" w:hint="default"/>
      </w:rPr>
    </w:lvl>
    <w:lvl w:ilvl="3" w:tplc="F87E8584">
      <w:start w:val="1"/>
      <w:numFmt w:val="bullet"/>
      <w:lvlText w:val=""/>
      <w:lvlJc w:val="left"/>
      <w:pPr>
        <w:ind w:left="2880" w:hanging="360"/>
      </w:pPr>
      <w:rPr>
        <w:rFonts w:ascii="Symbol" w:hAnsi="Symbol" w:hint="default"/>
      </w:rPr>
    </w:lvl>
    <w:lvl w:ilvl="4" w:tplc="AF0AB958">
      <w:start w:val="1"/>
      <w:numFmt w:val="bullet"/>
      <w:lvlText w:val="o"/>
      <w:lvlJc w:val="left"/>
      <w:pPr>
        <w:ind w:left="3600" w:hanging="360"/>
      </w:pPr>
      <w:rPr>
        <w:rFonts w:ascii="Courier New" w:hAnsi="Courier New" w:cs="Courier New" w:hint="default"/>
      </w:rPr>
    </w:lvl>
    <w:lvl w:ilvl="5" w:tplc="E7DED9DE">
      <w:start w:val="1"/>
      <w:numFmt w:val="bullet"/>
      <w:lvlText w:val=""/>
      <w:lvlJc w:val="left"/>
      <w:pPr>
        <w:ind w:left="4320" w:hanging="360"/>
      </w:pPr>
      <w:rPr>
        <w:rFonts w:ascii="Wingdings" w:hAnsi="Wingdings" w:hint="default"/>
      </w:rPr>
    </w:lvl>
    <w:lvl w:ilvl="6" w:tplc="D3724398">
      <w:start w:val="1"/>
      <w:numFmt w:val="bullet"/>
      <w:lvlText w:val=""/>
      <w:lvlJc w:val="left"/>
      <w:pPr>
        <w:ind w:left="5040" w:hanging="360"/>
      </w:pPr>
      <w:rPr>
        <w:rFonts w:ascii="Symbol" w:hAnsi="Symbol" w:hint="default"/>
      </w:rPr>
    </w:lvl>
    <w:lvl w:ilvl="7" w:tplc="88F6A59A">
      <w:start w:val="1"/>
      <w:numFmt w:val="bullet"/>
      <w:lvlText w:val="o"/>
      <w:lvlJc w:val="left"/>
      <w:pPr>
        <w:ind w:left="5760" w:hanging="360"/>
      </w:pPr>
      <w:rPr>
        <w:rFonts w:ascii="Courier New" w:hAnsi="Courier New" w:cs="Courier New" w:hint="default"/>
      </w:rPr>
    </w:lvl>
    <w:lvl w:ilvl="8" w:tplc="8A5677AC">
      <w:start w:val="1"/>
      <w:numFmt w:val="bullet"/>
      <w:lvlText w:val=""/>
      <w:lvlJc w:val="left"/>
      <w:pPr>
        <w:ind w:left="6480" w:hanging="360"/>
      </w:pPr>
      <w:rPr>
        <w:rFonts w:ascii="Wingdings" w:hAnsi="Wingdings"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num>
  <w:num w:numId="42">
    <w:abstractNumId w:val="13"/>
  </w:num>
  <w:num w:numId="43">
    <w:abstractNumId w:val="12"/>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HORMFPMNU" w:val=" 1"/>
    <w:docVar w:name="CJMNU" w:val="1"/>
    <w:docVar w:name="COMKEY" w:val="LIBE"/>
    <w:docVar w:name="CONTRIBUTIONMNU" w:val=" 1"/>
    <w:docVar w:name="CopyToNetwork" w:val="-1"/>
    <w:docVar w:name="DOCDT" w:val="10/02/2025"/>
    <w:docVar w:name="DOCMNU" w:val=" 1"/>
    <w:docVar w:name="EPOJMNU" w:val=" 1"/>
    <w:docVar w:name="EPSTATMNU" w:val=" 1"/>
    <w:docVar w:name="EPSTATPLURMNU" w:val=" 1"/>
    <w:docVar w:name="EVABUDGMNU" w:val=" 1"/>
    <w:docVar w:name="INSTITUTIONSMNU" w:val=" 1"/>
    <w:docVar w:name="JURI1MNU" w:val=" 1"/>
    <w:docVar w:name="JURI2MNU" w:val=" 1"/>
    <w:docVar w:name="LastEditedSection" w:val=" 1"/>
    <w:docVar w:name="NVAR1" w:val="0"/>
    <w:docVar w:name="OTHERSTATMNU" w:val=" 4"/>
    <w:docVar w:name="PARLIAMENTSMNU" w:val=" 1"/>
    <w:docVar w:name="PARLMNU" w:val=" 2"/>
    <w:docVar w:name="RECONSULTMNU"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3\fbidi \froman\fcharset238\fprq2 Times New Roman CE;}{\f334\fbidi \froman\fcharset204\fprq2 Times New Roman Cyr;}_x000d__x000a_{\f336\fbidi \froman\fcharset161\fprq2 Times New Roman Greek;}{\f337\fbidi \froman\fcharset162\fprq2 Times New Roman Tur;}{\f338\fbidi \froman\fcharset177\fprq2 Times New Roman (Hebrew);}{\f339\fbidi \froman\fcharset178\fprq2 Times New Roman (Arabic);}_x000d__x000a_{\f340\fbidi \froman\fcharset186\fprq2 Times New Roman Baltic;}{\f341\fbidi \froman\fcharset163\fprq2 Times New Roman (Vietnamese);}{\f343\fbidi \fswiss\fcharset238\fprq2 Arial CE;}{\f344\fbidi \fswiss\fcharset204\fprq2 Arial Cyr;}_x000d__x000a_{\f346\fbidi \fswiss\fcharset161\fprq2 Arial Greek;}{\f347\fbidi \fswiss\fcharset162\fprq2 Arial Tur;}{\f348\fbidi \fswiss\fcharset177\fprq2 Arial (Hebrew);}{\f349\fbidi \fswiss\fcharset178\fprq2 Arial (Arabic);}_x000d__x000a_{\f350\fbidi \fswiss\fcharset186\fprq2 Arial Baltic;}{\f351\fbidi \fswiss\fcharset163\fprq2 Arial (Vietnamese);}{\f673\fbidi \froman\fcharset238\fprq2 Cambria Math CE;}{\f674\fbidi \froman\fcharset204\fprq2 Cambria Math Cyr;}_x000d__x000a_{\f676\fbidi \froman\fcharset161\fprq2 Cambria Math Greek;}{\f677\fbidi \froman\fcharset162\fprq2 Cambria Math Tur;}{\f680\fbidi \froman\fcharset186\fprq2 Cambria Math Baltic;}{\f681\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5325737 HideTWBExt;}{\*\cs18 \additive \v\f1\fs20\cf15 _x000d__x000a_\spriority0 \styrsid5325737 HideTWBInt;}{\s19\ql \li0\ri0\sa120\nowidctlpar\wrapdefault\aspalpha\aspnum\faauto\adjustright\rin0\lin0\itap0 \rtlch\fcs1 \af0\afs20\alang1025 \ltrch\fcs0 \fs24\lang2057\langfe2057\cgrid\langnp2057\langfenp2057 _x000d__x000a_\sbasedon0 \snext19 \spriority0 \styrsid5325737 Normal6a;}{\s20\ql \li0\ri0\nowidctlpar\wrapdefault\aspalpha\aspnum\faauto\adjustright\rin0\lin0\itap0 \rtlch\fcs1 \af0\afs20\alang1025 \ltrch\fcs0 \b\fs24\lang2057\langfe2057\cgrid\langnp2057\langfenp2057 _x000d__x000a_\sbasedon0 \snext20 \spriority0 \styrsid5325737 NormalBold;}{\s21\ql \li0\ri0\sa240\nowidctlpar\wrapdefault\aspalpha\aspnum\faauto\adjustright\rin0\lin0\itap0 \rtlch\fcs1 \af0\afs20\alang1025 \ltrch\fcs0 _x000d__x000a_\i\fs24\lang2057\langfe2057\cgrid\langnp2057\langfenp2057 \sbasedon0 \snext21 \spriority0 \styrsid5325737 AmJustText;}{\s22\qc \li0\ri0\sb240\sa240\nowidctlpar\wrapdefault\aspalpha\aspnum\faauto\adjustright\rin0\lin0\itap0 \rtlch\fcs1 _x000d__x000a_\af0\afs20\alang1025 \ltrch\fcs0 \i\fs24\lang2057\langfe2057\cgrid\langnp2057\langfenp2057 \sbasedon0 \snext22 \spriority0 \styrsid5325737 AmCrossRef;}{_x000d__x000a_\s23\qc \li0\ri0\sb240\sa240\keepn\nowidctlpar\wrapdefault\aspalpha\aspnum\faauto\adjustright\rin0\lin0\itap0 \rtlch\fcs1 \af0\afs20\alang1025 \ltrch\fcs0 \i\fs24\lang2057\langfe2057\cgrid\langnp2057\langfenp2057 _x000d__x000a_\sbasedon0 \snext21 \spriority0 \styrsid5325737 AmJustTitle;}{\s24\qr \li0\ri0\sb240\sa240\nowidctlpar\wrapdefault\aspalpha\aspnum\faauto\adjustright\rin0\lin0\itap0 \rtlch\fcs1 \af0\afs20\alang1025 \ltrch\fcs0 _x000d__x000a_\fs24\lang2057\langfe2057\cgrid\langnp2057\langfenp2057 \sbasedon0 \snext24 \spriority0 \styrsid5325737 AmOrLang;}{\s25\qc \li0\ri0\sa240\nowidctlpar\wrapdefault\aspalpha\aspnum\faauto\adjustright\rin0\lin0\itap0 \rtlch\fcs1 \af0\afs20\alang1025 _x000d__x000a_\ltrch\fcs0 \i\fs24\lang2057\langfe2057\cgrid\langnp2057\langfenp2057 \sbasedon0 \snext25 \spriority0 \styrsid5325737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5325737 AmNumberTabs;}{\s27\ql \li0\ri0\sb240\nowidctlpar\wrapdefault\aspalpha\aspnum\faauto\adjustright\rin0\lin0\itap0 \rtlch\fcs1 _x000d__x000a_\af0\afs20\alang1025 \ltrch\fcs0 \b\fs24\lang2057\langfe2057\cgrid\langnp2057\langfenp2057 \sbasedon0 \snext27 \spriority0 \styrsid5325737 NormalBold12b;}}{\*\rsidtbl \rsid24658\rsid223860\rsid735077\rsid1718133\rsid2892074\rsid3565327\rsid3571077_x000d__x000a_\rsid4666813\rsid5325737\rsid6641733\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LECUYER Katarzyna}{\operator LECUYER Katarzyna}{\creatim\yr2025\mo1\dy28\hr10\min40}{\revtim\yr2025\mo1\dy28\hr10\min40}{\version1}{\edmins0}{\nofpages1}_x000d__x000a_{\nofwords104}{\nofchars596}{\nofcharsws699}{\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5325737\newtblstyruls\nogrowautofit\usenormstyforlist\noindnmbrts\felnbrelev\nocxsptable\indrlsweleven\noafcnsttbl\afelev\utinl\hwelev\spltpgpar\notcvasp\notbrkcnstfrctbl\notvatxbx\krnprsnet\cachedcolbal _x000d__x000a_\nouicompat \fet0{\*\wgrffmtfilter 013f}\nofeaturethrottle1\ilfomacatclnup0{\*\template C:\\Users\\klecuyer\\AppData\\Local\\Temp\\Blank1.dotx}{\*\ftnsep \ltrpar \pard\plain \ltrpar_x000d__x000a_\ql \li0\ri0\widctlpar\wrapdefault\aspalpha\aspnum\faauto\adjustright\rin0\lin0\itap0 \rtlch\fcs1 \af0\afs20\alang1025 \ltrch\fcs0 \fs24\lang2057\langfe2057\cgrid\langnp2057\langfenp2057 {\rtlch\fcs1 \af0 \ltrch\fcs0 \insrsid3571077 \chftnsep _x000d__x000a_\par }}{\*\ftnsepc \ltrpar \pard\plain \ltrpar\ql \li0\ri0\widctlpar\wrapdefault\aspalpha\aspnum\faauto\adjustright\rin0\lin0\itap0 \rtlch\fcs1 \af0\afs20\alang1025 \ltrch\fcs0 \fs24\lang2057\langfe2057\cgrid\langnp2057\langfenp2057 {\rtlch\fcs1 \af0 _x000d__x000a_\ltrch\fcs0 \insrsid3571077 \chftnsepc _x000d__x000a_\par }}{\*\aftnsep \ltrpar \pard\plain \ltrpar\ql \li0\ri0\widctlpar\wrapdefault\aspalpha\aspnum\faauto\adjustright\rin0\lin0\itap0 \rtlch\fcs1 \af0\afs20\alang1025 \ltrch\fcs0 \fs24\lang2057\langfe2057\cgrid\langnp2057\langfenp2057 {\rtlch\fcs1 \af0 _x000d__x000a_\ltrch\fcs0 \insrsid3571077 \chftnsep _x000d__x000a_\par }}{\*\aftnsepc \ltrpar \pard\plain \ltrpar\ql \li0\ri0\widctlpar\wrapdefault\aspalpha\aspnum\faauto\adjustright\rin0\lin0\itap0 \rtlch\fcs1 \af0\afs20\alang1025 \ltrch\fcs0 \fs24\lang2057\langfe2057\cgrid\langnp2057\langfenp2057 {\rtlch\fcs1 \af0 _x000d__x000a_\ltrch\fcs0 \insrsid357107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5325737 \rtlch\fcs1 _x000d__x000a_\af0\afs20\alang1025 \ltrch\fcs0 \b\fs24\lang2057\langfe2057\cgrid\langnp2057\langfenp2057 {\rtlch\fcs1 \af0 \ltrch\fcs0 \cs17\b0\v\fs20\cf9\lang1024\langfe1024\loch\af1\hich\af1\dbch\af31501\noproof\insrsid5325737\charrsid5585170 {\*\bkmkstart restart}_x000d__x000a_\hich\af1\dbch\af31501\loch\f1 &lt;Amend&gt;}{\rtlch\fcs1 \af0 \ltrch\fcs0 \insrsid5325737\charrsid5585170 Amendment\tab \tab }{\rtlch\fcs1 \af0 \ltrch\fcs0 _x000d__x000a_\cs17\b0\v\fs20\cf9\lang1024\langfe1024\loch\af1\hich\af1\dbch\af31501\noproof\insrsid5325737\charrsid5585170 \hich\af1\dbch\af31501\loch\f1 &lt;NumAm&gt;}{\rtlch\fcs1 \af0 \ltrch\fcs0 \insrsid5325737\charrsid5585170 #}{\rtlch\fcs1 \af1 \ltrch\fcs0 _x000d__x000a_\cs18\v\f1\fs20\cf15\insrsid5325737\charrsid5585170 ENMIENDA@NRAM@}{\rtlch\fcs1 \af0 \ltrch\fcs0 \insrsid5325737\charrsid5585170 #}{\rtlch\fcs1 \af0 \ltrch\fcs0 _x000d__x000a_\cs17\b0\v\fs20\cf9\lang1024\langfe1024\loch\af1\hich\af1\dbch\af31501\noproof\insrsid5325737\charrsid5585170 \hich\af1\dbch\af31501\loch\f1 &lt;/NumAm&gt;}{\rtlch\fcs1 \af0 \ltrch\fcs0 \insrsid5325737\charrsid5585170 _x000d__x000a_\par }\pard\plain \ltrpar\s27\ql \li0\ri0\sb240\keepn\nowidctlpar\wrapdefault\aspalpha\aspnum\faauto\adjustright\rin0\lin0\itap0\pararsid5325737 \rtlch\fcs1 \af0\afs20\alang1025 \ltrch\fcs0 \b\fs24\lang2057\langfe2057\cgrid\langnp2057\langfenp2057 {_x000d__x000a_\rtlch\fcs1 \af0 \ltrch\fcs0 \cs17\b0\v\fs20\cf9\lang1024\langfe1024\loch\af1\hich\af1\dbch\af31501\noproof\insrsid5325737\charrsid5585170 \hich\af1\dbch\af31501\loch\f1 &lt;DocAmend&gt;}{\rtlch\fcs1 \af0 \ltrch\fcs0 \insrsid5325737\charrsid5585170 _x000d__x000a_Proposal for a #}{\rtlch\fcs1 \af1 \ltrch\fcs0 \cs18\v\f1\fs20\cf15\insrsid5325737\charrsid5585170 MNU[DOC1][DOC2][DOC3]@DOCMSG@DOCMNU}{\rtlch\fcs1 \af0 \ltrch\fcs0 \insrsid5325737\charrsid5585170 ##}{\rtlch\fcs1 \af1 \ltrch\fcs0 _x000d__x000a_\cs18\v\f1\fs20\cf15\insrsid5325737\charrsid5585170 MNU[AMACTYES][NOTAPP]@CHOICE@AMACTMNU}{\rtlch\fcs1 \af0 \ltrch\fcs0 \insrsid5325737\charrsid5585170 #}{\rtlch\fcs1 \af0 \ltrch\fcs0 _x000d__x000a_\cs17\b0\v\fs20\cf9\lang1024\langfe1024\loch\af1\hich\af1\dbch\af31501\noproof\insrsid5325737\charrsid5585170 \hich\af1\dbch\af31501\loch\f1 &lt;/DocAmend&gt;}{\rtlch\fcs1 \af0 \ltrch\fcs0 \insrsid5325737\charrsid5585170 _x000d__x000a_\par }\pard\plain \ltrpar\s20\ql \li0\ri0\keepn\nowidctlpar\wrapdefault\aspalpha\aspnum\faauto\adjustright\rin0\lin0\itap0\pararsid5325737 \rtlch\fcs1 \af0\afs20\alang1025 \ltrch\fcs0 \b\fs24\lang2057\langfe2057\cgrid\langnp2057\langfenp2057 {\rtlch\fcs1 \af0 _x000d__x000a_\ltrch\fcs0 \cs17\b0\v\fs20\cf9\lang1024\langfe1024\loch\af1\hich\af1\dbch\af31501\noproof\insrsid5325737\charrsid5585170 \hich\af1\dbch\af31501\loch\f1 &lt;Article&gt;}{\rtlch\fcs1 \af0 \ltrch\fcs0 \insrsid5325737\charrsid5585170 #}{\rtlch\fcs1 \af1 _x000d__x000a_\ltrch\fcs0 \cs18\v\f1\fs20\cf15\insrsid5325737\charrsid5585170 MNU[AMACTPARTYES][AMACTPARTNO]@CHOICE@AMACTMNU}{\rtlch\fcs1 \af0 \ltrch\fcs0 \insrsid5325737\charrsid5585170 #}{\rtlch\fcs1 \af0 \ltrch\fcs0 _x000d__x000a_\cs17\b0\v\fs20\cf9\lang1024\langfe1024\loch\af1\hich\af1\dbch\af31501\noproof\insrsid5325737\charrsid5585170 \hich\af1\dbch\af31501\loch\f1 &lt;/Article&gt;}{\rtlch\fcs1 \af0 \ltrch\fcs0 \insrsid5325737\charrsid5585170 _x000d__x000a_\par }\pard\plain \ltrpar\ql \li0\ri0\keepn\widctlpar\wrapdefault\aspalpha\aspnum\faauto\adjustright\rin0\lin0\itap0\pararsid5325737 \rtlch\fcs1 \af0\afs20\alang1025 \ltrch\fcs0 \fs24\lang2057\langfe2057\cgrid\langnp2057\langfenp2057 {\rtlch\fcs1 \af0 _x000d__x000a_\ltrch\fcs0 \cs17\v\fs20\cf9\lang1024\langfe1024\loch\af1\hich\af1\dbch\af31501\noproof\insrsid5325737\charrsid5585170 \hich\af1\dbch\af31501\loch\f1 &lt;DocAmend2&gt;&lt;OptDel&gt;}{\rtlch\fcs1 \af0 \ltrch\fcs0 \insrsid5325737\charrsid5585170 #}{\rtlch\fcs1 \af1 _x000d__x000a_\ltrch\fcs0 \cs18\v\f1\fs20\cf15\insrsid5325737\charrsid5585170 MNU[OPTNRACTYES][NOTAPP]@CHOICE@AMACTMNU}{\rtlch\fcs1 \af0 \ltrch\fcs0 \insrsid5325737\charrsid5585170 #}{\rtlch\fcs1 \af0 \ltrch\fcs0 _x000d__x000a_\cs17\v\fs20\cf9\lang1024\langfe1024\loch\af1\hich\af1\dbch\af31501\noproof\insrsid5325737\charrsid5585170 \hich\af1\dbch\af31501\loch\f1 &lt;/OptDel&gt;&lt;/DocAmend2&gt;}{\rtlch\fcs1 \af0 \ltrch\fcs0 \insrsid5325737\charrsid5585170 _x000d__x000a_\par }\pard \ltrpar\ql \li0\ri0\widctlpar\wrapdefault\aspalpha\aspnum\faauto\adjustright\rin0\lin0\itap0\pararsid5325737 {\rtlch\fcs1 \af0 \ltrch\fcs0 \cs17\v\fs20\cf9\lang1024\langfe1024\loch\af1\hich\af1\dbch\af31501\noproof\insrsid5325737\charrsid5585170 _x000d__x000a_\hich\af1\dbch\af31501\loch\f1 &lt;Article2&gt;&lt;OptDel&gt;}{\rtlch\fcs1 \af0 \ltrch\fcs0 \insrsid5325737\charrsid5585170 #}{\rtlch\fcs1 \af1 \ltrch\fcs0 \cs18\v\f1\fs20\cf15\insrsid5325737\charrsid5585170 MNU[OPTACTPARTYES][NOTAPP]@CHOICE@AMACTMNU}{\rtlch\fcs1 _x000d__x000a_\af0 \ltrch\fcs0 \insrsid5325737\charrsid5585170 #}{\rtlch\fcs1 \af0 \ltrch\fcs0 \cs17\v\fs20\cf9\lang1024\langfe1024\loch\af1\hich\af1\dbch\af31501\noproof\insrsid5325737\charrsid5585170 \hich\af1\dbch\af31501\loch\f1 &lt;/OptDel&gt;&lt;/Article2&gt;}{\rtlch\fcs1 _x000d__x000a_\af0 \ltrch\fcs0 \insrsid5325737\charrsid5585170 _x000d__x000a_\par \ltrrow}\trowd \irow0\irowband0\ltrrow\ts11\trqc\trgaph340\trleft0\trftsWidth3\trwWidth9752\trftsWidthB3\trpaddl340\trpaddr340\trpaddfl3\trpaddft3\trpaddfb3\trpaddfr3\tblrsid2517430\tblind0\tblindtype3 \clvertalt\clbrdrt\brdrtbl \clbrdrl\brdrtbl \clbrdrb_x000d__x000a_\brdrtbl \clbrdrr\brdrtbl \cltxlrtb\clftsWidth3\clwWidth9752\clshdrawnil \cellx9752\pard\plain \ltrpar\ql \li0\ri0\keepn\widctlpar\intbl\wrapdefault\aspalpha\aspnum\faauto\adjustright\rin0\lin0\pararsid14315216 \rtlch\fcs1 \af0\afs20\alang1025 _x000d__x000a_\ltrch\fcs0 \fs24\lang2057\langfe2057\cgrid\langnp2057\langfenp2057 {\rtlch\fcs1 \af0 \ltrch\fcs0 \insrsid5325737\charrsid5585170 \cell }\pard\plain \ltrpar\ql \li0\ri0\widctlpar\intbl\wrapdefault\aspalpha\aspnum\faauto\adjustright\rin0\lin0 \rtlch\fcs1 _x000d__x000a_\af0\afs20\alang1025 \ltrch\fcs0 \fs24\lang2057\langfe2057\cgrid\langnp2057\langfenp2057 {\rtlch\fcs1 \af0 \ltrch\fcs0 \insrsid5325737\charrsid5585170 \trowd \irow0\irowband0\ltrrow_x000d__x000a_\ts11\trqc\trgaph340\trleft0\trftsWidth3\trwWidth9752\trftsWidthB3\trpaddl340\trpaddr340\trpaddfl3\trpaddft3\trpaddfb3\trpaddfr3\tblrsid2517430\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15216 \rtlch\fcs1 \af0\afs20\alang1025 \ltrch\fcs0 \i\fs24\lang2057\langfe2057\cgrid\langnp2057\langfenp2057 {\rtlch\fcs1 \af0 \ltrch\fcs0 _x000d__x000a_\insrsid5325737\charrsid5585170 #}{\rtlch\fcs1 \af1 \ltrch\fcs0 \cs18\v\f1\fs20\cf15\insrsid5325737\charrsid5585170 MNU[OPTLEFTAMACT][LEFTPROP]@CHOICE@AMACTMNU}{\rtlch\fcs1 \af0 \ltrch\fcs0 \insrsid5325737\charrsid5585170 #\cell Amendment\cell _x000d__x000a_}\pard\plain \ltrpar\ql \li0\ri0\widctlpar\intbl\wrapdefault\aspalpha\aspnum\faauto\adjustright\rin0\lin0 \rtlch\fcs1 \af0\afs20\alang1025 \ltrch\fcs0 \fs24\lang2057\langfe2057\cgrid\langnp2057\langfenp2057 {\rtlch\fcs1 \af0 \ltrch\fcs0 _x000d__x000a_\insrsid5325737\charrsid5585170 \trowd \irow1\irowband1\ltrrow\ts11\trqc\trgaph340\trleft0\trftsWidth3\trwWidth9752\trftsWidthB3\trpaddl340\trpaddr340\trpaddfl3\trpaddft3\trpaddfb3\trpaddfr3\tblrsid2517430\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9\ql \li0\ri0\sa120\nowidctlpar\intbl\wrapdefault\aspalpha\aspnum\faauto\adjustright\rin0\lin0\pararsid2517430 \rtlch\fcs1 \af0\afs20\alang1025 \ltrch\fcs0 \fs24\lang2057\langfe2057\cgrid\langnp2057\langfenp2057 {\rtlch\fcs1 \af0 _x000d__x000a_\ltrch\fcs0 \insrsid5325737\charrsid5585170 ##\cell ##}{\rtlch\fcs1 \af0\afs24 \ltrch\fcs0 \insrsid5325737\charrsid5585170 \cell }\pard\plain \ltrpar\ql \li0\ri0\widctlpar\intbl\wrapdefault\aspalpha\aspnum\faauto\adjustright\rin0\lin0 \rtlch\fcs1 _x000d__x000a_\af0\afs20\alang1025 \ltrch\fcs0 \fs24\lang2057\langfe2057\cgrid\langnp2057\langfenp2057 {\rtlch\fcs1 \af0 \ltrch\fcs0 \insrsid5325737\charrsid5585170 \trowd \irow2\irowband2\lastrow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5325737 \rtlch\fcs1 \af0\afs20\alang1025 \ltrch\fcs0 \fs24\lang2057\langfe2057\cgrid\langnp2057\langfenp2057 {\rtlch\fcs1 \af0 \ltrch\fcs0 _x000d__x000a_\insrsid5325737\charrsid5585170 Or. }{\rtlch\fcs1 \af0 \ltrch\fcs0 \cs17\v\fs20\cf9\lang1024\langfe1024\loch\af1\hich\af1\dbch\af31501\noproof\insrsid5325737\charrsid5585170 \hich\af1\dbch\af31501\loch\f1 &lt;Original&gt;}{\rtlch\fcs1 \af0 \ltrch\fcs0 _x000d__x000a_\insrsid5325737\charrsid5585170 #}{\rtlch\fcs1 \af1 \ltrch\fcs0 \cs18\v\f1\fs20\cf15\insrsid5325737\charrsid5585170 MNU[ORLANGONE][ORLANGMORE]@CHOICE@ORLANGMNU}{\rtlch\fcs1 \af0 \ltrch\fcs0 \insrsid5325737\charrsid5585170 #}{\rtlch\fcs1 \af0 \ltrch\fcs0 _x000d__x000a_\cs17\v\fs20\cf9\lang1024\langfe1024\loch\af1\hich\af1\dbch\af31501\noproof\insrsid5325737\charrsid5585170 \hich\af1\dbch\af31501\loch\f1 &lt;/Original&gt;}{\rtlch\fcs1 \af0 \ltrch\fcs0 \insrsid5325737\charrsid5585170 _x000d__x000a_\par }\pard\plain \ltrpar\s22\qc \li0\ri0\sb240\sa240\nowidctlpar\wrapdefault\aspalpha\aspnum\faauto\adjustright\rin0\lin0\itap0\pararsid5325737 \rtlch\fcs1 \af0\afs20\alang1025 \ltrch\fcs0 \i\fs24\lang2057\langfe2057\cgrid\langnp2057\langfenp2057 {_x000d__x000a_\rtlch\fcs1 \af0 \ltrch\fcs0 \cs17\i0\v\fs20\cf9\lang1024\langfe1024\loch\af1\hich\af1\dbch\af31501\noproof\insrsid5325737\charrsid5585170 \hich\af1\dbch\af31501\loch\f1 &lt;OptDel&gt;}{\rtlch\fcs1 \af0 \ltrch\fcs0 \insrsid5325737\charrsid5585170 #}{_x000d__x000a_\rtlch\fcs1 \af1 \ltrch\fcs0 \cs18\v\f1\fs20\cf15\insrsid5325737\charrsid5585170 MNU[CROSSREFNO][CROSSREFYES]@CHOICE@}{\rtlch\fcs1 \af0 \ltrch\fcs0 \insrsid5325737\charrsid5585170 #}{\rtlch\fcs1 \af0 \ltrch\fcs0 _x000d__x000a_\cs17\i0\v\fs20\cf9\lang1024\langfe1024\loch\af1\hich\af1\dbch\af31501\noproof\insrsid5325737\charrsid5585170 \hich\af1\dbch\af31501\loch\f1 &lt;/OptDel&gt;}{\rtlch\fcs1 \af0 \ltrch\fcs0 \insrsid5325737\charrsid5585170 _x000d__x000a_\par }\pard\plain \ltrpar\s23\qc \li0\ri0\sb240\sa240\keepn\nowidctlpar\wrapdefault\aspalpha\aspnum\faauto\adjustright\rin0\lin0\itap0\pararsid5325737 \rtlch\fcs1 \af0\afs20\alang1025 \ltrch\fcs0 \i\fs24\lang2057\langfe2057\cgrid\langnp2057\langfenp2057 {_x000d__x000a_\rtlch\fcs1 \af0 \ltrch\fcs0 \cs17\i0\v\fs20\cf9\lang1024\langfe1024\loch\af1\hich\af1\dbch\af31501\noproof\insrsid5325737\charrsid5585170 \hich\af1\dbch\af31501\loch\f1 &lt;TitreJust&gt;}{\rtlch\fcs1 \af0 \ltrch\fcs0 \insrsid5325737\charrsid5585170 _x000d__x000a_Justification}{\rtlch\fcs1 \af0 \ltrch\fcs0 \cs17\i0\v\fs20\cf9\lang1024\langfe1024\loch\af1\hich\af1\dbch\af31501\noproof\insrsid5325737\charrsid5585170 \hich\af1\dbch\af31501\loch\f1 &lt;/TitreJust&gt;}{\rtlch\fcs1 \af0 \ltrch\fcs0 _x000d__x000a_\insrsid5325737\charrsid5585170 _x000d__x000a_\par }\pard\plain \ltrpar\s21\ql \li0\ri0\sa240\nowidctlpar\wrapdefault\aspalpha\aspnum\faauto\adjustright\rin0\lin0\itap0\pararsid5325737 \rtlch\fcs1 \af0\afs20\alang1025 \ltrch\fcs0 \i\fs24\lang2057\langfe2057\cgrid\langnp2057\langfenp2057 {\rtlch\fcs1 \af0 _x000d__x000a_\ltrch\fcs0 \cs17\i0\v\fs20\cf9\lang1024\langfe1024\loch\af1\hich\af1\dbch\af31501\noproof\insrsid5325737\charrsid5585170 \hich\af1\dbch\af31501\loch\f1 &lt;OptDelPrev&gt;}{\rtlch\fcs1 \af0 \ltrch\fcs0 \insrsid5325737\charrsid5585170 #}{\rtlch\fcs1 \af1 _x000d__x000a_\ltrch\fcs0 \cs18\v\f1\fs20\cf15\insrsid5325737\charrsid5585170 MNU[TEXTJUSTYES][TEXTJUSTNO]@CHOICE@}{\rtlch\fcs1 \af0 \ltrch\fcs0 \insrsid5325737\charrsid5585170 #}{\rtlch\fcs1 \af0 \ltrch\fcs0 _x000d__x000a_\cs17\i0\v\fs20\cf9\lang1024\langfe1024\loch\af1\hich\af1\dbch\af31501\noproof\insrsid5325737\charrsid5585170 \hich\af1\dbch\af31501\loch\f1 &lt;/OptDelPrev&gt;}{\rtlch\fcs1 \af0 \ltrch\fcs0 \insrsid5325737\charrsid5585170 _x000d__x000a_\par }\pard\plain \ltrpar\ql \li0\ri0\widctlpar\wrapdefault\aspalpha\aspnum\faauto\adjustright\rin0\lin0\itap0\pararsid5325737 \rtlch\fcs1 \af0\afs20\alang1025 \ltrch\fcs0 \fs24\lang2057\langfe2057\cgrid\langnp2057\langfenp2057 {\rtlch\fcs1 \af0 \ltrch\fcs0 _x000d__x000a_\cs17\v\fs20\cf9\lang1024\langfe1024\loch\af1\hich\af1\dbch\af31501\noproof\insrsid5325737\charrsid5585170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ca_x000d__x000a_a6b06871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314"/>
    <w:docVar w:name="TXTLANGUE" w:val="EN"/>
    <w:docVar w:name="TXTLANGUEMIN" w:val="en"/>
    <w:docVar w:name="TXTNRC" w:val="0431/2023"/>
    <w:docVar w:name="TXTNRCOD" w:val="2023/0438"/>
    <w:docVar w:name="TXTNRCOM" w:val="(2023)0754"/>
    <w:docVar w:name="TXTNRFIRSTAM" w:val="1"/>
    <w:docVar w:name="TXTNRLASTAM" w:val="49"/>
    <w:docVar w:name="TXTNRPE" w:val="768.042"/>
    <w:docVar w:name="TXTPEorAP" w:val="PE"/>
    <w:docVar w:name="TXTROUTE" w:val="PR\1314087EN.docx"/>
    <w:docVar w:name="TXTTITLE" w:val="on enhancing police cooperation in relation to the prevention, detection and investigation of migrant smuggling and trafficking in human beings, and on enhancing Europol’s support to preventing and combating such crimes and amending Regulation (EU) 2016/794"/>
    <w:docVar w:name="TXTVERSION" w:val="01-00"/>
  </w:docVars>
  <w:rsids>
    <w:rsidRoot w:val="00553912"/>
    <w:rsid w:val="00006799"/>
    <w:rsid w:val="00011AAB"/>
    <w:rsid w:val="00012351"/>
    <w:rsid w:val="000139E5"/>
    <w:rsid w:val="00030833"/>
    <w:rsid w:val="00084DD2"/>
    <w:rsid w:val="00084E89"/>
    <w:rsid w:val="000B62B6"/>
    <w:rsid w:val="000B7489"/>
    <w:rsid w:val="000F1096"/>
    <w:rsid w:val="000F1F1B"/>
    <w:rsid w:val="00120948"/>
    <w:rsid w:val="00123DD5"/>
    <w:rsid w:val="001277AE"/>
    <w:rsid w:val="00135669"/>
    <w:rsid w:val="00136018"/>
    <w:rsid w:val="00142215"/>
    <w:rsid w:val="001767E2"/>
    <w:rsid w:val="0018078A"/>
    <w:rsid w:val="00187008"/>
    <w:rsid w:val="00190DFA"/>
    <w:rsid w:val="001B3829"/>
    <w:rsid w:val="001B6968"/>
    <w:rsid w:val="001C407A"/>
    <w:rsid w:val="001C5592"/>
    <w:rsid w:val="001C5B44"/>
    <w:rsid w:val="001C6FFC"/>
    <w:rsid w:val="001E6032"/>
    <w:rsid w:val="001F7C7C"/>
    <w:rsid w:val="002072DD"/>
    <w:rsid w:val="00212B84"/>
    <w:rsid w:val="002346B0"/>
    <w:rsid w:val="00254FEA"/>
    <w:rsid w:val="00265B16"/>
    <w:rsid w:val="002667C3"/>
    <w:rsid w:val="002669B6"/>
    <w:rsid w:val="00290BED"/>
    <w:rsid w:val="002C6AD4"/>
    <w:rsid w:val="002D13EE"/>
    <w:rsid w:val="002E33EE"/>
    <w:rsid w:val="002E4496"/>
    <w:rsid w:val="002F40BB"/>
    <w:rsid w:val="002F4B02"/>
    <w:rsid w:val="00305CD9"/>
    <w:rsid w:val="00306D10"/>
    <w:rsid w:val="00320B73"/>
    <w:rsid w:val="00323EF8"/>
    <w:rsid w:val="003316DD"/>
    <w:rsid w:val="0035010A"/>
    <w:rsid w:val="00366819"/>
    <w:rsid w:val="00366A46"/>
    <w:rsid w:val="00370AC3"/>
    <w:rsid w:val="003824EE"/>
    <w:rsid w:val="003B4689"/>
    <w:rsid w:val="003C2068"/>
    <w:rsid w:val="003C37CF"/>
    <w:rsid w:val="003C4EC2"/>
    <w:rsid w:val="003E6EC1"/>
    <w:rsid w:val="004100B1"/>
    <w:rsid w:val="00426E47"/>
    <w:rsid w:val="00440502"/>
    <w:rsid w:val="00455743"/>
    <w:rsid w:val="00461601"/>
    <w:rsid w:val="00483C7E"/>
    <w:rsid w:val="004A7A04"/>
    <w:rsid w:val="004C0915"/>
    <w:rsid w:val="004D424E"/>
    <w:rsid w:val="004E42C8"/>
    <w:rsid w:val="004E733D"/>
    <w:rsid w:val="004F3FA5"/>
    <w:rsid w:val="00502EA6"/>
    <w:rsid w:val="0051271F"/>
    <w:rsid w:val="00520CE7"/>
    <w:rsid w:val="00521F46"/>
    <w:rsid w:val="00522F4E"/>
    <w:rsid w:val="00551111"/>
    <w:rsid w:val="00551123"/>
    <w:rsid w:val="00553912"/>
    <w:rsid w:val="00570A6A"/>
    <w:rsid w:val="00586E50"/>
    <w:rsid w:val="0059583D"/>
    <w:rsid w:val="005A42D9"/>
    <w:rsid w:val="005B18F7"/>
    <w:rsid w:val="005C1BF5"/>
    <w:rsid w:val="005C2937"/>
    <w:rsid w:val="005C2BEF"/>
    <w:rsid w:val="005C4959"/>
    <w:rsid w:val="005C59EC"/>
    <w:rsid w:val="005D1A99"/>
    <w:rsid w:val="005D7609"/>
    <w:rsid w:val="005D7EE8"/>
    <w:rsid w:val="005F4583"/>
    <w:rsid w:val="006020DB"/>
    <w:rsid w:val="00622FCA"/>
    <w:rsid w:val="00642325"/>
    <w:rsid w:val="006A2F5D"/>
    <w:rsid w:val="006E6891"/>
    <w:rsid w:val="006F30B1"/>
    <w:rsid w:val="006F7907"/>
    <w:rsid w:val="00703D79"/>
    <w:rsid w:val="00733DB4"/>
    <w:rsid w:val="00742F5F"/>
    <w:rsid w:val="00743189"/>
    <w:rsid w:val="00743D33"/>
    <w:rsid w:val="00756434"/>
    <w:rsid w:val="007932B3"/>
    <w:rsid w:val="00793EA9"/>
    <w:rsid w:val="007D6F68"/>
    <w:rsid w:val="00823E6B"/>
    <w:rsid w:val="00826780"/>
    <w:rsid w:val="00837CCD"/>
    <w:rsid w:val="00851C5E"/>
    <w:rsid w:val="008633CC"/>
    <w:rsid w:val="00865190"/>
    <w:rsid w:val="008719B9"/>
    <w:rsid w:val="00894ECE"/>
    <w:rsid w:val="00896BB4"/>
    <w:rsid w:val="008A7FB8"/>
    <w:rsid w:val="008B091D"/>
    <w:rsid w:val="009022B8"/>
    <w:rsid w:val="00914537"/>
    <w:rsid w:val="00917CC4"/>
    <w:rsid w:val="009763DA"/>
    <w:rsid w:val="009845B8"/>
    <w:rsid w:val="009975B3"/>
    <w:rsid w:val="009A216D"/>
    <w:rsid w:val="009B30C5"/>
    <w:rsid w:val="009B4B93"/>
    <w:rsid w:val="009C4D0B"/>
    <w:rsid w:val="009E2129"/>
    <w:rsid w:val="009F24BE"/>
    <w:rsid w:val="009F6C2F"/>
    <w:rsid w:val="009F767A"/>
    <w:rsid w:val="00A0169F"/>
    <w:rsid w:val="00A22533"/>
    <w:rsid w:val="00A26F46"/>
    <w:rsid w:val="00A34FD3"/>
    <w:rsid w:val="00A36929"/>
    <w:rsid w:val="00A425C8"/>
    <w:rsid w:val="00A50548"/>
    <w:rsid w:val="00A60EE7"/>
    <w:rsid w:val="00A910C9"/>
    <w:rsid w:val="00A9358C"/>
    <w:rsid w:val="00AA35B0"/>
    <w:rsid w:val="00AD18C8"/>
    <w:rsid w:val="00AD7FA6"/>
    <w:rsid w:val="00AE1055"/>
    <w:rsid w:val="00AE169E"/>
    <w:rsid w:val="00AE4643"/>
    <w:rsid w:val="00AF0416"/>
    <w:rsid w:val="00B10CB4"/>
    <w:rsid w:val="00B123AB"/>
    <w:rsid w:val="00B13D6F"/>
    <w:rsid w:val="00B23B72"/>
    <w:rsid w:val="00B42702"/>
    <w:rsid w:val="00B57B8B"/>
    <w:rsid w:val="00B85407"/>
    <w:rsid w:val="00B95702"/>
    <w:rsid w:val="00BC6489"/>
    <w:rsid w:val="00BD480C"/>
    <w:rsid w:val="00BE36FC"/>
    <w:rsid w:val="00C070E8"/>
    <w:rsid w:val="00C20954"/>
    <w:rsid w:val="00C23324"/>
    <w:rsid w:val="00C24129"/>
    <w:rsid w:val="00C42A41"/>
    <w:rsid w:val="00C47E74"/>
    <w:rsid w:val="00C57A72"/>
    <w:rsid w:val="00C73602"/>
    <w:rsid w:val="00CE4C07"/>
    <w:rsid w:val="00CF60C8"/>
    <w:rsid w:val="00D11284"/>
    <w:rsid w:val="00D143D2"/>
    <w:rsid w:val="00D30DE2"/>
    <w:rsid w:val="00D32924"/>
    <w:rsid w:val="00D503A3"/>
    <w:rsid w:val="00D519D6"/>
    <w:rsid w:val="00D539D9"/>
    <w:rsid w:val="00DA6ED0"/>
    <w:rsid w:val="00DC5011"/>
    <w:rsid w:val="00DE6ABE"/>
    <w:rsid w:val="00E151BD"/>
    <w:rsid w:val="00E171B6"/>
    <w:rsid w:val="00E2143E"/>
    <w:rsid w:val="00E72695"/>
    <w:rsid w:val="00E92785"/>
    <w:rsid w:val="00EB1753"/>
    <w:rsid w:val="00EB6CFF"/>
    <w:rsid w:val="00EE36FC"/>
    <w:rsid w:val="00EE3996"/>
    <w:rsid w:val="00F07062"/>
    <w:rsid w:val="00F23CFC"/>
    <w:rsid w:val="00F433E2"/>
    <w:rsid w:val="00F63025"/>
    <w:rsid w:val="00F904AE"/>
    <w:rsid w:val="00F934F8"/>
    <w:rsid w:val="00F94366"/>
    <w:rsid w:val="00FB3173"/>
    <w:rsid w:val="00FB52FE"/>
    <w:rsid w:val="00FC0A34"/>
    <w:rsid w:val="00FC7C21"/>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85415F"/>
  <w15:chartTrackingRefBased/>
  <w15:docId w15:val="{11B1809C-E1B2-431F-A94A-973D8CB36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a-DK"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footer" w:semiHidden="1"/>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character" w:customStyle="1" w:styleId="NormalBoldChar">
    <w:name w:val="NormalBold Char"/>
    <w:basedOn w:val="DefaultParagraphFont"/>
    <w:link w:val="NormalBold"/>
    <w:rsid w:val="00742F5F"/>
    <w:rPr>
      <w:b/>
      <w:sz w:val="24"/>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character" w:customStyle="1" w:styleId="HeaderChar">
    <w:name w:val="Header Char"/>
    <w:basedOn w:val="DefaultParagraphFont"/>
    <w:link w:val="Header"/>
    <w:semiHidden/>
    <w:rsid w:val="00F23CFC"/>
    <w:rPr>
      <w:sz w:val="24"/>
    </w:r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paragraph" w:customStyle="1" w:styleId="EPComma">
    <w:name w:val="EPComma"/>
    <w:basedOn w:val="Normal"/>
    <w:rsid w:val="00A910C9"/>
    <w:pPr>
      <w:spacing w:before="480" w:after="240"/>
    </w:pPr>
  </w:style>
  <w:style w:type="paragraph" w:customStyle="1" w:styleId="Lgendesigne">
    <w:name w:val="Légende signe"/>
    <w:basedOn w:val="Normal"/>
    <w:rsid w:val="009845B8"/>
    <w:pPr>
      <w:tabs>
        <w:tab w:val="right" w:pos="454"/>
        <w:tab w:val="left" w:pos="737"/>
      </w:tabs>
      <w:ind w:left="737" w:hanging="737"/>
    </w:pPr>
    <w:rPr>
      <w:snapToGrid w:val="0"/>
      <w:sz w:val="18"/>
      <w:lang w:eastAsia="en-US"/>
    </w:rPr>
  </w:style>
  <w:style w:type="paragraph" w:customStyle="1" w:styleId="Lgendetitre">
    <w:name w:val="Légende titre"/>
    <w:basedOn w:val="Normal"/>
    <w:rsid w:val="009845B8"/>
    <w:pPr>
      <w:spacing w:before="240" w:after="240"/>
    </w:pPr>
    <w:rPr>
      <w:b/>
      <w:i/>
      <w:snapToGrid w:val="0"/>
      <w:lang w:eastAsia="en-US"/>
    </w:rPr>
  </w:style>
  <w:style w:type="paragraph" w:customStyle="1" w:styleId="Lgendestandard">
    <w:name w:val="Légende standard"/>
    <w:basedOn w:val="Normal"/>
    <w:rsid w:val="009845B8"/>
    <w:rPr>
      <w:sz w:val="18"/>
    </w:rPr>
  </w:style>
  <w:style w:type="paragraph" w:styleId="FootnoteText">
    <w:name w:val="footnote text"/>
    <w:basedOn w:val="Normal"/>
    <w:link w:val="FootnoteTextChar"/>
    <w:uiPriority w:val="99"/>
    <w:rsid w:val="009845B8"/>
    <w:rPr>
      <w:sz w:val="20"/>
    </w:rPr>
  </w:style>
  <w:style w:type="character" w:customStyle="1" w:styleId="FootnoteTextChar">
    <w:name w:val="Footnote Text Char"/>
    <w:basedOn w:val="DefaultParagraphFont"/>
    <w:link w:val="FootnoteText"/>
    <w:uiPriority w:val="99"/>
    <w:rsid w:val="009845B8"/>
  </w:style>
  <w:style w:type="character" w:styleId="FootnoteReference">
    <w:name w:val="footnote reference"/>
    <w:basedOn w:val="DefaultParagraphFont"/>
    <w:uiPriority w:val="99"/>
    <w:rsid w:val="009845B8"/>
    <w:rPr>
      <w:vertAlign w:val="superscript"/>
    </w:rPr>
  </w:style>
  <w:style w:type="paragraph" w:styleId="BalloonText">
    <w:name w:val="Balloon Text"/>
    <w:basedOn w:val="Normal"/>
    <w:link w:val="BalloonTextChar"/>
    <w:semiHidden/>
    <w:unhideWhenUsed/>
    <w:rsid w:val="00520CE7"/>
    <w:rPr>
      <w:rFonts w:ascii="Segoe UI" w:hAnsi="Segoe UI" w:cs="Segoe UI"/>
      <w:sz w:val="18"/>
      <w:szCs w:val="18"/>
    </w:rPr>
  </w:style>
  <w:style w:type="character" w:customStyle="1" w:styleId="BalloonTextChar">
    <w:name w:val="Balloon Text Char"/>
    <w:basedOn w:val="DefaultParagraphFont"/>
    <w:link w:val="BalloonText"/>
    <w:semiHidden/>
    <w:rsid w:val="00520CE7"/>
    <w:rPr>
      <w:rFonts w:ascii="Segoe UI" w:hAnsi="Segoe UI" w:cs="Segoe UI"/>
      <w:sz w:val="18"/>
      <w:szCs w:val="18"/>
    </w:rPr>
  </w:style>
  <w:style w:type="paragraph" w:customStyle="1" w:styleId="Normal24a">
    <w:name w:val="Normal24a"/>
    <w:basedOn w:val="Normal"/>
    <w:rsid w:val="00D11284"/>
    <w:pPr>
      <w:spacing w:after="480"/>
    </w:pPr>
  </w:style>
  <w:style w:type="paragraph" w:customStyle="1" w:styleId="NormalBoldCenter">
    <w:name w:val="NormalBoldCenter"/>
    <w:basedOn w:val="Normal"/>
    <w:rsid w:val="00D11284"/>
    <w:pPr>
      <w:jc w:val="center"/>
    </w:pPr>
    <w:rPr>
      <w:b/>
    </w:rPr>
  </w:style>
  <w:style w:type="paragraph" w:customStyle="1" w:styleId="Footprint12b">
    <w:name w:val="Footprint12b"/>
    <w:basedOn w:val="Normal"/>
    <w:rsid w:val="00D11284"/>
    <w:pPr>
      <w:spacing w:before="240"/>
    </w:pPr>
    <w:rPr>
      <w:szCs w:val="24"/>
    </w:rPr>
  </w:style>
  <w:style w:type="paragraph" w:customStyle="1" w:styleId="NormalSingle">
    <w:name w:val="NormalSingle"/>
    <w:basedOn w:val="Normal"/>
    <w:qFormat/>
    <w:rsid w:val="00D11284"/>
    <w:rPr>
      <w:szCs w:val="24"/>
    </w:rPr>
  </w:style>
  <w:style w:type="character" w:styleId="Hyperlink">
    <w:name w:val="Hyperlink"/>
    <w:basedOn w:val="DefaultParagraphFont"/>
    <w:uiPriority w:val="99"/>
    <w:rsid w:val="00D11284"/>
    <w:rPr>
      <w:color w:val="0563C1" w:themeColor="hyperlink"/>
      <w:u w:val="single"/>
    </w:rPr>
  </w:style>
  <w:style w:type="paragraph" w:customStyle="1" w:styleId="EntPE">
    <w:name w:val="EntPE"/>
    <w:basedOn w:val="Normal12"/>
    <w:rsid w:val="00742F5F"/>
    <w:pPr>
      <w:jc w:val="center"/>
    </w:pPr>
    <w:rPr>
      <w:noProof w:val="0"/>
      <w:sz w:val="56"/>
    </w:rPr>
  </w:style>
  <w:style w:type="paragraph" w:customStyle="1" w:styleId="Normal12">
    <w:name w:val="Normal12"/>
    <w:basedOn w:val="Normal"/>
    <w:link w:val="Normal12Char"/>
    <w:rsid w:val="00742F5F"/>
    <w:pPr>
      <w:spacing w:after="240"/>
    </w:pPr>
    <w:rPr>
      <w:noProof/>
    </w:rPr>
  </w:style>
  <w:style w:type="character" w:customStyle="1" w:styleId="Normal12Char">
    <w:name w:val="Normal12 Char"/>
    <w:basedOn w:val="DefaultParagraphFont"/>
    <w:link w:val="Normal12"/>
    <w:locked/>
    <w:rsid w:val="00742F5F"/>
    <w:rPr>
      <w:noProof/>
      <w:sz w:val="24"/>
    </w:rPr>
  </w:style>
  <w:style w:type="paragraph" w:customStyle="1" w:styleId="Normal6">
    <w:name w:val="Normal6"/>
    <w:basedOn w:val="Normal"/>
    <w:link w:val="Normal6Char"/>
    <w:rsid w:val="00742F5F"/>
    <w:pPr>
      <w:spacing w:after="120"/>
    </w:pPr>
  </w:style>
  <w:style w:type="character" w:customStyle="1" w:styleId="Normal6Char">
    <w:name w:val="Normal6 Char"/>
    <w:basedOn w:val="DefaultParagraphFont"/>
    <w:link w:val="Normal6"/>
    <w:rsid w:val="00742F5F"/>
    <w:rPr>
      <w:sz w:val="24"/>
      <w:lang w:val="da-DK"/>
    </w:rPr>
  </w:style>
  <w:style w:type="paragraph" w:customStyle="1" w:styleId="Normal12Italic">
    <w:name w:val="Normal12Italic"/>
    <w:basedOn w:val="Normal12"/>
    <w:rsid w:val="00742F5F"/>
    <w:rPr>
      <w:i/>
    </w:rPr>
  </w:style>
  <w:style w:type="character" w:customStyle="1" w:styleId="FooterChar">
    <w:name w:val="Footer Char"/>
    <w:basedOn w:val="DefaultParagraphFont"/>
    <w:link w:val="Footer"/>
    <w:rsid w:val="00742F5F"/>
    <w:rPr>
      <w:sz w:val="22"/>
    </w:rPr>
  </w:style>
  <w:style w:type="paragraph" w:styleId="Footer">
    <w:name w:val="footer"/>
    <w:link w:val="FooterChar"/>
    <w:rsid w:val="00742F5F"/>
    <w:pPr>
      <w:tabs>
        <w:tab w:val="center" w:pos="4536"/>
        <w:tab w:val="right" w:pos="9072"/>
      </w:tabs>
      <w:spacing w:before="240" w:after="240" w:line="221" w:lineRule="auto"/>
    </w:pPr>
    <w:rPr>
      <w:sz w:val="22"/>
    </w:rPr>
  </w:style>
  <w:style w:type="paragraph" w:customStyle="1" w:styleId="Footer2">
    <w:name w:val="Footer2"/>
    <w:basedOn w:val="Normal12"/>
    <w:rsid w:val="00742F5F"/>
    <w:pPr>
      <w:tabs>
        <w:tab w:val="center" w:pos="4535"/>
        <w:tab w:val="right" w:pos="9923"/>
      </w:tabs>
      <w:spacing w:line="480" w:lineRule="auto"/>
      <w:ind w:left="-851"/>
    </w:pPr>
    <w:rPr>
      <w:rFonts w:ascii="Arial" w:cs="Arial"/>
      <w:b/>
      <w:sz w:val="48"/>
    </w:rPr>
  </w:style>
  <w:style w:type="paragraph" w:customStyle="1" w:styleId="AMNumberTabs0">
    <w:name w:val="AMNumberTabs"/>
    <w:basedOn w:val="Normal"/>
    <w:rsid w:val="00742F5F"/>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lumnHeading">
    <w:name w:val="ColumnHeading"/>
    <w:basedOn w:val="Normal"/>
    <w:rsid w:val="00742F5F"/>
    <w:pPr>
      <w:spacing w:after="240"/>
      <w:jc w:val="center"/>
    </w:pPr>
    <w:rPr>
      <w:i/>
    </w:rPr>
  </w:style>
  <w:style w:type="paragraph" w:customStyle="1" w:styleId="Olang">
    <w:name w:val="Olang"/>
    <w:basedOn w:val="Normal"/>
    <w:rsid w:val="00742F5F"/>
    <w:pPr>
      <w:spacing w:before="240" w:after="240"/>
      <w:jc w:val="right"/>
    </w:pPr>
    <w:rPr>
      <w:noProof/>
      <w:szCs w:val="24"/>
    </w:rPr>
  </w:style>
  <w:style w:type="paragraph" w:customStyle="1" w:styleId="JustificationTitle">
    <w:name w:val="JustificationTitle"/>
    <w:basedOn w:val="Normal"/>
    <w:next w:val="Normal12"/>
    <w:rsid w:val="00742F5F"/>
    <w:pPr>
      <w:keepNext/>
      <w:spacing w:before="240" w:after="240"/>
      <w:jc w:val="center"/>
    </w:pPr>
    <w:rPr>
      <w:i/>
      <w:noProof/>
    </w:rPr>
  </w:style>
  <w:style w:type="character" w:styleId="FollowedHyperlink">
    <w:name w:val="FollowedHyperlink"/>
    <w:basedOn w:val="DefaultParagraphFont"/>
    <w:uiPriority w:val="99"/>
    <w:unhideWhenUsed/>
    <w:rsid w:val="0018078A"/>
    <w:rPr>
      <w:color w:val="954F72" w:themeColor="followedHyperlink"/>
      <w:u w:val="single"/>
    </w:rPr>
  </w:style>
  <w:style w:type="paragraph" w:customStyle="1" w:styleId="msonormal0">
    <w:name w:val="msonormal"/>
    <w:basedOn w:val="Normal"/>
    <w:rsid w:val="0018078A"/>
    <w:pPr>
      <w:widowControl/>
      <w:spacing w:before="100" w:beforeAutospacing="1" w:after="100" w:afterAutospacing="1"/>
    </w:pPr>
    <w:rPr>
      <w:szCs w:val="24"/>
    </w:rPr>
  </w:style>
  <w:style w:type="paragraph" w:customStyle="1" w:styleId="CommitteeAM">
    <w:name w:val="CommitteeAM"/>
    <w:basedOn w:val="Normal"/>
    <w:rsid w:val="0018078A"/>
    <w:pPr>
      <w:spacing w:before="240" w:after="600"/>
      <w:jc w:val="center"/>
    </w:pPr>
    <w:rPr>
      <w:i/>
    </w:rPr>
  </w:style>
  <w:style w:type="paragraph" w:customStyle="1" w:styleId="ZDateAM">
    <w:name w:val="ZDateAM"/>
    <w:basedOn w:val="Normal"/>
    <w:rsid w:val="0018078A"/>
    <w:pPr>
      <w:tabs>
        <w:tab w:val="right" w:pos="9356"/>
      </w:tabs>
      <w:spacing w:after="480"/>
    </w:pPr>
    <w:rPr>
      <w:noProof/>
    </w:rPr>
  </w:style>
  <w:style w:type="paragraph" w:customStyle="1" w:styleId="ProjRap">
    <w:name w:val="ProjRap"/>
    <w:basedOn w:val="Normal"/>
    <w:rsid w:val="0018078A"/>
    <w:pPr>
      <w:tabs>
        <w:tab w:val="right" w:pos="9356"/>
      </w:tabs>
    </w:pPr>
    <w:rPr>
      <w:b/>
      <w:noProof/>
    </w:rPr>
  </w:style>
  <w:style w:type="paragraph" w:customStyle="1" w:styleId="PELeft">
    <w:name w:val="PELeft"/>
    <w:basedOn w:val="Normal"/>
    <w:rsid w:val="0018078A"/>
    <w:pPr>
      <w:spacing w:before="40" w:after="40"/>
    </w:pPr>
    <w:rPr>
      <w:rFonts w:ascii="Arial" w:hAnsi="Arial" w:cs="Arial"/>
      <w:sz w:val="22"/>
      <w:szCs w:val="22"/>
    </w:rPr>
  </w:style>
  <w:style w:type="paragraph" w:customStyle="1" w:styleId="PERight">
    <w:name w:val="PERight"/>
    <w:basedOn w:val="Normal"/>
    <w:next w:val="Normal"/>
    <w:rsid w:val="0018078A"/>
    <w:pPr>
      <w:jc w:val="right"/>
    </w:pPr>
    <w:rPr>
      <w:rFonts w:ascii="Arial" w:hAnsi="Arial" w:cs="Arial"/>
      <w:sz w:val="22"/>
      <w:szCs w:val="22"/>
    </w:rPr>
  </w:style>
  <w:style w:type="paragraph" w:customStyle="1" w:styleId="CrossRef">
    <w:name w:val="CrossRef"/>
    <w:basedOn w:val="Normal"/>
    <w:rsid w:val="0018078A"/>
    <w:pPr>
      <w:spacing w:before="240"/>
      <w:jc w:val="center"/>
    </w:pPr>
    <w:rPr>
      <w:i/>
    </w:rPr>
  </w:style>
  <w:style w:type="character" w:customStyle="1" w:styleId="Footer2Middle">
    <w:name w:val="Footer2Middle"/>
    <w:rsid w:val="0018078A"/>
    <w:rPr>
      <w:rFonts w:ascii="Arial" w:hAnsi="Arial" w:cs="Arial" w:hint="default"/>
      <w:b w:val="0"/>
      <w:bCs w:val="0"/>
      <w:i/>
      <w:iCs w:val="0"/>
      <w:color w:val="C0C0C0"/>
      <w:sz w:val="22"/>
    </w:rPr>
  </w:style>
  <w:style w:type="paragraph" w:styleId="NoSpacing">
    <w:name w:val="No Spacing"/>
    <w:uiPriority w:val="1"/>
    <w:qFormat/>
    <w:rsid w:val="005C2937"/>
    <w:rPr>
      <w:rFonts w:asciiTheme="minorHAnsi" w:eastAsiaTheme="minorHAnsi" w:hAnsiTheme="minorHAnsi" w:cstheme="minorBidi"/>
      <w:sz w:val="22"/>
      <w:szCs w:val="22"/>
      <w:lang w:eastAsia="en-US"/>
    </w:rPr>
  </w:style>
  <w:style w:type="paragraph" w:styleId="ListParagraph">
    <w:name w:val="List Paragraph"/>
    <w:basedOn w:val="Normal"/>
    <w:uiPriority w:val="34"/>
    <w:qFormat/>
    <w:rsid w:val="005C2937"/>
    <w:pPr>
      <w:widowControl/>
      <w:ind w:left="720"/>
      <w:contextualSpacing/>
      <w:jc w:val="both"/>
    </w:pPr>
    <w:rPr>
      <w:rFonts w:eastAsiaTheme="minorHAnsi"/>
      <w:szCs w:val="24"/>
      <w:lang w:eastAsia="en-US"/>
    </w:rPr>
  </w:style>
  <w:style w:type="character" w:styleId="CommentReference">
    <w:name w:val="annotation reference"/>
    <w:basedOn w:val="DefaultParagraphFont"/>
    <w:rsid w:val="00756434"/>
    <w:rPr>
      <w:sz w:val="16"/>
      <w:szCs w:val="16"/>
    </w:rPr>
  </w:style>
  <w:style w:type="paragraph" w:styleId="CommentText">
    <w:name w:val="annotation text"/>
    <w:basedOn w:val="Normal"/>
    <w:link w:val="CommentTextChar"/>
    <w:rsid w:val="00756434"/>
    <w:rPr>
      <w:sz w:val="20"/>
    </w:rPr>
  </w:style>
  <w:style w:type="character" w:customStyle="1" w:styleId="CommentTextChar">
    <w:name w:val="Comment Text Char"/>
    <w:basedOn w:val="DefaultParagraphFont"/>
    <w:link w:val="CommentText"/>
    <w:rsid w:val="00756434"/>
  </w:style>
  <w:style w:type="paragraph" w:styleId="CommentSubject">
    <w:name w:val="annotation subject"/>
    <w:basedOn w:val="CommentText"/>
    <w:next w:val="CommentText"/>
    <w:link w:val="CommentSubjectChar"/>
    <w:semiHidden/>
    <w:unhideWhenUsed/>
    <w:rsid w:val="00756434"/>
    <w:rPr>
      <w:b/>
      <w:bCs/>
    </w:rPr>
  </w:style>
  <w:style w:type="character" w:customStyle="1" w:styleId="CommentSubjectChar">
    <w:name w:val="Comment Subject Char"/>
    <w:basedOn w:val="CommentTextChar"/>
    <w:link w:val="CommentSubject"/>
    <w:semiHidden/>
    <w:rsid w:val="00756434"/>
    <w:rPr>
      <w:b/>
      <w:bCs/>
    </w:rPr>
  </w:style>
  <w:style w:type="character" w:styleId="Emphasis">
    <w:name w:val="Emphasis"/>
    <w:basedOn w:val="DefaultParagraphFont"/>
    <w:uiPriority w:val="20"/>
    <w:qFormat/>
    <w:rsid w:val="005C59E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uroparl.europa.eu/data-protect/index.do" TargetMode="Externa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C/2024/6024/oj"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lecuyer\AppData\Local\Temp\PR_COD_1amCom.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FE5D8C-EE2F-46F1-B65B-F73CF4750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PR_COD_1amCom.dotx</Template>
  <TotalTime>0</TotalTime>
  <Pages>49</Pages>
  <Words>10986</Words>
  <Characters>69871</Characters>
  <Application>Microsoft Office Word</Application>
  <DocSecurity>0</DocSecurity>
  <Lines>2587</Lines>
  <Paragraphs>825</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80032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LECUYER Katarzyna</dc:creator>
  <cp:lastModifiedBy>THYBO Anne Fonnesbaek</cp:lastModifiedBy>
  <cp:revision>2</cp:revision>
  <cp:lastPrinted>2025-02-06T09:31:00Z</cp:lastPrinted>
  <dcterms:created xsi:type="dcterms:W3CDTF">2025-02-28T11:42:00Z</dcterms:created>
  <dcterms:modified xsi:type="dcterms:W3CDTF">2025-02-28T11:42:00Z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1314087</vt:lpwstr>
  </property>
  <property fmtid="{D5CDD505-2E9C-101B-9397-08002B2CF9AE}" pid="4" name="&lt;Model&gt;">
    <vt:lpwstr>PR_COD_1amCom</vt:lpwstr>
  </property>
  <property fmtid="{D5CDD505-2E9C-101B-9397-08002B2CF9AE}" pid="5" name="&lt;ModelCod&gt;">
    <vt:lpwstr>\\eiciBRUpr1\pdocep$\DocEP\DOCS\General\PR\PR_Leg\COD\COD_1st\PR_COD_1amCom.dotx(24/09/2024 08:42:01)</vt:lpwstr>
  </property>
  <property fmtid="{D5CDD505-2E9C-101B-9397-08002B2CF9AE}" pid="6" name="&lt;ModelTra&gt;">
    <vt:lpwstr>\\eiciBRUpr1\pdocep$\DocEP\TRANSFIL\EN\PR_COD_1amCom.EN(30/09/2024 11:47:01)</vt:lpwstr>
  </property>
  <property fmtid="{D5CDD505-2E9C-101B-9397-08002B2CF9AE}" pid="7" name="&lt;Type&gt;">
    <vt:lpwstr>PR</vt:lpwstr>
  </property>
  <property fmtid="{D5CDD505-2E9C-101B-9397-08002B2CF9AE}" pid="8" name="Created with">
    <vt:lpwstr>10.0.0 Build [20241202]</vt:lpwstr>
  </property>
  <property fmtid="{D5CDD505-2E9C-101B-9397-08002B2CF9AE}" pid="9" name="FooterPath">
    <vt:lpwstr>PR\1314087DA.docx</vt:lpwstr>
  </property>
  <property fmtid="{D5CDD505-2E9C-101B-9397-08002B2CF9AE}" pid="10" name="LastEdited with">
    <vt:lpwstr>10.0.0 Build [20241202]</vt:lpwstr>
  </property>
  <property fmtid="{D5CDD505-2E9C-101B-9397-08002B2CF9AE}" pid="11" name="PE number">
    <vt:lpwstr>768.042</vt:lpwstr>
  </property>
  <property fmtid="{D5CDD505-2E9C-101B-9397-08002B2CF9AE}" pid="12" name="SDLStudio">
    <vt:lpwstr/>
  </property>
  <property fmtid="{D5CDD505-2E9C-101B-9397-08002B2CF9AE}" pid="13" name="SendToEpades">
    <vt:lpwstr>OK(AMNUM) - 2025/02/13 12:33</vt:lpwstr>
  </property>
  <property fmtid="{D5CDD505-2E9C-101B-9397-08002B2CF9AE}" pid="14" name="Bookout">
    <vt:lpwstr>OK - 2025/02/28 12:42</vt:lpwstr>
  </property>
</Properties>
</file>