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A3A2C" w:rsidRPr="00A81BA5" w:rsidTr="005C4959">
        <w:trPr>
          <w:trHeight w:hRule="exact" w:val="1418"/>
        </w:trPr>
        <w:tc>
          <w:tcPr>
            <w:tcW w:w="6804" w:type="dxa"/>
            <w:shd w:val="clear" w:color="auto" w:fill="auto"/>
            <w:vAlign w:val="center"/>
          </w:tcPr>
          <w:p w:rsidR="00B13D6F" w:rsidRPr="00A81BA5" w:rsidRDefault="00F3635D" w:rsidP="005C4959">
            <w:pPr>
              <w:pStyle w:val="EPName"/>
            </w:pPr>
            <w:r w:rsidRPr="00A81BA5">
              <w:t>Parlament Europejski</w:t>
            </w:r>
          </w:p>
          <w:p w:rsidR="00B13D6F" w:rsidRPr="00A81BA5" w:rsidRDefault="00F3635D" w:rsidP="009845B8">
            <w:pPr>
              <w:pStyle w:val="EPTerm"/>
            </w:pPr>
            <w:r w:rsidRPr="00A81BA5">
              <w:t>2024-2029</w:t>
            </w:r>
          </w:p>
        </w:tc>
        <w:tc>
          <w:tcPr>
            <w:tcW w:w="2268" w:type="dxa"/>
            <w:shd w:val="clear" w:color="auto" w:fill="auto"/>
          </w:tcPr>
          <w:p w:rsidR="00B13D6F" w:rsidRPr="00A81BA5" w:rsidRDefault="00F3635D" w:rsidP="005C4959">
            <w:pPr>
              <w:pStyle w:val="EPLogo"/>
            </w:pPr>
            <w:r w:rsidRPr="00A81BA5">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A81BA5" w:rsidRDefault="00461601" w:rsidP="00461601">
      <w:pPr>
        <w:pStyle w:val="LineTop"/>
      </w:pPr>
    </w:p>
    <w:p w:rsidR="00461601" w:rsidRPr="00A81BA5" w:rsidRDefault="00F3635D" w:rsidP="00461601">
      <w:pPr>
        <w:pStyle w:val="EPBody"/>
      </w:pPr>
      <w:r w:rsidRPr="00A81BA5">
        <w:rPr>
          <w:rStyle w:val="HideTWBExt"/>
        </w:rPr>
        <w:t>&lt;</w:t>
      </w:r>
      <w:r w:rsidRPr="00A81BA5">
        <w:rPr>
          <w:rStyle w:val="HideTWBExt"/>
          <w:i w:val="0"/>
        </w:rPr>
        <w:t>Commission</w:t>
      </w:r>
      <w:r w:rsidRPr="00A81BA5">
        <w:rPr>
          <w:rStyle w:val="HideTWBExt"/>
        </w:rPr>
        <w:t>&gt;</w:t>
      </w:r>
      <w:r w:rsidRPr="00A81BA5">
        <w:rPr>
          <w:rStyle w:val="HideTWBInt"/>
          <w:color w:val="auto"/>
        </w:rPr>
        <w:t>{LIBE}</w:t>
      </w:r>
      <w:r w:rsidRPr="00A81BA5">
        <w:t>Komisja Wolności Obywatelskich, Sprawiedliwości i Spraw Wewnętrznych</w:t>
      </w:r>
      <w:r w:rsidRPr="00A81BA5">
        <w:rPr>
          <w:rStyle w:val="HideTWBExt"/>
        </w:rPr>
        <w:t>&lt;/</w:t>
      </w:r>
      <w:r w:rsidRPr="00A81BA5">
        <w:rPr>
          <w:rStyle w:val="HideTWBExt"/>
          <w:i w:val="0"/>
        </w:rPr>
        <w:t>Commission</w:t>
      </w:r>
      <w:r w:rsidRPr="00A81BA5">
        <w:rPr>
          <w:rStyle w:val="HideTWBExt"/>
        </w:rPr>
        <w:t>&gt;</w:t>
      </w:r>
    </w:p>
    <w:p w:rsidR="00461601" w:rsidRPr="00A81BA5" w:rsidRDefault="00461601" w:rsidP="00461601">
      <w:pPr>
        <w:pStyle w:val="LineBottom"/>
      </w:pPr>
    </w:p>
    <w:p w:rsidR="00793EA9" w:rsidRPr="00A81BA5" w:rsidRDefault="00F3635D">
      <w:pPr>
        <w:pStyle w:val="CoverReference"/>
      </w:pPr>
      <w:r w:rsidRPr="00A81BA5">
        <w:rPr>
          <w:rStyle w:val="HideTWBExt"/>
          <w:b w:val="0"/>
        </w:rPr>
        <w:t>&lt;RefProc&gt;</w:t>
      </w:r>
      <w:r w:rsidRPr="00A81BA5">
        <w:t>2023/0438</w:t>
      </w:r>
      <w:r w:rsidRPr="00A81BA5">
        <w:rPr>
          <w:rStyle w:val="HideTWBExt"/>
          <w:b w:val="0"/>
        </w:rPr>
        <w:t>&lt;/RefProc&gt;&lt;RefTypeProc&gt;</w:t>
      </w:r>
      <w:r w:rsidRPr="00A81BA5">
        <w:t>(COD)</w:t>
      </w:r>
      <w:r w:rsidRPr="00A81BA5">
        <w:rPr>
          <w:rStyle w:val="HideTWBExt"/>
          <w:b w:val="0"/>
        </w:rPr>
        <w:t>&lt;/RefTypeProc&gt;</w:t>
      </w:r>
    </w:p>
    <w:p w:rsidR="00793EA9" w:rsidRPr="00A81BA5" w:rsidRDefault="00F3635D">
      <w:pPr>
        <w:pStyle w:val="CoverDate"/>
      </w:pPr>
      <w:r w:rsidRPr="00A81BA5">
        <w:rPr>
          <w:rStyle w:val="HideTWBExt"/>
        </w:rPr>
        <w:t>&lt;Date&gt;</w:t>
      </w:r>
      <w:r w:rsidRPr="00A81BA5">
        <w:rPr>
          <w:rStyle w:val="HideTWBInt"/>
          <w:color w:val="auto"/>
        </w:rPr>
        <w:t>{13/02/2025}</w:t>
      </w:r>
      <w:r w:rsidRPr="00A81BA5">
        <w:t>13.2.2025</w:t>
      </w:r>
      <w:r w:rsidRPr="00A81BA5">
        <w:rPr>
          <w:rStyle w:val="HideTWBExt"/>
        </w:rPr>
        <w:t>&lt;/Date&gt;</w:t>
      </w:r>
    </w:p>
    <w:p w:rsidR="00793EA9" w:rsidRPr="00A81BA5" w:rsidRDefault="00F3635D">
      <w:pPr>
        <w:pStyle w:val="CoverDocType"/>
      </w:pPr>
      <w:r w:rsidRPr="00A81BA5">
        <w:rPr>
          <w:rStyle w:val="HideTWBExt"/>
          <w:b w:val="0"/>
        </w:rPr>
        <w:t>&lt;RefProcLect&gt;</w:t>
      </w:r>
      <w:r w:rsidRPr="00A81BA5">
        <w:t>***I</w:t>
      </w:r>
      <w:r w:rsidRPr="00A81BA5">
        <w:rPr>
          <w:rStyle w:val="HideTWBExt"/>
          <w:b w:val="0"/>
        </w:rPr>
        <w:t>&lt;/RefProcLect&gt;</w:t>
      </w:r>
    </w:p>
    <w:p w:rsidR="00793EA9" w:rsidRPr="00A81BA5" w:rsidRDefault="00F3635D">
      <w:pPr>
        <w:pStyle w:val="CoverDocType24a"/>
      </w:pPr>
      <w:r w:rsidRPr="00A81BA5">
        <w:rPr>
          <w:rStyle w:val="HideTWBExt"/>
          <w:b w:val="0"/>
        </w:rPr>
        <w:t>&lt;TitreType&gt;</w:t>
      </w:r>
      <w:r w:rsidRPr="00A81BA5">
        <w:t>PROJEKT SPRAWOZDANIA</w:t>
      </w:r>
      <w:r w:rsidRPr="00A81BA5">
        <w:rPr>
          <w:rStyle w:val="HideTWBExt"/>
          <w:b w:val="0"/>
        </w:rPr>
        <w:t>&lt;/TitreType&gt;</w:t>
      </w:r>
    </w:p>
    <w:p w:rsidR="00793EA9" w:rsidRPr="00A81BA5" w:rsidRDefault="00F3635D">
      <w:pPr>
        <w:pStyle w:val="CoverNormal"/>
      </w:pPr>
      <w:r w:rsidRPr="00A81BA5">
        <w:rPr>
          <w:rStyle w:val="HideTWBExt"/>
        </w:rPr>
        <w:t>&lt;Titre&gt;</w:t>
      </w:r>
      <w:r w:rsidRPr="00A81BA5">
        <w:t>w sprawie wniosku dotyczącego rozporządzenia Parlamentu Europejskiego i Rady w sprawie wzmocnienia współpracy policyjnej w odniesieniu do zapobiegania przemytowi migrantów i handlowi ludźmi,</w:t>
      </w:r>
      <w:r w:rsidRPr="00A81BA5">
        <w:t xml:space="preserve"> wykrywania tych przestępstw oraz prowadzenia stosownych postępowań przygotowawczych w tym zakresie i w sprawie zwiększenia wsparcia Europolu na rzecz zapobiegania tego rodzaju przestępstwom oraz zmiany rozporządzenia (UE) 2016/794</w:t>
      </w:r>
      <w:r w:rsidRPr="00A81BA5">
        <w:rPr>
          <w:rStyle w:val="HideTWBExt"/>
        </w:rPr>
        <w:t>&lt;/Titre&gt;</w:t>
      </w:r>
    </w:p>
    <w:p w:rsidR="00793EA9" w:rsidRPr="00A81BA5" w:rsidRDefault="00F3635D">
      <w:pPr>
        <w:pStyle w:val="CoverNormal24a"/>
      </w:pPr>
      <w:r w:rsidRPr="00A81BA5">
        <w:rPr>
          <w:rStyle w:val="HideTWBExt"/>
        </w:rPr>
        <w:t>&lt;DocRef&gt;</w:t>
      </w:r>
      <w:r w:rsidRPr="00A81BA5">
        <w:t>(COM(202</w:t>
      </w:r>
      <w:r w:rsidRPr="00A81BA5">
        <w:t>3)0754 – C9</w:t>
      </w:r>
      <w:r w:rsidRPr="00A81BA5">
        <w:noBreakHyphen/>
        <w:t>0431/2023 – 2023/0438(COD))</w:t>
      </w:r>
      <w:r w:rsidRPr="00A81BA5">
        <w:rPr>
          <w:rStyle w:val="HideTWBExt"/>
        </w:rPr>
        <w:t>&lt;/DocRef&gt;</w:t>
      </w:r>
    </w:p>
    <w:p w:rsidR="00793EA9" w:rsidRPr="00A81BA5" w:rsidRDefault="00F3635D">
      <w:pPr>
        <w:pStyle w:val="CoverNormal24a"/>
      </w:pPr>
      <w:r w:rsidRPr="00A81BA5">
        <w:rPr>
          <w:rStyle w:val="HideTWBExt"/>
        </w:rPr>
        <w:t>&lt;Commission&gt;</w:t>
      </w:r>
      <w:r w:rsidRPr="00A81BA5">
        <w:rPr>
          <w:rStyle w:val="HideTWBInt"/>
          <w:color w:val="auto"/>
        </w:rPr>
        <w:t>{LIBE}</w:t>
      </w:r>
      <w:r w:rsidRPr="00A81BA5">
        <w:t>Komisja Wolności Obywatelskich, Sprawiedliwości i Spraw Wewnętrznych</w:t>
      </w:r>
      <w:r w:rsidRPr="00A81BA5">
        <w:rPr>
          <w:rStyle w:val="HideTWBExt"/>
        </w:rPr>
        <w:t>&lt;/Commission&gt;</w:t>
      </w:r>
    </w:p>
    <w:p w:rsidR="00793EA9" w:rsidRPr="00A81BA5" w:rsidRDefault="00F3635D">
      <w:pPr>
        <w:pStyle w:val="CoverNormal24a"/>
      </w:pPr>
      <w:r w:rsidRPr="00A81BA5">
        <w:t xml:space="preserve">Sprawozdawca: </w:t>
      </w:r>
      <w:r w:rsidRPr="00A81BA5">
        <w:rPr>
          <w:rStyle w:val="HideTWBExt"/>
        </w:rPr>
        <w:t>&lt;Depute&gt;</w:t>
      </w:r>
      <w:r w:rsidRPr="00A81BA5">
        <w:t>Jeroen Lenaers</w:t>
      </w:r>
      <w:r w:rsidRPr="00A81BA5">
        <w:rPr>
          <w:rStyle w:val="HideTWBExt"/>
        </w:rPr>
        <w:t>&lt;/Depute&gt;</w:t>
      </w:r>
    </w:p>
    <w:p w:rsidR="001C5B44" w:rsidRPr="00A81BA5" w:rsidRDefault="001C5B44" w:rsidP="001C5B44">
      <w:pPr>
        <w:pStyle w:val="CoverNormal"/>
      </w:pPr>
    </w:p>
    <w:p w:rsidR="009845B8" w:rsidRPr="00A81BA5" w:rsidRDefault="00F3635D" w:rsidP="005C4959">
      <w:r w:rsidRPr="00A81BA5">
        <w:br w:type="page"/>
      </w:r>
      <w:r w:rsidRPr="00A81BA5">
        <w:lastRenderedPageBreak/>
        <w:fldChar w:fldCharType="begin"/>
      </w:r>
      <w:r w:rsidRPr="00A81BA5">
        <w:instrText xml:space="preserve"> TITLE  \* MERGEFORMAT </w:instrText>
      </w:r>
      <w:r w:rsidRPr="00A81BA5">
        <w:fldChar w:fldCharType="separate"/>
      </w:r>
      <w:r>
        <w:t>PR_COD_1amCom</w:t>
      </w:r>
      <w:r w:rsidRPr="00A81BA5">
        <w:fldChar w:fldCharType="end"/>
      </w:r>
    </w:p>
    <w:p w:rsidR="009845B8" w:rsidRPr="00A81BA5" w:rsidRDefault="009845B8" w:rsidP="005C4959"/>
    <w:p w:rsidR="009845B8" w:rsidRPr="00A81BA5" w:rsidRDefault="009845B8" w:rsidP="005C495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A3A2C" w:rsidRPr="00A81BA5">
        <w:tc>
          <w:tcPr>
            <w:tcW w:w="5811" w:type="dxa"/>
          </w:tcPr>
          <w:p w:rsidR="009845B8" w:rsidRPr="00A81BA5" w:rsidRDefault="00F3635D" w:rsidP="005C4959">
            <w:pPr>
              <w:pStyle w:val="Lgendetitre"/>
            </w:pPr>
            <w:r w:rsidRPr="00A81BA5">
              <w:t xml:space="preserve">Objaśnienie </w:t>
            </w:r>
            <w:r w:rsidRPr="00A81BA5">
              <w:t>używanych znaków</w:t>
            </w:r>
          </w:p>
        </w:tc>
      </w:tr>
      <w:tr w:rsidR="00DA3A2C" w:rsidRPr="00A81BA5" w:rsidTr="005C4959">
        <w:trPr>
          <w:cantSplit/>
          <w:trHeight w:val="1807"/>
        </w:trPr>
        <w:tc>
          <w:tcPr>
            <w:tcW w:w="5811" w:type="dxa"/>
            <w:tcBorders>
              <w:bottom w:val="single" w:sz="4" w:space="0" w:color="auto"/>
            </w:tcBorders>
          </w:tcPr>
          <w:p w:rsidR="009845B8" w:rsidRPr="00A81BA5" w:rsidRDefault="00F3635D" w:rsidP="005C4959">
            <w:pPr>
              <w:pStyle w:val="Lgendesigne"/>
            </w:pPr>
            <w:r w:rsidRPr="00A81BA5">
              <w:tab/>
              <w:t>*</w:t>
            </w:r>
            <w:r w:rsidRPr="00A81BA5">
              <w:tab/>
              <w:t>Procedura konsultacji</w:t>
            </w:r>
          </w:p>
          <w:p w:rsidR="009845B8" w:rsidRPr="00A81BA5" w:rsidRDefault="00F3635D" w:rsidP="005C4959">
            <w:pPr>
              <w:pStyle w:val="Lgendesigne"/>
            </w:pPr>
            <w:r w:rsidRPr="00A81BA5">
              <w:tab/>
              <w:t>***</w:t>
            </w:r>
            <w:r w:rsidRPr="00A81BA5">
              <w:tab/>
              <w:t>Procedura zgody</w:t>
            </w:r>
          </w:p>
          <w:p w:rsidR="009845B8" w:rsidRPr="00A81BA5" w:rsidRDefault="00F3635D" w:rsidP="005C4959">
            <w:pPr>
              <w:pStyle w:val="Lgendesigne"/>
            </w:pPr>
            <w:r w:rsidRPr="00A81BA5">
              <w:tab/>
              <w:t>***I</w:t>
            </w:r>
            <w:r w:rsidRPr="00A81BA5">
              <w:tab/>
              <w:t>Zwykła procedura ustawodawcza (pierwsze czytanie)</w:t>
            </w:r>
          </w:p>
          <w:p w:rsidR="009845B8" w:rsidRPr="00A81BA5" w:rsidRDefault="00F3635D" w:rsidP="005C4959">
            <w:pPr>
              <w:pStyle w:val="Lgendesigne"/>
            </w:pPr>
            <w:r w:rsidRPr="00A81BA5">
              <w:tab/>
              <w:t>***II</w:t>
            </w:r>
            <w:r w:rsidRPr="00A81BA5">
              <w:tab/>
              <w:t>Zwykła procedura ustawodawcza (drugie czytanie)</w:t>
            </w:r>
          </w:p>
          <w:p w:rsidR="009845B8" w:rsidRPr="00A81BA5" w:rsidRDefault="00F3635D" w:rsidP="005C4959">
            <w:pPr>
              <w:pStyle w:val="Lgendesigne"/>
            </w:pPr>
            <w:r w:rsidRPr="00A81BA5">
              <w:tab/>
              <w:t>***III</w:t>
            </w:r>
            <w:r w:rsidRPr="00A81BA5">
              <w:tab/>
              <w:t>Zwykła procedura ustawodawcza (trzecie czytanie)</w:t>
            </w:r>
          </w:p>
          <w:p w:rsidR="009845B8" w:rsidRPr="00A81BA5" w:rsidRDefault="009845B8" w:rsidP="005C4959">
            <w:pPr>
              <w:pStyle w:val="Lgendestandard"/>
            </w:pPr>
          </w:p>
          <w:p w:rsidR="009845B8" w:rsidRPr="00A81BA5" w:rsidRDefault="00F3635D" w:rsidP="005C4959">
            <w:pPr>
              <w:pStyle w:val="Lgendestandard"/>
            </w:pPr>
            <w:r w:rsidRPr="00A81BA5">
              <w:t>(Wskazana procedura opi</w:t>
            </w:r>
            <w:r w:rsidRPr="00A81BA5">
              <w:t>era się na podstawie prawnej zaproponowanej w projekcie aktu.)</w:t>
            </w:r>
          </w:p>
          <w:p w:rsidR="009845B8" w:rsidRPr="00A81BA5" w:rsidRDefault="009845B8" w:rsidP="005C4959">
            <w:pPr>
              <w:pStyle w:val="Lgendestandard"/>
            </w:pPr>
          </w:p>
        </w:tc>
      </w:tr>
    </w:tbl>
    <w:p w:rsidR="009845B8" w:rsidRPr="00A81BA5" w:rsidRDefault="009845B8" w:rsidP="005C4959"/>
    <w:p w:rsidR="009845B8" w:rsidRPr="00A81BA5" w:rsidRDefault="009845B8" w:rsidP="005C4959"/>
    <w:p w:rsidR="009845B8" w:rsidRPr="00A81BA5" w:rsidRDefault="009845B8" w:rsidP="005C4959"/>
    <w:p w:rsidR="009845B8" w:rsidRPr="00A81BA5" w:rsidRDefault="009845B8" w:rsidP="005C4959"/>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A3A2C" w:rsidRPr="00A81BA5">
        <w:tc>
          <w:tcPr>
            <w:tcW w:w="5811" w:type="dxa"/>
          </w:tcPr>
          <w:p w:rsidR="009845B8" w:rsidRPr="00A81BA5" w:rsidRDefault="00F3635D" w:rsidP="005C4959">
            <w:pPr>
              <w:pStyle w:val="Lgendetitre"/>
            </w:pPr>
            <w:r w:rsidRPr="00A81BA5">
              <w:t>Poprawki do projektu aktu</w:t>
            </w:r>
          </w:p>
        </w:tc>
      </w:tr>
      <w:tr w:rsidR="00DA3A2C" w:rsidRPr="00A81BA5" w:rsidTr="005C4959">
        <w:trPr>
          <w:trHeight w:val="4496"/>
        </w:trPr>
        <w:tc>
          <w:tcPr>
            <w:tcW w:w="5811" w:type="dxa"/>
          </w:tcPr>
          <w:p w:rsidR="009845B8" w:rsidRPr="00A81BA5" w:rsidRDefault="00F3635D" w:rsidP="005C4959">
            <w:pPr>
              <w:pStyle w:val="Lgendestandard"/>
              <w:rPr>
                <w:szCs w:val="24"/>
              </w:rPr>
            </w:pPr>
            <w:r w:rsidRPr="00A81BA5">
              <w:rPr>
                <w:b/>
              </w:rPr>
              <w:t>Poprawki Parlamentu w postaci dwóch kolumn</w:t>
            </w:r>
          </w:p>
          <w:p w:rsidR="009845B8" w:rsidRPr="00A81BA5" w:rsidRDefault="009845B8" w:rsidP="005C4959">
            <w:pPr>
              <w:pStyle w:val="Lgendestandard"/>
              <w:rPr>
                <w:szCs w:val="24"/>
              </w:rPr>
            </w:pPr>
          </w:p>
          <w:p w:rsidR="009845B8" w:rsidRPr="00A81BA5" w:rsidRDefault="00F3635D" w:rsidP="005C4959">
            <w:pPr>
              <w:pStyle w:val="Lgendestandard"/>
              <w:rPr>
                <w:szCs w:val="24"/>
              </w:rPr>
            </w:pPr>
            <w:r w:rsidRPr="00A81BA5">
              <w:t xml:space="preserve">Skreślenia zaznacza się </w:t>
            </w:r>
            <w:r w:rsidRPr="00A81BA5">
              <w:rPr>
                <w:b/>
                <w:i/>
              </w:rPr>
              <w:t>wytłuszczonym drukiem i kursywą</w:t>
            </w:r>
            <w:r w:rsidRPr="00A81BA5">
              <w:t xml:space="preserve"> w lewej kolumnie. Zmianę brzmienia zaznacza się </w:t>
            </w:r>
            <w:r w:rsidRPr="00A81BA5">
              <w:rPr>
                <w:b/>
                <w:i/>
              </w:rPr>
              <w:t>wytłuszczonym drukiem i kursywą</w:t>
            </w:r>
            <w:r w:rsidRPr="00A81BA5">
              <w:t xml:space="preserve"> w obu kolumnach. Nowy tekst zaznacza się </w:t>
            </w:r>
            <w:r w:rsidRPr="00A81BA5">
              <w:rPr>
                <w:b/>
                <w:i/>
              </w:rPr>
              <w:t>wytłuszczonym drukiem i kursywą</w:t>
            </w:r>
            <w:r w:rsidRPr="00A81BA5">
              <w:t xml:space="preserve"> w prawej kolumnie.</w:t>
            </w:r>
          </w:p>
          <w:p w:rsidR="009845B8" w:rsidRPr="00A81BA5" w:rsidRDefault="009845B8" w:rsidP="005C4959">
            <w:pPr>
              <w:pStyle w:val="Lgendestandard"/>
              <w:rPr>
                <w:szCs w:val="24"/>
              </w:rPr>
            </w:pPr>
          </w:p>
          <w:p w:rsidR="009845B8" w:rsidRPr="00A81BA5" w:rsidRDefault="00F3635D" w:rsidP="005C4959">
            <w:pPr>
              <w:pStyle w:val="Lgendestandard"/>
              <w:rPr>
                <w:szCs w:val="24"/>
              </w:rPr>
            </w:pPr>
            <w:r w:rsidRPr="00A81BA5">
              <w:t xml:space="preserve">Pierwszy i drugi wiersz nagłówka każdej poprawki wskazuje element rozpatrywanego projektu aktu, którego dotyczy poprawka. Jeżeli </w:t>
            </w:r>
            <w:r w:rsidRPr="00A81BA5">
              <w:t>poprawka odnosi się do obowiązującego aktu, do którego zmiany zmierza projekt aktu, nagłówek zawiera dodatkowo trzeci wiersz wskazujący obowiązujący akt i czwarty wiersz wskazujący przepis tego aktu, którego dotyczy poprawka.</w:t>
            </w:r>
          </w:p>
          <w:p w:rsidR="009845B8" w:rsidRPr="00A81BA5" w:rsidRDefault="009845B8" w:rsidP="005C4959">
            <w:pPr>
              <w:pStyle w:val="Lgendestandard"/>
              <w:rPr>
                <w:szCs w:val="24"/>
              </w:rPr>
            </w:pPr>
          </w:p>
          <w:p w:rsidR="009845B8" w:rsidRPr="00A81BA5" w:rsidRDefault="00F3635D" w:rsidP="005C4959">
            <w:pPr>
              <w:pStyle w:val="Lgendestandard"/>
              <w:rPr>
                <w:b/>
                <w:szCs w:val="24"/>
              </w:rPr>
            </w:pPr>
            <w:r w:rsidRPr="00A81BA5">
              <w:rPr>
                <w:b/>
              </w:rPr>
              <w:t>Poprawki Parlamentu w postaci</w:t>
            </w:r>
            <w:r w:rsidRPr="00A81BA5">
              <w:rPr>
                <w:b/>
              </w:rPr>
              <w:t xml:space="preserve"> tekstu skonsolidowanego</w:t>
            </w:r>
          </w:p>
          <w:p w:rsidR="009845B8" w:rsidRPr="00A81BA5" w:rsidRDefault="009845B8" w:rsidP="005C4959">
            <w:pPr>
              <w:pStyle w:val="Lgendestandard"/>
              <w:rPr>
                <w:szCs w:val="24"/>
              </w:rPr>
            </w:pPr>
          </w:p>
          <w:p w:rsidR="009845B8" w:rsidRPr="00A81BA5" w:rsidRDefault="00F3635D" w:rsidP="005C4959">
            <w:pPr>
              <w:pStyle w:val="Lgendestandard"/>
              <w:rPr>
                <w:szCs w:val="24"/>
              </w:rPr>
            </w:pPr>
            <w:r w:rsidRPr="00A81BA5">
              <w:t xml:space="preserve">Nowe fragmenty tekstu zaznacza się </w:t>
            </w:r>
            <w:r w:rsidRPr="00A81BA5">
              <w:rPr>
                <w:b/>
                <w:i/>
              </w:rPr>
              <w:t>wytłuszczonym drukiem i kursywą</w:t>
            </w:r>
            <w:r w:rsidRPr="00A81BA5">
              <w:t xml:space="preserve">. Fragmenty tekstu, które zostały skreślone, zaznacza się za pomocą symbolu ▌ lub przekreśla. Zmianę brzmienia zaznacza się przez wyróżnienie nowego tekstu </w:t>
            </w:r>
            <w:r w:rsidRPr="00A81BA5">
              <w:rPr>
                <w:b/>
                <w:i/>
              </w:rPr>
              <w:t>wytłuszc</w:t>
            </w:r>
            <w:r w:rsidRPr="00A81BA5">
              <w:rPr>
                <w:b/>
                <w:i/>
              </w:rPr>
              <w:t>zonym drukiem i kursywą</w:t>
            </w:r>
            <w:r w:rsidRPr="00A81BA5">
              <w:t xml:space="preserve"> i usunięcie lub przekreślenie zastąpionego tekstu. </w:t>
            </w:r>
          </w:p>
          <w:p w:rsidR="009845B8" w:rsidRPr="00A81BA5" w:rsidRDefault="00F3635D" w:rsidP="005C4959">
            <w:pPr>
              <w:pStyle w:val="Lgendestandard"/>
            </w:pPr>
            <w:r w:rsidRPr="00A81BA5">
              <w:t>Tytułem wyjątku nie zaznacza się zmian o charakterze ściśle technicznym wprowadzonych przez służby w celu opracowania końcowej wersji tekstu.</w:t>
            </w:r>
          </w:p>
          <w:p w:rsidR="009845B8" w:rsidRPr="00A81BA5" w:rsidRDefault="009845B8" w:rsidP="005C4959">
            <w:pPr>
              <w:pStyle w:val="Lgendestandard"/>
            </w:pPr>
          </w:p>
        </w:tc>
      </w:tr>
    </w:tbl>
    <w:p w:rsidR="009845B8" w:rsidRPr="00A81BA5" w:rsidRDefault="009845B8" w:rsidP="005C4959"/>
    <w:p w:rsidR="00793EA9" w:rsidRPr="00A81BA5" w:rsidRDefault="00793EA9" w:rsidP="00012351">
      <w:pPr>
        <w:widowControl/>
        <w:tabs>
          <w:tab w:val="center" w:pos="4677"/>
        </w:tabs>
      </w:pPr>
    </w:p>
    <w:p w:rsidR="00793EA9" w:rsidRPr="00A81BA5" w:rsidRDefault="00F3635D">
      <w:pPr>
        <w:pStyle w:val="TOCHeading"/>
      </w:pPr>
      <w:r w:rsidRPr="00A81BA5">
        <w:br w:type="page"/>
      </w:r>
      <w:r w:rsidRPr="00A81BA5">
        <w:lastRenderedPageBreak/>
        <w:t>SPIS TREŚCI</w:t>
      </w:r>
    </w:p>
    <w:p w:rsidR="00793EA9" w:rsidRPr="00A81BA5" w:rsidRDefault="00F3635D">
      <w:pPr>
        <w:pStyle w:val="TOCPage"/>
      </w:pPr>
      <w:r w:rsidRPr="00A81BA5">
        <w:t>Strona</w:t>
      </w:r>
    </w:p>
    <w:p w:rsidR="00F3635D" w:rsidRDefault="00F3635D">
      <w:pPr>
        <w:pStyle w:val="TOC1"/>
        <w:tabs>
          <w:tab w:val="right" w:leader="dot" w:pos="9060"/>
        </w:tabs>
        <w:rPr>
          <w:rFonts w:asciiTheme="minorHAnsi" w:eastAsiaTheme="minorEastAsia" w:hAnsiTheme="minorHAnsi" w:cstheme="minorBidi"/>
          <w:noProof/>
          <w:sz w:val="22"/>
          <w:szCs w:val="22"/>
          <w:lang w:eastAsia="pl-PL"/>
        </w:rPr>
      </w:pPr>
      <w:r w:rsidRPr="00A81BA5">
        <w:rPr>
          <w:b/>
        </w:rPr>
        <w:fldChar w:fldCharType="begin"/>
      </w:r>
      <w:r w:rsidRPr="00A81BA5">
        <w:rPr>
          <w:b/>
        </w:rPr>
        <w:instrText xml:space="preserve"> TOC \t "PageH</w:instrText>
      </w:r>
      <w:r w:rsidRPr="00A81BA5">
        <w:rPr>
          <w:b/>
        </w:rPr>
        <w:instrText>eading</w:instrText>
      </w:r>
      <w:r w:rsidR="00A0169F" w:rsidRPr="00A81BA5">
        <w:rPr>
          <w:b/>
        </w:rPr>
        <w:instrText>;</w:instrText>
      </w:r>
      <w:r w:rsidRPr="00A81BA5">
        <w:rPr>
          <w:b/>
        </w:rPr>
        <w:instrText xml:space="preserve">1" </w:instrText>
      </w:r>
      <w:r w:rsidRPr="00A81BA5">
        <w:rPr>
          <w:b/>
        </w:rPr>
        <w:fldChar w:fldCharType="separate"/>
      </w:r>
      <w:r>
        <w:rPr>
          <w:noProof/>
        </w:rPr>
        <w:t>PROJEKT REZOLUCJI USTAWODAWCZEJ PARLAMENTU EUROPEJSKIEGO</w:t>
      </w:r>
      <w:r>
        <w:rPr>
          <w:noProof/>
        </w:rPr>
        <w:tab/>
      </w:r>
      <w:r>
        <w:rPr>
          <w:noProof/>
        </w:rPr>
        <w:fldChar w:fldCharType="begin"/>
      </w:r>
      <w:r>
        <w:rPr>
          <w:noProof/>
        </w:rPr>
        <w:instrText xml:space="preserve"> PAGEREF _Toc191380606 \h </w:instrText>
      </w:r>
      <w:r>
        <w:rPr>
          <w:noProof/>
        </w:rPr>
      </w:r>
      <w:r>
        <w:rPr>
          <w:noProof/>
        </w:rPr>
        <w:fldChar w:fldCharType="separate"/>
      </w:r>
      <w:r>
        <w:rPr>
          <w:noProof/>
        </w:rPr>
        <w:t>5</w:t>
      </w:r>
      <w:r>
        <w:rPr>
          <w:noProof/>
        </w:rPr>
        <w:fldChar w:fldCharType="end"/>
      </w:r>
    </w:p>
    <w:p w:rsidR="00F3635D" w:rsidRDefault="00F3635D">
      <w:pPr>
        <w:pStyle w:val="TOC1"/>
        <w:tabs>
          <w:tab w:val="right" w:leader="dot" w:pos="9060"/>
        </w:tabs>
        <w:rPr>
          <w:rFonts w:asciiTheme="minorHAnsi" w:eastAsiaTheme="minorEastAsia" w:hAnsiTheme="minorHAnsi" w:cstheme="minorBidi"/>
          <w:noProof/>
          <w:sz w:val="22"/>
          <w:szCs w:val="22"/>
          <w:lang w:eastAsia="pl-PL"/>
        </w:rPr>
      </w:pPr>
      <w:r>
        <w:rPr>
          <w:noProof/>
        </w:rPr>
        <w:t>UZASADNIENIE</w:t>
      </w:r>
      <w:r>
        <w:rPr>
          <w:noProof/>
        </w:rPr>
        <w:tab/>
      </w:r>
      <w:r>
        <w:rPr>
          <w:noProof/>
        </w:rPr>
        <w:fldChar w:fldCharType="begin"/>
      </w:r>
      <w:r>
        <w:rPr>
          <w:noProof/>
        </w:rPr>
        <w:instrText xml:space="preserve"> PAGEREF _Toc191380607 \h </w:instrText>
      </w:r>
      <w:r>
        <w:rPr>
          <w:noProof/>
        </w:rPr>
      </w:r>
      <w:r>
        <w:rPr>
          <w:noProof/>
        </w:rPr>
        <w:fldChar w:fldCharType="separate"/>
      </w:r>
      <w:r>
        <w:rPr>
          <w:noProof/>
        </w:rPr>
        <w:t>48</w:t>
      </w:r>
      <w:r>
        <w:rPr>
          <w:noProof/>
        </w:rPr>
        <w:fldChar w:fldCharType="end"/>
      </w:r>
    </w:p>
    <w:p w:rsidR="00F3635D" w:rsidRDefault="00F3635D">
      <w:pPr>
        <w:pStyle w:val="TOC1"/>
        <w:tabs>
          <w:tab w:val="right" w:leader="dot" w:pos="9060"/>
        </w:tabs>
        <w:rPr>
          <w:rFonts w:asciiTheme="minorHAnsi" w:eastAsiaTheme="minorEastAsia" w:hAnsiTheme="minorHAnsi" w:cstheme="minorBidi"/>
          <w:noProof/>
          <w:sz w:val="22"/>
          <w:szCs w:val="22"/>
          <w:lang w:eastAsia="pl-PL"/>
        </w:rPr>
      </w:pPr>
      <w:r>
        <w:rPr>
          <w:noProof/>
        </w:rPr>
        <w:t>ZAŁĄCZNIK: PODMIOTY LUB OSOBY, OD KTÓRYCH SPRAWOZDAWCA OTRZYMAŁ INFORMACJE</w:t>
      </w:r>
      <w:r>
        <w:rPr>
          <w:noProof/>
        </w:rPr>
        <w:tab/>
      </w:r>
      <w:r>
        <w:rPr>
          <w:noProof/>
        </w:rPr>
        <w:fldChar w:fldCharType="begin"/>
      </w:r>
      <w:r>
        <w:rPr>
          <w:noProof/>
        </w:rPr>
        <w:instrText xml:space="preserve"> PAGEREF _Toc191380608 \h </w:instrText>
      </w:r>
      <w:r>
        <w:rPr>
          <w:noProof/>
        </w:rPr>
      </w:r>
      <w:r>
        <w:rPr>
          <w:noProof/>
        </w:rPr>
        <w:fldChar w:fldCharType="separate"/>
      </w:r>
      <w:r>
        <w:rPr>
          <w:noProof/>
        </w:rPr>
        <w:t>51</w:t>
      </w:r>
      <w:r>
        <w:rPr>
          <w:noProof/>
        </w:rPr>
        <w:fldChar w:fldCharType="end"/>
      </w:r>
    </w:p>
    <w:p w:rsidR="002346B0" w:rsidRPr="00A81BA5" w:rsidRDefault="00F3635D" w:rsidP="00C23324">
      <w:r w:rsidRPr="00A81BA5">
        <w:rPr>
          <w:b/>
        </w:rPr>
        <w:fldChar w:fldCharType="end"/>
      </w:r>
    </w:p>
    <w:p w:rsidR="00793EA9" w:rsidRPr="00A81BA5" w:rsidRDefault="00F3635D">
      <w:pPr>
        <w:pStyle w:val="PageHeading"/>
      </w:pPr>
      <w:bookmarkStart w:id="0" w:name="_GoBack"/>
      <w:bookmarkEnd w:id="0"/>
      <w:r w:rsidRPr="00A81BA5">
        <w:br w:type="page"/>
      </w:r>
      <w:r w:rsidRPr="00A81BA5">
        <w:lastRenderedPageBreak/>
        <w:br w:type="page"/>
      </w:r>
      <w:bookmarkStart w:id="1" w:name="_Toc191380606"/>
      <w:r w:rsidRPr="00A81BA5">
        <w:lastRenderedPageBreak/>
        <w:t>PROJEKT REZOLUCJI</w:t>
      </w:r>
      <w:r w:rsidRPr="00A81BA5">
        <w:t xml:space="preserve"> USTAWODAWCZEJ PARLAMENTU EUROPEJSKIEGO</w:t>
      </w:r>
      <w:bookmarkEnd w:id="1"/>
    </w:p>
    <w:p w:rsidR="00793EA9" w:rsidRPr="00A81BA5" w:rsidRDefault="00F3635D">
      <w:pPr>
        <w:pStyle w:val="NormalBold"/>
      </w:pPr>
      <w:r w:rsidRPr="00A81BA5">
        <w:t>w sprawie wniosku dotyczącego rozporządzenia Parlamentu Europejskiego i Rady w sprawie wzmocnienia współpracy policyjnej w odniesieniu do zapobiegania przemytowi migrantów i handlowi ludźmi, wykrywania tych przestęps</w:t>
      </w:r>
      <w:r w:rsidRPr="00A81BA5">
        <w:t>tw oraz prowadzenia stosownych postępowań przygotowawczych w tym zakresie i w sprawie zwiększenia wsparcia Europolu na rzecz zapobiegania tego rodzaju przestępstwom oraz zmiany rozporządzenia (UE) 2016/794</w:t>
      </w:r>
    </w:p>
    <w:p w:rsidR="00793EA9" w:rsidRPr="00A81BA5" w:rsidRDefault="00F3635D">
      <w:pPr>
        <w:pStyle w:val="NormalBold12a"/>
      </w:pPr>
      <w:r w:rsidRPr="00A81BA5">
        <w:t>(COM(2023)0754 – C9</w:t>
      </w:r>
      <w:r w:rsidRPr="00A81BA5">
        <w:noBreakHyphen/>
        <w:t>0431/2023 – 2023/0438(COD))</w:t>
      </w:r>
    </w:p>
    <w:p w:rsidR="00793EA9" w:rsidRPr="00A81BA5" w:rsidRDefault="00F3635D" w:rsidP="00A910C9">
      <w:pPr>
        <w:pStyle w:val="NormalBold"/>
      </w:pPr>
      <w:r w:rsidRPr="00A81BA5">
        <w:t>(Z</w:t>
      </w:r>
      <w:r w:rsidRPr="00A81BA5">
        <w:t>wykła procedura ustawodawcza: pierwsze czytanie)</w:t>
      </w:r>
    </w:p>
    <w:p w:rsidR="00793EA9" w:rsidRPr="00A81BA5" w:rsidRDefault="00F3635D" w:rsidP="00A910C9">
      <w:pPr>
        <w:pStyle w:val="EPComma"/>
      </w:pPr>
      <w:r w:rsidRPr="00A81BA5">
        <w:rPr>
          <w:i/>
        </w:rPr>
        <w:t>Parlament Europejski</w:t>
      </w:r>
      <w:r w:rsidRPr="00A81BA5">
        <w:t>,</w:t>
      </w:r>
    </w:p>
    <w:p w:rsidR="00793EA9" w:rsidRPr="00A81BA5" w:rsidRDefault="00F3635D">
      <w:pPr>
        <w:pStyle w:val="NormalHanging12a"/>
      </w:pPr>
      <w:r w:rsidRPr="00A81BA5">
        <w:t>–</w:t>
      </w:r>
      <w:r w:rsidRPr="00A81BA5">
        <w:tab/>
        <w:t>uwzględniając wniosek Komisji przedstawiony Parlamentowi Europejskiemu i Radzie (COM(2023)0754),</w:t>
      </w:r>
    </w:p>
    <w:p w:rsidR="00793EA9" w:rsidRPr="00A81BA5" w:rsidRDefault="00F3635D">
      <w:pPr>
        <w:pStyle w:val="NormalHanging12a"/>
      </w:pPr>
      <w:r w:rsidRPr="00A81BA5">
        <w:t>–</w:t>
      </w:r>
      <w:r w:rsidRPr="00A81BA5">
        <w:tab/>
        <w:t>uwzględniając art. 294 ust. 2, art. 85 ust. 1, art. 87 ust. 2 oraz art. 88 ust. 2 Tr</w:t>
      </w:r>
      <w:r w:rsidRPr="00A81BA5">
        <w:t>aktatu o funkcjonowaniu Unii Europejskiej, zgodnie z którymi wniosek został przedstawiony Parlamentowi przez Komisję (C9-0431/2023),</w:t>
      </w:r>
    </w:p>
    <w:p w:rsidR="00A26F46" w:rsidRPr="00A81BA5" w:rsidRDefault="00F3635D" w:rsidP="00A26F46">
      <w:pPr>
        <w:pStyle w:val="NormalHanging12a"/>
      </w:pPr>
      <w:r w:rsidRPr="00A81BA5">
        <w:t>–</w:t>
      </w:r>
      <w:r w:rsidRPr="00A81BA5">
        <w:tab/>
        <w:t>uwzględniając art. 294 ust. 3 Traktatu o funkcjonowaniu Unii Europejskiej,</w:t>
      </w:r>
    </w:p>
    <w:p w:rsidR="00522F4E" w:rsidRPr="00A81BA5" w:rsidRDefault="00F3635D" w:rsidP="00A26F46">
      <w:pPr>
        <w:pStyle w:val="NormalHanging12a"/>
      </w:pPr>
      <w:r w:rsidRPr="00A81BA5">
        <w:t>–</w:t>
      </w:r>
      <w:r w:rsidRPr="00A81BA5">
        <w:tab/>
        <w:t>uwzględniając ocenę budżetową sporządzoną pr</w:t>
      </w:r>
      <w:r w:rsidRPr="00A81BA5">
        <w:t>zez Komisję Budżetową,</w:t>
      </w:r>
    </w:p>
    <w:p w:rsidR="00FB3173" w:rsidRPr="00A81BA5" w:rsidRDefault="00F3635D" w:rsidP="00851C5E">
      <w:pPr>
        <w:pStyle w:val="NormalHanging12a"/>
      </w:pPr>
      <w:r w:rsidRPr="00A81BA5">
        <w:t>–</w:t>
      </w:r>
      <w:r w:rsidRPr="00A81BA5">
        <w:tab/>
        <w:t>uwzględniając uzasadnioną opinię przedstawioną – na mocy protokołu nr 2 w sprawie stosowania zasad pomocniczości i proporcjonalności – przez szwedzki Riksdag, w której stwierdzono, że projekt aktu ustawodawczego nie jest zgodny z z</w:t>
      </w:r>
      <w:r w:rsidRPr="00A81BA5">
        <w:t>asadą pomocniczości,</w:t>
      </w:r>
    </w:p>
    <w:p w:rsidR="00FB3173" w:rsidRPr="00A81BA5" w:rsidRDefault="00F3635D" w:rsidP="002E4496">
      <w:pPr>
        <w:pStyle w:val="NormalHanging12a"/>
      </w:pPr>
      <w:r w:rsidRPr="00A81BA5">
        <w:t>–</w:t>
      </w:r>
      <w:r w:rsidRPr="00A81BA5">
        <w:tab/>
        <w:t>uwzględniając opinię Europejskiego Komitetu Ekonomiczno-Społecznego z 10 lipca 2024 r.</w:t>
      </w:r>
      <w:r w:rsidRPr="00A81BA5">
        <w:rPr>
          <w:rStyle w:val="FootnoteReference"/>
        </w:rPr>
        <w:footnoteReference w:id="1"/>
      </w:r>
      <w:r w:rsidRPr="00A81BA5">
        <w:t>,</w:t>
      </w:r>
    </w:p>
    <w:p w:rsidR="00520CE7" w:rsidRPr="00A81BA5" w:rsidRDefault="00F3635D" w:rsidP="006020DB">
      <w:pPr>
        <w:pStyle w:val="NormalHanging12a"/>
      </w:pPr>
      <w:r w:rsidRPr="00A81BA5">
        <w:t>–</w:t>
      </w:r>
      <w:r w:rsidRPr="00A81BA5">
        <w:tab/>
        <w:t>uwzględniając art. 60 i 58 Regulaminu,</w:t>
      </w:r>
    </w:p>
    <w:p w:rsidR="00851C5E" w:rsidRPr="00A81BA5" w:rsidRDefault="00851C5E" w:rsidP="00520CE7">
      <w:pPr>
        <w:pStyle w:val="NormalHanging12a"/>
        <w:rPr>
          <w:rFonts w:ascii="Arial" w:hAnsi="Arial"/>
          <w:noProof/>
          <w:vanish/>
          <w:color w:val="000080"/>
          <w:sz w:val="20"/>
        </w:rPr>
      </w:pPr>
    </w:p>
    <w:p w:rsidR="006A2F5D" w:rsidRPr="00A81BA5" w:rsidRDefault="00F3635D" w:rsidP="006A2F5D">
      <w:pPr>
        <w:pStyle w:val="NormalHanging12a"/>
      </w:pPr>
      <w:r w:rsidRPr="00A81BA5">
        <w:t>–</w:t>
      </w:r>
      <w:r w:rsidRPr="00A81BA5">
        <w:tab/>
        <w:t>uwzględniając sprawozdanie Komisji Wolności Obywatelskich, Sprawiedliwości i Spraw Wewnętrznych (A10</w:t>
      </w:r>
      <w:r w:rsidRPr="00A81BA5">
        <w:t>-0000/2025),</w:t>
      </w:r>
    </w:p>
    <w:p w:rsidR="009F6C2F" w:rsidRPr="00A81BA5" w:rsidRDefault="00F3635D" w:rsidP="009F6C2F">
      <w:pPr>
        <w:pStyle w:val="NormalHanging12a"/>
      </w:pPr>
      <w:r w:rsidRPr="00A81BA5">
        <w:t>1.</w:t>
      </w:r>
      <w:r w:rsidRPr="00A81BA5">
        <w:tab/>
        <w:t>przyjmuje poniższe stanowisko w pierwszym czytaniu;</w:t>
      </w:r>
    </w:p>
    <w:p w:rsidR="009F6C2F" w:rsidRPr="00A81BA5" w:rsidRDefault="00F3635D" w:rsidP="009F6C2F">
      <w:pPr>
        <w:pStyle w:val="NormalHanging12a"/>
      </w:pPr>
      <w:r w:rsidRPr="00A81BA5">
        <w:t>2.</w:t>
      </w:r>
      <w:r w:rsidRPr="00A81BA5">
        <w:tab/>
        <w:t xml:space="preserve">zwraca się do Komisji o ponowne przekazanie mu sprawy, jeśli zastąpi ona pierwotny wniosek, wprowadzi w nim istotne zmiany lub planuje ich wprowadzenie; </w:t>
      </w:r>
    </w:p>
    <w:p w:rsidR="009F6C2F" w:rsidRPr="00A81BA5" w:rsidRDefault="00F3635D" w:rsidP="009F6C2F">
      <w:pPr>
        <w:pStyle w:val="NormalHanging12a"/>
      </w:pPr>
      <w:r w:rsidRPr="00A81BA5">
        <w:t>3.</w:t>
      </w:r>
      <w:r w:rsidRPr="00A81BA5">
        <w:tab/>
        <w:t xml:space="preserve">zobowiązuje swoją </w:t>
      </w:r>
      <w:r w:rsidRPr="00A81BA5">
        <w:t>przewodniczącą do przekazania stanowiska Parlamentu Radzie i Komisji oraz parlamentom narodowym.</w:t>
      </w:r>
    </w:p>
    <w:p w:rsidR="00742F5F" w:rsidRPr="00A81BA5" w:rsidRDefault="00742F5F" w:rsidP="00D30DE2"/>
    <w:p w:rsidR="0018078A" w:rsidRPr="00A81BA5" w:rsidRDefault="00F3635D" w:rsidP="0018078A">
      <w:pPr>
        <w:pStyle w:val="AMNumberTabs0"/>
        <w:keepNext/>
      </w:pPr>
      <w:r w:rsidRPr="00A81BA5">
        <w:rPr>
          <w:rStyle w:val="HideTWBExt"/>
          <w:b w:val="0"/>
        </w:rPr>
        <w:lastRenderedPageBreak/>
        <w:t>&lt;RepeatBlock-Amend&gt;&lt;Amend&gt;</w:t>
      </w:r>
      <w:r w:rsidRPr="00A81BA5">
        <w:t>Poprawka</w:t>
      </w:r>
      <w:r w:rsidRPr="00A81BA5">
        <w:tab/>
      </w:r>
      <w:r w:rsidRPr="00A81BA5">
        <w:tab/>
      </w:r>
      <w:r w:rsidRPr="00A81BA5">
        <w:rPr>
          <w:rStyle w:val="HideTWBExt"/>
          <w:b w:val="0"/>
        </w:rPr>
        <w:t>&lt;NumAm&gt;</w:t>
      </w:r>
      <w:r w:rsidRPr="00A81BA5">
        <w:t>1</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Tytuł</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 xml:space="preserve">Tekst proponowany przez </w:t>
            </w:r>
            <w:r w:rsidRPr="00A81BA5">
              <w:t>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t>Wniosek</w:t>
            </w:r>
          </w:p>
        </w:tc>
        <w:tc>
          <w:tcPr>
            <w:tcW w:w="4876" w:type="dxa"/>
            <w:hideMark/>
          </w:tcPr>
          <w:p w:rsidR="0018078A" w:rsidRPr="00A81BA5" w:rsidRDefault="00F3635D">
            <w:pPr>
              <w:pStyle w:val="Normal6"/>
              <w:rPr>
                <w:szCs w:val="24"/>
              </w:rPr>
            </w:pPr>
            <w:r w:rsidRPr="00A81BA5">
              <w:t>Wniosek</w:t>
            </w:r>
          </w:p>
        </w:tc>
      </w:tr>
      <w:tr w:rsidR="00DA3A2C" w:rsidRPr="00A81BA5" w:rsidTr="0018078A">
        <w:trPr>
          <w:jc w:val="center"/>
        </w:trPr>
        <w:tc>
          <w:tcPr>
            <w:tcW w:w="4876" w:type="dxa"/>
            <w:hideMark/>
          </w:tcPr>
          <w:p w:rsidR="0018078A" w:rsidRPr="00A81BA5" w:rsidRDefault="00F3635D">
            <w:pPr>
              <w:pStyle w:val="Normal6"/>
            </w:pPr>
            <w:r w:rsidRPr="00A81BA5">
              <w:t>ROZPORZĄDZENIE PARLAMENTU EUROPEJSKIEGO I RADY</w:t>
            </w:r>
          </w:p>
        </w:tc>
        <w:tc>
          <w:tcPr>
            <w:tcW w:w="4876" w:type="dxa"/>
            <w:hideMark/>
          </w:tcPr>
          <w:p w:rsidR="0018078A" w:rsidRPr="00A81BA5" w:rsidRDefault="00F3635D">
            <w:pPr>
              <w:pStyle w:val="Normal6"/>
              <w:rPr>
                <w:szCs w:val="24"/>
              </w:rPr>
            </w:pPr>
            <w:r w:rsidRPr="00A81BA5">
              <w:t>ROZPORZĄDZENIE PARLAMENTU EUROPEJSKIEGO I RADY</w:t>
            </w:r>
          </w:p>
        </w:tc>
      </w:tr>
      <w:tr w:rsidR="00DA3A2C" w:rsidRPr="00A81BA5" w:rsidTr="0018078A">
        <w:trPr>
          <w:jc w:val="center"/>
        </w:trPr>
        <w:tc>
          <w:tcPr>
            <w:tcW w:w="4876" w:type="dxa"/>
            <w:hideMark/>
          </w:tcPr>
          <w:p w:rsidR="0018078A" w:rsidRPr="00A81BA5" w:rsidRDefault="00F3635D">
            <w:pPr>
              <w:pStyle w:val="Normal6"/>
            </w:pPr>
            <w:r w:rsidRPr="00A81BA5">
              <w:rPr>
                <w:b/>
                <w:i/>
              </w:rPr>
              <w:t>w sprawie wzmocnienia współpracy policyjnej w </w:t>
            </w:r>
            <w:r w:rsidRPr="00A81BA5">
              <w:t xml:space="preserve">odniesieniu do </w:t>
            </w:r>
            <w:r w:rsidRPr="00A81BA5">
              <w:rPr>
                <w:b/>
                <w:i/>
              </w:rPr>
              <w:t>zapobiegania przemytowi migrantów</w:t>
            </w:r>
            <w:r w:rsidRPr="00A81BA5">
              <w:t xml:space="preserve"> i</w:t>
            </w:r>
            <w:r w:rsidRPr="00A81BA5">
              <w:rPr>
                <w:b/>
                <w:i/>
              </w:rPr>
              <w:t> handlowi ludźmi, wykrywania t</w:t>
            </w:r>
            <w:r w:rsidRPr="00A81BA5">
              <w:rPr>
                <w:b/>
                <w:i/>
              </w:rPr>
              <w:t>ych przestępstw oraz prowadzenia stosownych postępowań przygotowawczych w tym zakresie</w:t>
            </w:r>
            <w:r w:rsidRPr="00A81BA5">
              <w:t xml:space="preserve"> i</w:t>
            </w:r>
            <w:r w:rsidRPr="00A81BA5">
              <w:rPr>
                <w:b/>
                <w:i/>
              </w:rPr>
              <w:t> w sprawie zwiększenia wsparcia Europolu na rzecz zapobiegania tego rodzaju przestępstwom</w:t>
            </w:r>
            <w:r w:rsidRPr="00A81BA5">
              <w:t xml:space="preserve"> oraz </w:t>
            </w:r>
            <w:r w:rsidRPr="00A81BA5">
              <w:rPr>
                <w:b/>
                <w:i/>
              </w:rPr>
              <w:t>zmiany rozporządzenia (UE) 2016/794</w:t>
            </w:r>
          </w:p>
        </w:tc>
        <w:tc>
          <w:tcPr>
            <w:tcW w:w="4876" w:type="dxa"/>
            <w:hideMark/>
          </w:tcPr>
          <w:p w:rsidR="0018078A" w:rsidRPr="00A81BA5" w:rsidRDefault="00F3635D">
            <w:pPr>
              <w:pStyle w:val="Normal6"/>
              <w:rPr>
                <w:szCs w:val="24"/>
              </w:rPr>
            </w:pPr>
            <w:r w:rsidRPr="00A81BA5">
              <w:rPr>
                <w:b/>
                <w:i/>
              </w:rPr>
              <w:t>zmieniające rozporządzenie (UE) 2016/</w:t>
            </w:r>
            <w:r w:rsidRPr="00A81BA5">
              <w:rPr>
                <w:b/>
                <w:i/>
              </w:rPr>
              <w:t xml:space="preserve">794 w </w:t>
            </w:r>
            <w:r w:rsidRPr="00A81BA5">
              <w:t xml:space="preserve">odniesieniu do </w:t>
            </w:r>
            <w:r w:rsidRPr="00A81BA5">
              <w:rPr>
                <w:b/>
                <w:i/>
              </w:rPr>
              <w:t>zwiększenia wsparcia Europolu</w:t>
            </w:r>
            <w:r w:rsidRPr="00A81BA5">
              <w:t xml:space="preserve"> i</w:t>
            </w:r>
            <w:r w:rsidRPr="00A81BA5">
              <w:rPr>
                <w:b/>
                <w:i/>
              </w:rPr>
              <w:t xml:space="preserve"> wzmocnienia współpracy policyjnej w celu zapobiegania przemytowi migrantów</w:t>
            </w:r>
            <w:r w:rsidRPr="00A81BA5">
              <w:t xml:space="preserve"> i</w:t>
            </w:r>
            <w:r w:rsidRPr="00A81BA5">
              <w:rPr>
                <w:b/>
                <w:i/>
              </w:rPr>
              <w:t xml:space="preserve"> handlowi ludźmi</w:t>
            </w:r>
            <w:r w:rsidRPr="00A81BA5">
              <w:t xml:space="preserve"> oraz </w:t>
            </w:r>
            <w:r w:rsidRPr="00A81BA5">
              <w:rPr>
                <w:b/>
                <w:i/>
              </w:rPr>
              <w:t>zwalczania tych zjawisk</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2</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Motyw 6</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rPr>
                <w:b/>
                <w:i/>
              </w:rPr>
              <w:t>(6)</w:t>
            </w:r>
            <w:r w:rsidRPr="00A81BA5">
              <w:rPr>
                <w:b/>
                <w:i/>
              </w:rPr>
              <w:tab/>
              <w:t>Aby wspierać swoją analizę strategiczną w zakresie zapobiegania przemytowi migrantów i handlowi ludźmi oraz zwalczania tych prz</w:t>
            </w:r>
            <w:r w:rsidRPr="00A81BA5">
              <w:rPr>
                <w:b/>
                <w:i/>
              </w:rPr>
              <w:t>estępstw, Europejskie Centrum Zwalczania Przemytu Migrantów powinno, w obszarze zadań strategicznych, otrzymywać wsparcie w postaci ram współpracy obejmujących pracowników Europolu i zaangażowanie przedstawicieli Komisji, wyspecjalizowanych służb państw cz</w:t>
            </w:r>
            <w:r w:rsidRPr="00A81BA5">
              <w:rPr>
                <w:b/>
                <w:i/>
              </w:rPr>
              <w:t xml:space="preserve">łonkowskich, Agencji Unii Europejskiej ds. Współpracy Wymiarów Sprawiedliwości w Sprawach Karnych (Eurojust) i Europejskiej Agencji Straży Granicznej i Przybrzeżnej. Co najmniej dwa razy w roku Europejskie Centrum </w:t>
            </w:r>
            <w:r w:rsidRPr="00A81BA5">
              <w:rPr>
                <w:b/>
                <w:i/>
              </w:rPr>
              <w:lastRenderedPageBreak/>
              <w:t>Zwalczania Przemytu Migrantów powinno orga</w:t>
            </w:r>
            <w:r w:rsidRPr="00A81BA5">
              <w:rPr>
                <w:b/>
                <w:i/>
              </w:rPr>
              <w:t>nizować spotkanie podmiotów reprezentowanych w Centrum, aby zapewnić skuteczne kierowanie i skuteczną koordynację na szczeblu Unii. Aby Centrum mogło wykonywać swoje zadania, inne odpowiednie struktury wewnętrzne Europolu powinny udzielać mu wszelkiego nie</w:t>
            </w:r>
            <w:r w:rsidRPr="00A81BA5">
              <w:rPr>
                <w:b/>
                <w:i/>
              </w:rPr>
              <w:t>zbędnego wsparcia. Aby zmaksymalizować skuteczność Europejskiego Centrum Zwalczania Przemytu Migrantów, Europol powinien móc zapraszać do udziału w działaniach, w szczególności, główne podmioty europejskiej multidyscyplinarnej platformy przeciwko zagrożeni</w:t>
            </w:r>
            <w:r w:rsidRPr="00A81BA5">
              <w:rPr>
                <w:b/>
                <w:i/>
              </w:rPr>
              <w:t>om przestępstwami („EMPACT”), a także, w razie potrzeby, inne właściwe organy lub agencje Unii.</w:t>
            </w:r>
          </w:p>
        </w:tc>
        <w:tc>
          <w:tcPr>
            <w:tcW w:w="4876" w:type="dxa"/>
            <w:hideMark/>
          </w:tcPr>
          <w:p w:rsidR="0018078A" w:rsidRPr="00A81BA5" w:rsidRDefault="00F3635D">
            <w:pPr>
              <w:pStyle w:val="Normal6"/>
              <w:rPr>
                <w:szCs w:val="24"/>
              </w:rPr>
            </w:pPr>
            <w:r w:rsidRPr="00A81BA5">
              <w:rPr>
                <w:b/>
                <w:i/>
              </w:rPr>
              <w:lastRenderedPageBreak/>
              <w:t>skreśla się</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3</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Motyw 7 a</w:t>
      </w:r>
      <w:r w:rsidRPr="00A81BA5">
        <w:t xml:space="preserve"> (nowy)</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(7a)</w:t>
            </w:r>
            <w:r w:rsidRPr="00A81BA5">
              <w:rPr>
                <w:b/>
                <w:i/>
              </w:rPr>
              <w:tab/>
              <w:t xml:space="preserve">W celu zwiększenia wsparcia operacyjnego i technicznego w zakresie zapobiegania przemytowi migrantów i handlowi ludźmi oraz zwalczania tych przestępstw Europejskie Centrum Zwalczania </w:t>
            </w:r>
            <w:r w:rsidRPr="00A81BA5">
              <w:rPr>
                <w:b/>
                <w:i/>
              </w:rPr>
              <w:t>Przemytu Migrantów powinno angażować przedstawicieli z wyspecjalizowanych służb państw członkowskich, Eurojustu i Europejskiej Agencji Straży Granicznej i Przybrzeżnej, aby zapewnić skuteczną, terminową i systematyczną koordynację i wymianę informacji w ob</w:t>
            </w:r>
            <w:r w:rsidRPr="00A81BA5">
              <w:rPr>
                <w:b/>
                <w:i/>
              </w:rPr>
              <w:t xml:space="preserve">szarze przeciwdziałania przemytowi migrantów i handlu ludźmi na szczeblu Unii, co oznaczać będzie ściślejszą współpracą międzyagencyjną w ramach odpowiednich kompetencji tych podmiotów oraz z państwami członkowskimi. W tym celu należy </w:t>
            </w:r>
            <w:r w:rsidRPr="00A81BA5">
              <w:rPr>
                <w:b/>
                <w:i/>
              </w:rPr>
              <w:lastRenderedPageBreak/>
              <w:t>nominować stałych prz</w:t>
            </w:r>
            <w:r w:rsidRPr="00A81BA5">
              <w:rPr>
                <w:b/>
                <w:i/>
              </w:rPr>
              <w:t>edstawicieli Eurojustu i Europejskiej Agencji Straży Granicznej i Przybrzeżnej.</w:t>
            </w:r>
          </w:p>
        </w:tc>
      </w:tr>
    </w:tbl>
    <w:p w:rsidR="0018078A" w:rsidRPr="00A81BA5" w:rsidRDefault="00F3635D" w:rsidP="0018078A">
      <w:pPr>
        <w:pStyle w:val="Olang"/>
      </w:pPr>
      <w:r w:rsidRPr="00A81BA5">
        <w:lastRenderedPageBreak/>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4</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Motyw 7 b (nowy)</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 xml:space="preserve">Tekst </w:t>
            </w:r>
            <w:r w:rsidRPr="00A81BA5">
              <w:t>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rsidP="00320B73">
            <w:pPr>
              <w:pStyle w:val="Normal6"/>
              <w:rPr>
                <w:szCs w:val="24"/>
              </w:rPr>
            </w:pPr>
            <w:r w:rsidRPr="00A81BA5">
              <w:rPr>
                <w:b/>
                <w:i/>
              </w:rPr>
              <w:t>(7b)</w:t>
            </w:r>
            <w:r w:rsidRPr="00A81BA5">
              <w:rPr>
                <w:b/>
                <w:i/>
              </w:rPr>
              <w:tab/>
              <w:t>Aby zmaksymalizować skuteczność Europejskiego Centrum Zwalczania Przemytu Migrantów, Europol powinien mieć możliwość zapraszania innych uczestników do udziału w działaniach Europejskiego Centrum Zwalczania Przemytu</w:t>
            </w:r>
            <w:r w:rsidRPr="00A81BA5">
              <w:rPr>
                <w:b/>
                <w:i/>
              </w:rPr>
              <w:t xml:space="preserve"> Migrantów. Może to obejmować w szczególności Komisję i główne podmioty europejskiej multidyscyplinarnej platformy przeciwko zagrożeniom przestępstwami (EMPACT), a także inne odpowiednie organy lub agencje Unii, jeżeli wchodzi to w zakres ich kompetencji. </w:t>
            </w:r>
            <w:r w:rsidRPr="00A81BA5">
              <w:rPr>
                <w:b/>
                <w:i/>
              </w:rPr>
              <w:t>Europejskie Centrum Zwalczania Przemytu Migrantów powinno być również w stanie współpracować z Europejską Służbą Działań Zewnętrznych oraz w trakcie misji i operacji w ramach wspólnej polityki bezpieczeństwa i obrony, w stosownych przypadkach, zgodnie z ic</w:t>
            </w:r>
            <w:r w:rsidRPr="00A81BA5">
              <w:rPr>
                <w:b/>
                <w:i/>
              </w:rPr>
              <w:t>h odpowiednimi uprawnieniami i kompetencjami, a także zgodnie z zakresem działania Europolu. Europol powinien zapewnić, aby Europejskie Centrum Zwalczania Przemytu Migrantów dysponowało odpowiednimi zasobami do wypełniania swoich obowiązków oraz aby inne o</w:t>
            </w:r>
            <w:r w:rsidRPr="00A81BA5">
              <w:rPr>
                <w:b/>
                <w:i/>
              </w:rPr>
              <w:t>dpowiednie struktury wewnętrzne Europolu udzielały mu wszelkiego niezbędnego wsparcia.</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lastRenderedPageBreak/>
        <w:t>&lt;Amend&gt;</w:t>
      </w:r>
      <w:r w:rsidRPr="00A81BA5">
        <w:t>Poprawka</w:t>
      </w:r>
      <w:r w:rsidRPr="00A81BA5">
        <w:tab/>
      </w:r>
      <w:r w:rsidRPr="00A81BA5">
        <w:tab/>
      </w:r>
      <w:r w:rsidRPr="00A81BA5">
        <w:rPr>
          <w:rStyle w:val="HideTWBExt"/>
          <w:b w:val="0"/>
        </w:rPr>
        <w:t>&lt;NumAm&gt;</w:t>
      </w:r>
      <w:r w:rsidRPr="00A81BA5">
        <w:t>5</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Motyw 7 c (nowy)</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rsidP="00440502">
            <w:pPr>
              <w:pStyle w:val="Normal6"/>
              <w:rPr>
                <w:szCs w:val="24"/>
              </w:rPr>
            </w:pPr>
            <w:r w:rsidRPr="00A81BA5">
              <w:rPr>
                <w:b/>
                <w:i/>
              </w:rPr>
              <w:t>(7c)</w:t>
            </w:r>
            <w:r w:rsidRPr="00A81BA5">
              <w:rPr>
                <w:b/>
                <w:i/>
              </w:rPr>
              <w:tab/>
              <w:t xml:space="preserve">Aby zapewnić wystarczającą elastyczność zadań Europejskiego Centrum Zwalczania Przemytu Migrantów i zarządzania nim, zarząd powinien być uprawniony, na podstawie wniosku dyrektora wykonawczego, do </w:t>
            </w:r>
            <w:r w:rsidRPr="00A81BA5">
              <w:rPr>
                <w:b/>
                <w:i/>
              </w:rPr>
              <w:t xml:space="preserve">przyjmowania przepisów wykonawczych, w tym w odniesieniu do rodzajów zadań operacyjnych i strategicznych, które mają zostać zrealizowane, oraz ustaleń dotyczących udziału przedstawicieli i zaproszonych uczestników. </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w:t>
      </w:r>
      <w:r w:rsidRPr="00A81BA5">
        <w:rPr>
          <w:rStyle w:val="HideTWBExt"/>
        </w:rPr>
        <w:t>&gt;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6</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Motyw 9</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rPr>
                <w:b/>
                <w:i/>
              </w:rPr>
              <w:t>(9)</w:t>
            </w:r>
            <w:r w:rsidRPr="00A81BA5">
              <w:rPr>
                <w:b/>
                <w:i/>
              </w:rPr>
              <w:tab/>
              <w:t xml:space="preserve">W celu zwiększenia wsparcia operacyjnego i technicznego w zakresie zapobiegania przemytowi </w:t>
            </w:r>
            <w:r w:rsidRPr="00A81BA5">
              <w:rPr>
                <w:b/>
                <w:i/>
              </w:rPr>
              <w:t>migrantów i handlowi ludźmi oraz zwalczania tych przestępstw Europejskie Centrum Zwalczania Przemytu Migrantów powinno, w zakresie zadań operacyjnych, angażować urzędników łącznikowych z państw członkowskich, Eurojustu i Europejskiej Agencji Straży Granicz</w:t>
            </w:r>
            <w:r w:rsidRPr="00A81BA5">
              <w:rPr>
                <w:b/>
                <w:i/>
              </w:rPr>
              <w:t>nej i Przybrzeżnej, aby zapewnić skuteczną, terminową i systematyczną koordynację i wymianę informacji w obszarze przeciwdziałania przemytowi migrantów i handlu ludźmi na szczeblu Unii, co oznaczać będzie ściślejszą współpracą międzyagencyjną w ramach odpo</w:t>
            </w:r>
            <w:r w:rsidRPr="00A81BA5">
              <w:rPr>
                <w:b/>
                <w:i/>
              </w:rPr>
              <w:t xml:space="preserve">wiednich kompetencji tych podmiotów oraz z państwami członkowskimi. Wszelkie </w:t>
            </w:r>
            <w:r w:rsidRPr="00A81BA5">
              <w:rPr>
                <w:b/>
                <w:i/>
              </w:rPr>
              <w:lastRenderedPageBreak/>
              <w:t xml:space="preserve">niezbędne wsparcie powinny również zapewnić inne odpowiednie struktury wewnętrzne Europolu. Urzędnicy łącznikowi Eurojustu i Europejskiej Agencji Straży Granicznej i Przybrzeżnej </w:t>
            </w:r>
            <w:r w:rsidRPr="00A81BA5">
              <w:rPr>
                <w:b/>
                <w:i/>
              </w:rPr>
              <w:t>powinni być w tym celu oddelegowani do Europolu w charakterze stałych przedstawicieli. Europol powinien mieć możliwość angażowania innych właściwych organów lub agencji Unii, aby w stosownych przypadkach korzystać z wiedzy fachowej w zakresie ich kompetenc</w:t>
            </w:r>
            <w:r w:rsidRPr="00A81BA5">
              <w:rPr>
                <w:b/>
                <w:i/>
              </w:rPr>
              <w:t>ji.</w:t>
            </w:r>
          </w:p>
        </w:tc>
        <w:tc>
          <w:tcPr>
            <w:tcW w:w="4876" w:type="dxa"/>
            <w:hideMark/>
          </w:tcPr>
          <w:p w:rsidR="0018078A" w:rsidRPr="00A81BA5" w:rsidRDefault="00F3635D">
            <w:pPr>
              <w:pStyle w:val="Normal6"/>
              <w:rPr>
                <w:szCs w:val="24"/>
              </w:rPr>
            </w:pPr>
            <w:r w:rsidRPr="00A81BA5">
              <w:rPr>
                <w:b/>
                <w:i/>
              </w:rPr>
              <w:lastRenderedPageBreak/>
              <w:t>skreśla się</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7</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Motyw 11 a (nowy)</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(11a)</w:t>
            </w:r>
            <w:r w:rsidRPr="00A81BA5">
              <w:rPr>
                <w:b/>
                <w:i/>
              </w:rPr>
              <w:tab/>
              <w:t>Biorąc pod uwagę ocenę</w:t>
            </w:r>
            <w:r w:rsidRPr="00A81BA5">
              <w:rPr>
                <w:b/>
                <w:i/>
              </w:rPr>
              <w:t xml:space="preserve"> zaplanowaną zgodnie z art. 23 rozporządzenia Parlamentu Europejskiego i Rady (UE) 2021/784</w:t>
            </w:r>
            <w:r w:rsidRPr="00A81BA5">
              <w:rPr>
                <w:b/>
                <w:i/>
                <w:vertAlign w:val="superscript"/>
              </w:rPr>
              <w:t>1a</w:t>
            </w:r>
            <w:r w:rsidRPr="00A81BA5">
              <w:rPr>
                <w:b/>
                <w:i/>
              </w:rPr>
              <w:t xml:space="preserve"> oraz z myślą o rozwiązaniu szerszego problemu nielegalnych treści w internecie, należy ocenić potrzebę rozszerzenia zakresu nakazów usunięcia na internetowy wymia</w:t>
            </w:r>
            <w:r w:rsidRPr="00A81BA5">
              <w:rPr>
                <w:b/>
                <w:i/>
              </w:rPr>
              <w:t>r przemytu migrantów lub handlu ludźmi, w tym ułatwiania przy użyciu internetu lub podżegania publicznego.</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__________________</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vertAlign w:val="superscript"/>
              </w:rPr>
              <w:t>1a</w:t>
            </w:r>
            <w:r w:rsidRPr="00A81BA5">
              <w:rPr>
                <w:b/>
                <w:i/>
              </w:rPr>
              <w:t xml:space="preserve"> Rozporządzenie Parlamentu Europejskiego i Rady (UE) 2021/784 z dnia 29 kwietnia 2021 r. w sprawie przeciwdziałania rozpowszechnianiu w internecie treści o charakterze terrorystycznym (Dz.U. L 172 z 17.5.2021, s. 79, ELI: http://data.europa.eu/eli/reg/2021</w:t>
            </w:r>
            <w:r w:rsidRPr="00A81BA5">
              <w:rPr>
                <w:b/>
                <w:i/>
              </w:rPr>
              <w:t>/784/oj).</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lastRenderedPageBreak/>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8</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Motyw 13</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t>(13)</w:t>
            </w:r>
            <w:r w:rsidRPr="00A81BA5">
              <w:tab/>
              <w:t xml:space="preserve">Aktywne zaangażowanie państw </w:t>
            </w:r>
            <w:r w:rsidRPr="00A81BA5">
              <w:t>członkowskich i wymiana informacji z Europolem mają kluczowe znaczenie w kontekście zapewnienia kompleksowego i skoordynowanego unijnego podejścia do przeciwdziałania przemytowi migrantów. W celu zwiększenia zdolności państw członkowskich państwa członkows</w:t>
            </w:r>
            <w:r w:rsidRPr="00A81BA5">
              <w:t>kie powinny wyznaczyć służby wyspecjalizowane w przeciwdziałaniu przemytowi migrantów i zapewnić im odpowiednie zasoby na potrzeby zapobiegania przemytowi migrantów i jego zwalczania oraz możliwość prowadzenia z Europolem efektywnej i skutecznej wymiany in</w:t>
            </w:r>
            <w:r w:rsidRPr="00A81BA5">
              <w:t>formacji na temat postępowań przygotowawczych. W celu zharmonizowania wymiany informacji na temat przemytu migrantów między państwami członkowskimi a Europolem, państwa członkowskie powinny zapewnić, aby wyznaczone przez nie służby zajmujące się przeciwdzi</w:t>
            </w:r>
            <w:r w:rsidRPr="00A81BA5">
              <w:t>ałaniem przemytowi migrantów były bezpośrednio połączone z aplikacją SIENA, co ma ułatwić wymianę informacji. Jest to zgodne z dyrektywą Parlamentu Europejskiego i Rady (UE) 2023/977 z dnia 10 maja 2023 r. w sprawie wymiany informacji między organami ściga</w:t>
            </w:r>
            <w:r w:rsidRPr="00A81BA5">
              <w:t xml:space="preserve">nia państw członkowskich i </w:t>
            </w:r>
            <w:r w:rsidRPr="00A81BA5">
              <w:rPr>
                <w:b/>
                <w:i/>
              </w:rPr>
              <w:t>uchylająca</w:t>
            </w:r>
            <w:r w:rsidRPr="00A81BA5">
              <w:t xml:space="preserve"> decyzję ramową Rady 2006/960/WSiSW. Wymianę informacji z Europolem powinni również prowadzić urzędnicy łącznikowi państw członkowskich ds. imigracji oddelegowani do państw trzecich. W tym celu powinni oni być również p</w:t>
            </w:r>
            <w:r w:rsidRPr="00A81BA5">
              <w:t>ołączeni z aplikacją SIENA, co ma zapewnić im możliwość efektywnego i skutecznego prowadzenia wymiany informacji.</w:t>
            </w:r>
          </w:p>
        </w:tc>
        <w:tc>
          <w:tcPr>
            <w:tcW w:w="4876" w:type="dxa"/>
            <w:hideMark/>
          </w:tcPr>
          <w:p w:rsidR="0018078A" w:rsidRPr="00A81BA5" w:rsidRDefault="00F3635D">
            <w:pPr>
              <w:pStyle w:val="Normal6"/>
              <w:rPr>
                <w:szCs w:val="24"/>
              </w:rPr>
            </w:pPr>
            <w:r w:rsidRPr="00A81BA5">
              <w:t>(13)</w:t>
            </w:r>
            <w:r w:rsidRPr="00A81BA5">
              <w:tab/>
              <w:t>Aktywne zaangażowanie państw członkowskich i wymiana informacji z Europolem mają kluczowe znaczenie w kontekście zapewnienia kompleksoweg</w:t>
            </w:r>
            <w:r w:rsidRPr="00A81BA5">
              <w:t>o i skoordynowanego unijnego podejścia do przeciwdziałania przemytowi migrantów. W celu zwiększenia zdolności państw członkowskich państwa członkowskie powinny wyznaczyć służby wyspecjalizowane w przeciwdziałaniu przemytowi migrantów i zapewnić im odpowied</w:t>
            </w:r>
            <w:r w:rsidRPr="00A81BA5">
              <w:t>nie zasoby na potrzeby zapobiegania przemytowi migrantów i jego zwalczania oraz możliwość prowadzenia z Europolem efektywnej i skutecznej wymiany informacji na temat postępowań przygotowawczych.</w:t>
            </w:r>
            <w:r w:rsidRPr="00A81BA5">
              <w:rPr>
                <w:b/>
                <w:i/>
              </w:rPr>
              <w:t xml:space="preserve"> Państwa członkowskie mogą w tym celu wyznaczyć istniejące słu</w:t>
            </w:r>
            <w:r w:rsidRPr="00A81BA5">
              <w:rPr>
                <w:b/>
                <w:i/>
              </w:rPr>
              <w:t>żby.</w:t>
            </w:r>
            <w:r w:rsidRPr="00A81BA5">
              <w:t xml:space="preserve"> W celu zharmonizowania wymiany informacji na temat przemytu migrantów między państwami członkowskimi a Europolem, państwa członkowskie powinny zapewnić, aby wyznaczone przez nie służby zajmujące się przeciwdziałaniem przemytowi migrantów były </w:t>
            </w:r>
            <w:r w:rsidRPr="00A81BA5">
              <w:t xml:space="preserve">bezpośrednio połączone z aplikacją SIENA, co ma ułatwić wymianę informacji. Jest to zgodne z dyrektywą Parlamentu Europejskiego i Rady (UE) 2023/977 z dnia 10 maja 2023 r. w sprawie wymiany informacji między organami ścigania państw członkowskich i </w:t>
            </w:r>
            <w:r w:rsidRPr="00A81BA5">
              <w:rPr>
                <w:b/>
                <w:i/>
              </w:rPr>
              <w:t>uchylaj</w:t>
            </w:r>
            <w:r w:rsidRPr="00A81BA5">
              <w:rPr>
                <w:b/>
                <w:i/>
              </w:rPr>
              <w:t>ącą</w:t>
            </w:r>
            <w:r w:rsidRPr="00A81BA5">
              <w:t xml:space="preserve"> decyzję ramową Rady 2006/960/WSiSW. Wymianę informacji z Europolem powinni również prowadzić urzędnicy łącznikowi państw członkowskich ds. imigracji oddelegowani do państw trzecich. W tym celu powinni oni być również połączeni z aplikacją SIENA, co ma </w:t>
            </w:r>
            <w:r w:rsidRPr="00A81BA5">
              <w:t xml:space="preserve">zapewnić im możliwość efektywnego i skutecznego prowadzenia </w:t>
            </w:r>
            <w:r w:rsidRPr="00A81BA5">
              <w:lastRenderedPageBreak/>
              <w:t>wymiany informacji</w:t>
            </w:r>
            <w:r w:rsidRPr="00A81BA5">
              <w:rPr>
                <w:b/>
                <w:i/>
              </w:rPr>
              <w:t>, o której mowa w ust. 1</w:t>
            </w:r>
            <w:r w:rsidRPr="00A81BA5">
              <w:t>.</w:t>
            </w:r>
          </w:p>
        </w:tc>
      </w:tr>
    </w:tbl>
    <w:p w:rsidR="0018078A" w:rsidRPr="00A81BA5" w:rsidRDefault="00F3635D" w:rsidP="0018078A">
      <w:pPr>
        <w:pStyle w:val="Olang"/>
      </w:pPr>
      <w:r w:rsidRPr="00A81BA5">
        <w:lastRenderedPageBreak/>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Wyjaśnienie, że nie ma potrzeby tworzenia dodatkowych struktur, jeżeli takie już is</w:t>
      </w:r>
      <w:r w:rsidRPr="00A81BA5">
        <w:t>tnieją.</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9</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Motyw 14 a (nowy)</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(14a)</w:t>
            </w:r>
            <w:r w:rsidRPr="00A81BA5">
              <w:rPr>
                <w:b/>
                <w:i/>
              </w:rPr>
              <w:tab/>
              <w:t xml:space="preserve">Skuteczna i wydajna wymiana, porównywanie i analiza danych </w:t>
            </w:r>
            <w:r w:rsidRPr="00A81BA5">
              <w:rPr>
                <w:b/>
                <w:i/>
              </w:rPr>
              <w:t>biometrycznych poprawi wykrywanie oszustw dotyczących tożsamości oraz zapobieganie przestępczości i jej zwalczanie. W związku z tym należy zapewnić wyraźniejsze uwzględnienie przetwarzania danych biometrycznych jako części zadań Europolu w ramach wspierani</w:t>
            </w:r>
            <w:r w:rsidRPr="00A81BA5">
              <w:rPr>
                <w:b/>
                <w:i/>
              </w:rPr>
              <w:t>a państw członkowskich.</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10</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Motyw 15</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t>(15)</w:t>
            </w:r>
            <w:r w:rsidRPr="00A81BA5">
              <w:tab/>
              <w:t xml:space="preserve">Aby zapobiegać </w:t>
            </w:r>
            <w:r w:rsidRPr="00A81BA5">
              <w:t>transgranicznej poważnej przestępczości zorganizowanej i terroryzmowi, wykrywać takie przestępstwa i prowadzić w ich sprawie postępowania przygotowawcze, konieczna jest koordynacja i wspólne działania. Oprócz możliwości powołania przez państwo członkowskie</w:t>
            </w:r>
            <w:r w:rsidRPr="00A81BA5">
              <w:t xml:space="preserve"> wspólnego zespołu dochodzeniowo-śledczego zgodnie z decyzją ramową Rady z dnia 13 czerwca </w:t>
            </w:r>
            <w:r w:rsidRPr="00A81BA5">
              <w:lastRenderedPageBreak/>
              <w:t>2002 r. należy zapewnić możliwość powołania przez państwa członkowskie operacyjnej grupy zadaniowej w celu zwiększenia współpracy organów ścigania przy wsparciu ze s</w:t>
            </w:r>
            <w:r w:rsidRPr="00A81BA5">
              <w:t>trony Europolu. Dzięki temu mechanizmowi koordynacji między organami policyjnymi państw członkowskich a innymi organami ścigania powinny one być w stanie – przy wsparciu ze strony Europolu – prowadzić wspólne, skoordynowane i ukierunkowane działania w zakr</w:t>
            </w:r>
            <w:r w:rsidRPr="00A81BA5">
              <w:t>esie wywiadu kryminalnego i postępowania przygotowawcze w szczególności dotyczące siatek i grup przestępczych oraz pojedynczych podmiotów przestępczych, w tym osób stanowiących duże zagrożenie dla bezpieczeństwa i prowadzących działalność przestępczą zalic</w:t>
            </w:r>
            <w:r w:rsidRPr="00A81BA5">
              <w:t>zaną do form przestępczości, w odniesieniu do których Europol jest właściwy. Aby zapewnić prawidłowe funkcjonowanie i skuteczność tego mechanizmu, państwa członkowskie, które tworzą operacyjną grupę zadaniową, uczestniczą w niej lub ją wspierają, powinny b</w:t>
            </w:r>
            <w:r w:rsidRPr="00A81BA5">
              <w:t>yć w stanie zapewnić minimalny zestaw wymogów dotyczących ich aktywnego i terminowego zaangażowania, takich jak wymóg przekazywania Europolowi wszystkich istotnych informacji</w:t>
            </w:r>
            <w:r w:rsidRPr="00A81BA5">
              <w:rPr>
                <w:b/>
                <w:i/>
              </w:rPr>
              <w:t>, a </w:t>
            </w:r>
            <w:r w:rsidRPr="00A81BA5">
              <w:t>Europol powinien</w:t>
            </w:r>
            <w:r w:rsidRPr="00A81BA5">
              <w:rPr>
                <w:b/>
                <w:i/>
              </w:rPr>
              <w:t xml:space="preserve"> móc</w:t>
            </w:r>
            <w:r w:rsidRPr="00A81BA5">
              <w:t xml:space="preserve"> udzielać tym państwom członkowskim swojego zaawansowanego</w:t>
            </w:r>
            <w:r w:rsidRPr="00A81BA5">
              <w:t xml:space="preserve"> wsparcia analitycznego, operacyjnego, technicznego, kryminalistycznego i finansowego. Państwa trzecie powinny mieć możliwość uczestniczenia w operacyjnej grupie zadaniowej lub jej wspierania.</w:t>
            </w:r>
          </w:p>
        </w:tc>
        <w:tc>
          <w:tcPr>
            <w:tcW w:w="4876" w:type="dxa"/>
            <w:hideMark/>
          </w:tcPr>
          <w:p w:rsidR="0018078A" w:rsidRPr="00A81BA5" w:rsidRDefault="00F3635D" w:rsidP="00440502">
            <w:pPr>
              <w:pStyle w:val="Normal6"/>
              <w:rPr>
                <w:szCs w:val="24"/>
              </w:rPr>
            </w:pPr>
            <w:r w:rsidRPr="00A81BA5">
              <w:lastRenderedPageBreak/>
              <w:t>(15)</w:t>
            </w:r>
            <w:r w:rsidRPr="00A81BA5">
              <w:tab/>
              <w:t>Aby zapobiegać transgranicznej poważnej przestępczości zor</w:t>
            </w:r>
            <w:r w:rsidRPr="00A81BA5">
              <w:t xml:space="preserve">ganizowanej i terroryzmowi, wykrywać takie przestępstwa i prowadzić w ich sprawie postępowania przygotowawcze, konieczna jest koordynacja i wspólne działania. Oprócz możliwości powołania przez państwo członkowskie wspólnego zespołu dochodzeniowo-śledczego </w:t>
            </w:r>
            <w:r w:rsidRPr="00A81BA5">
              <w:t xml:space="preserve">zgodnie z decyzją ramową Rady z dnia 13 czerwca </w:t>
            </w:r>
            <w:r w:rsidRPr="00A81BA5">
              <w:lastRenderedPageBreak/>
              <w:t>2002 r. należy zapewnić możliwość powołania przez państwa członkowskie operacyjnej grupy zadaniowej w celu zwiększenia współpracy organów ścigania przy wsparciu ze strony Europolu. Dzięki temu mechanizmowi ko</w:t>
            </w:r>
            <w:r w:rsidRPr="00A81BA5">
              <w:t>ordynacji między organami policyjnymi państw członkowskich a innymi organami ścigania powinny one być w stanie – przy wsparciu ze strony Europolu – prowadzić wspólne, skoordynowane i ukierunkowane działania w zakresie wywiadu kryminalnego i postępowania pr</w:t>
            </w:r>
            <w:r w:rsidRPr="00A81BA5">
              <w:t xml:space="preserve">zygotowawcze w szczególności dotyczące siatek i grup przestępczych oraz pojedynczych podmiotów przestępczych, w tym osób stanowiących duże zagrożenie dla bezpieczeństwa i prowadzących działalność przestępczą zaliczaną do form przestępczości, w odniesieniu </w:t>
            </w:r>
            <w:r w:rsidRPr="00A81BA5">
              <w:t xml:space="preserve">do których Europol jest właściwy. </w:t>
            </w:r>
            <w:r w:rsidRPr="00A81BA5">
              <w:rPr>
                <w:b/>
                <w:i/>
              </w:rPr>
              <w:t>Ważne jest zapewnienie, aby operacyjna grupa zadaniowa była elastycznym i skutecznym mechanizmem operacyjnym. W związku z tym szczegółowe przepisy dotyczące jej wdrażania powinny zostać przyjęte przez zarząd na podstawie w</w:t>
            </w:r>
            <w:r w:rsidRPr="00A81BA5">
              <w:rPr>
                <w:b/>
                <w:i/>
              </w:rPr>
              <w:t xml:space="preserve">niosku dyrektora wykonawczego. Taka operacyjna grupa zadaniowa może inicjować określone specjalne działania i dochodzenia w zakresie wywiadu kryminalnego lub równoległe dochodzenia finansowe, zgodnie z prawem krajowym i prawem Unii, w celu identyfikacji i </w:t>
            </w:r>
            <w:r w:rsidRPr="00A81BA5">
              <w:rPr>
                <w:b/>
                <w:i/>
              </w:rPr>
              <w:t>zajęcia mienia pochodzącego z działalności przestępczej.</w:t>
            </w:r>
            <w:r w:rsidRPr="00A81BA5">
              <w:t xml:space="preserve"> Aby zapewnić prawidłowe funkcjonowanie i skuteczność tego mechanizmu, państwa członkowskie, które tworzą operacyjną grupę zadaniową, uczestniczą w niej lub ją wspierają, powinny być w stanie zapewnić</w:t>
            </w:r>
            <w:r w:rsidRPr="00A81BA5">
              <w:t xml:space="preserve"> minimalny zestaw wymogów dotyczących ich aktywnego i terminowego zaangażowania, takich jak wymóg przekazywania Europolowi </w:t>
            </w:r>
            <w:r w:rsidRPr="00A81BA5">
              <w:rPr>
                <w:b/>
                <w:i/>
              </w:rPr>
              <w:t xml:space="preserve">i innym uczestniczącym państwom członkowskim </w:t>
            </w:r>
            <w:r w:rsidRPr="00A81BA5">
              <w:t>wszystkich istotnych informacji</w:t>
            </w:r>
            <w:r w:rsidRPr="00A81BA5">
              <w:rPr>
                <w:b/>
                <w:i/>
              </w:rPr>
              <w:t>.</w:t>
            </w:r>
            <w:r w:rsidRPr="00A81BA5">
              <w:t xml:space="preserve"> Europol powinien udzielać tym państwom członkowskim swo</w:t>
            </w:r>
            <w:r w:rsidRPr="00A81BA5">
              <w:t xml:space="preserve">jego zaawansowanego wsparcia analitycznego, operacyjnego, technicznego, kryminalistycznego </w:t>
            </w:r>
            <w:r w:rsidRPr="00A81BA5">
              <w:lastRenderedPageBreak/>
              <w:t>i finansowego. Państwa trzecie powinny mieć możliwość uczestniczenia w operacyjnej grupie zadaniowej lub jej wspierania.</w:t>
            </w:r>
          </w:p>
        </w:tc>
      </w:tr>
    </w:tbl>
    <w:p w:rsidR="0018078A" w:rsidRPr="00A81BA5" w:rsidRDefault="00F3635D" w:rsidP="0018078A">
      <w:pPr>
        <w:pStyle w:val="Olang"/>
      </w:pPr>
      <w:r w:rsidRPr="00A81BA5">
        <w:lastRenderedPageBreak/>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11</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Motyw 17</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t>(17)</w:t>
            </w:r>
            <w:r w:rsidRPr="00A81BA5">
              <w:tab/>
              <w:t>Europol powinien być w stanie rozmieszczać pracowników w tym oddelegowanych ekspertów kraj</w:t>
            </w:r>
            <w:r w:rsidRPr="00A81BA5">
              <w:t>owych zgodnie z rozporządzeniem (UE) 2016/794 na terytorium państwa członkowskiego na wniosek tego państwa członkowskiego w celu udzielania wsparcia analitycznego, operacyjnego, technicznego i kryminalistycznego w porozumieniu z właściwymi organami tego pa</w:t>
            </w:r>
            <w:r w:rsidRPr="00A81BA5">
              <w:t>ństwa członkowskiego i za ich zgodą. Takie rozmieszczanie powinno odbywać się w szczególności w kontekście złożonych, zakrojonych na szeroką skalę priorytetowych postępowań przygotowawczych, w tym w kontekście wspólnych zespołów dochodzeniowo-śledczych, w </w:t>
            </w:r>
            <w:r w:rsidRPr="00A81BA5">
              <w:t>stosownych przypadkach w porozumieniu z Eurojustem, lub operacyjnych grup zadaniowych. W ramach tych rozmieszczeń należy również wspierać dalsze kontrole bezpieczeństwa z wykorzystaniem baz danych Europolu lub krajowych baz danych w celu ułatwienia szybkie</w:t>
            </w:r>
            <w:r w:rsidRPr="00A81BA5">
              <w:t>j wymiany informacji z myślą o wzmocnieniu kontroli na granicach zewnętrznych Unii (dodatkowe kontrole bezpieczeństwa), lub zespoły wspierające zarządzanie migracjami zgodnie z rozporządzeniem Parlamentu Europejskiego i Rady (UE) 2019/1896</w:t>
            </w:r>
            <w:r w:rsidRPr="00A81BA5">
              <w:rPr>
                <w:vertAlign w:val="superscript"/>
              </w:rPr>
              <w:t>2</w:t>
            </w:r>
            <w:r w:rsidRPr="00A81BA5">
              <w:t xml:space="preserve">. Europol </w:t>
            </w:r>
            <w:r w:rsidRPr="00A81BA5">
              <w:t xml:space="preserve">powinien również korzystać z tych rozmieszczeń, aby wspierać państwa </w:t>
            </w:r>
            <w:r w:rsidRPr="00A81BA5">
              <w:lastRenderedPageBreak/>
              <w:t>członkowskie w związku z ważnymi wydarzeniami międzynarodowymi. Europol powinien również mieć możliwość rozmieszczania pracowników i oddelegowanych ekspertów krajowych w państwach trzecic</w:t>
            </w:r>
            <w:r w:rsidRPr="00A81BA5">
              <w:t>h, z którymi współpracuje na podstawie decyzji stwierdzającej odpowiedni stopień ochrony, umowy międzynarodowej zawartej między Unią a tym państwem trzecim na podstawie art. 218 TFUE lub umowy o współpracy między Europolem a tym państwem trzecim zawartej p</w:t>
            </w:r>
            <w:r w:rsidRPr="00A81BA5">
              <w:t>rzed dniem 1 maja 2017 r.</w:t>
            </w:r>
          </w:p>
        </w:tc>
        <w:tc>
          <w:tcPr>
            <w:tcW w:w="4876" w:type="dxa"/>
            <w:hideMark/>
          </w:tcPr>
          <w:p w:rsidR="0018078A" w:rsidRPr="00A81BA5" w:rsidRDefault="00F3635D">
            <w:pPr>
              <w:pStyle w:val="Normal6"/>
              <w:rPr>
                <w:szCs w:val="24"/>
              </w:rPr>
            </w:pPr>
            <w:r w:rsidRPr="00A81BA5">
              <w:lastRenderedPageBreak/>
              <w:t>(17)</w:t>
            </w:r>
            <w:r w:rsidRPr="00A81BA5">
              <w:tab/>
              <w:t xml:space="preserve">Europol powinien być w stanie rozmieszczać pracowników w tym oddelegowanych ekspertów krajowych zgodnie z rozporządzeniem (UE) 2016/794 na terytorium państwa członkowskiego </w:t>
            </w:r>
            <w:r w:rsidRPr="00A81BA5">
              <w:rPr>
                <w:b/>
                <w:i/>
              </w:rPr>
              <w:t xml:space="preserve">lub państwa trzeciego </w:t>
            </w:r>
            <w:r w:rsidRPr="00A81BA5">
              <w:t>na wniosek tego państwa członk</w:t>
            </w:r>
            <w:r w:rsidRPr="00A81BA5">
              <w:t>owskiego</w:t>
            </w:r>
            <w:r w:rsidRPr="00A81BA5">
              <w:rPr>
                <w:b/>
                <w:i/>
              </w:rPr>
              <w:t xml:space="preserve"> lub państwa trzeciego</w:t>
            </w:r>
            <w:r w:rsidRPr="00A81BA5">
              <w:t xml:space="preserve"> w celu udzielania wsparcia analitycznego, operacyjnego, technicznego i kryminalistycznego w porozumieniu z właściwymi organami tego państwa członkowskiego </w:t>
            </w:r>
            <w:r w:rsidRPr="00A81BA5">
              <w:rPr>
                <w:b/>
                <w:i/>
              </w:rPr>
              <w:t xml:space="preserve">lub państwa trzeciego </w:t>
            </w:r>
            <w:r w:rsidRPr="00A81BA5">
              <w:t>i za ich zgodą. Takie rozmieszczanie powinno</w:t>
            </w:r>
            <w:r w:rsidRPr="00A81BA5">
              <w:rPr>
                <w:b/>
                <w:i/>
              </w:rPr>
              <w:t xml:space="preserve"> poz</w:t>
            </w:r>
            <w:r w:rsidRPr="00A81BA5">
              <w:rPr>
                <w:b/>
                <w:i/>
              </w:rPr>
              <w:t>ostawać elastycznym narzędziem i</w:t>
            </w:r>
            <w:r w:rsidRPr="00A81BA5">
              <w:t xml:space="preserve"> odbywać się w szczególności w kontekście złożonych, zakrojonych na szeroką skalę priorytetowych postępowań przygotowawczych, w tym w kontekście wspólnych zespołów dochodzeniowo-śledczych, w stosownych przypadkach w porozumi</w:t>
            </w:r>
            <w:r w:rsidRPr="00A81BA5">
              <w:t>eniu z Eurojustem, lub operacyjnych grup zadaniowych. W ramach tych rozmieszczeń należy również wspierać dalsze kontrole bezpieczeństwa z wykorzystaniem baz danych Europolu lub krajowych baz danych w celu ułatwienia szybkiej wymiany informacji z myślą o wz</w:t>
            </w:r>
            <w:r w:rsidRPr="00A81BA5">
              <w:t>mocnieniu kontroli na granicach zewnętrznych Unii (dodatkowe kontrole bezpieczeństwa), lub zespoły wspierające zarządzanie migracjami zgodnie z rozporządzeniem Parlamentu Europejskiego i Rady (UE) 2019/1896</w:t>
            </w:r>
            <w:r w:rsidRPr="00A81BA5">
              <w:rPr>
                <w:vertAlign w:val="superscript"/>
              </w:rPr>
              <w:t>2</w:t>
            </w:r>
            <w:r w:rsidRPr="00A81BA5">
              <w:t xml:space="preserve">. </w:t>
            </w:r>
            <w:r w:rsidRPr="00A81BA5">
              <w:lastRenderedPageBreak/>
              <w:t>Europol powinien również korzystać z tych rozmi</w:t>
            </w:r>
            <w:r w:rsidRPr="00A81BA5">
              <w:t xml:space="preserve">eszczeń, aby wspierać państwa członkowskie w związku z ważnymi wydarzeniami międzynarodowymi. Europol powinien również mieć możliwość rozmieszczania pracowników i oddelegowanych ekspertów krajowych w państwach trzecich, z którymi współpracuje na podstawie </w:t>
            </w:r>
            <w:r w:rsidRPr="00A81BA5">
              <w:t>decyzji stwierdzającej odpowiedni stopień ochrony, umowy międzynarodowej zawartej między Unią a tym państwem trzecim na podstawie art. 218 TFUE lub umowy o współpracy między Europolem a tym państwem trzecim zawartej przed dniem 1 maja 2017 r.</w:t>
            </w:r>
          </w:p>
        </w:tc>
      </w:tr>
      <w:tr w:rsidR="00DA3A2C" w:rsidRPr="00A81BA5" w:rsidTr="0018078A">
        <w:trPr>
          <w:jc w:val="center"/>
        </w:trPr>
        <w:tc>
          <w:tcPr>
            <w:tcW w:w="4876" w:type="dxa"/>
            <w:hideMark/>
          </w:tcPr>
          <w:p w:rsidR="0018078A" w:rsidRPr="00A81BA5" w:rsidRDefault="00F3635D">
            <w:pPr>
              <w:pStyle w:val="Normal6"/>
            </w:pPr>
            <w:r w:rsidRPr="00A81BA5">
              <w:lastRenderedPageBreak/>
              <w:t>____________</w:t>
            </w:r>
            <w:r w:rsidRPr="00A81BA5">
              <w:t>______</w:t>
            </w:r>
          </w:p>
        </w:tc>
        <w:tc>
          <w:tcPr>
            <w:tcW w:w="4876" w:type="dxa"/>
            <w:hideMark/>
          </w:tcPr>
          <w:p w:rsidR="0018078A" w:rsidRPr="00A81BA5" w:rsidRDefault="00F3635D">
            <w:pPr>
              <w:pStyle w:val="Normal6"/>
              <w:rPr>
                <w:szCs w:val="24"/>
              </w:rPr>
            </w:pPr>
            <w:r w:rsidRPr="00A81BA5">
              <w:t>__________________</w:t>
            </w:r>
          </w:p>
        </w:tc>
      </w:tr>
      <w:tr w:rsidR="00DA3A2C" w:rsidRPr="00A81BA5" w:rsidTr="0018078A">
        <w:trPr>
          <w:jc w:val="center"/>
        </w:trPr>
        <w:tc>
          <w:tcPr>
            <w:tcW w:w="4876" w:type="dxa"/>
            <w:hideMark/>
          </w:tcPr>
          <w:p w:rsidR="0018078A" w:rsidRPr="00A81BA5" w:rsidRDefault="00F3635D">
            <w:pPr>
              <w:pStyle w:val="Normal6"/>
            </w:pPr>
            <w:r w:rsidRPr="00A81BA5">
              <w:rPr>
                <w:vertAlign w:val="superscript"/>
              </w:rPr>
              <w:t>2</w:t>
            </w:r>
            <w:r w:rsidRPr="00A81BA5">
              <w:t xml:space="preserve"> Rozporządzenie Parlamentu Europejskiego i Rady (UE) 2019/1896 z dnia 13 listopada 2019 r. w sprawie Europejskiej Straży Granicznej i Przybrzeżnej oraz uchylenia rozporządzeń (UE) nr 1052/2013 i (UE) 2016/1624 (Dz.U. L 295 z 14.11.2019, s. 1, ELI: https://</w:t>
            </w:r>
            <w:r w:rsidRPr="00A81BA5">
              <w:t>eur-lex.europa.eu/eli/reg/2019/1896/oj?locale=pl).</w:t>
            </w:r>
          </w:p>
        </w:tc>
        <w:tc>
          <w:tcPr>
            <w:tcW w:w="4876" w:type="dxa"/>
            <w:hideMark/>
          </w:tcPr>
          <w:p w:rsidR="0018078A" w:rsidRPr="00A81BA5" w:rsidRDefault="00F3635D">
            <w:pPr>
              <w:pStyle w:val="Normal6"/>
              <w:rPr>
                <w:szCs w:val="24"/>
              </w:rPr>
            </w:pPr>
            <w:r w:rsidRPr="00A81BA5">
              <w:rPr>
                <w:vertAlign w:val="superscript"/>
              </w:rPr>
              <w:t>2</w:t>
            </w:r>
            <w:r w:rsidRPr="00A81BA5">
              <w:t xml:space="preserve"> Rozporządzenie Parlamentu Europejskiego i Rady (UE) 2019/1896 z dnia 13 listopada 2019 r. w sprawie Europejskiej Straży Granicznej i Przybrzeżnej oraz uchylenia rozporządzeń (UE) nr 1052/2013 i (UE) 2016</w:t>
            </w:r>
            <w:r w:rsidRPr="00A81BA5">
              <w:t>/1624 (Dz.U. L 295 z 14.11.2019, s. 1, ELI: https://eur-lex.europa.eu/eli/reg/2019/1896/oj?locale=pl).</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12</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Motyw 19</w:t>
      </w:r>
      <w:r w:rsidRPr="00A81BA5">
        <w:rPr>
          <w:rStyle w:val="HideTWBExt"/>
          <w:b w:val="0"/>
        </w:rPr>
        <w:t>&lt;/Art</w:t>
      </w:r>
      <w:r w:rsidRPr="00A81BA5">
        <w:rPr>
          <w:rStyle w:val="HideTWBExt"/>
          <w:b w:val="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t>(19)</w:t>
            </w:r>
            <w:r w:rsidRPr="00A81BA5">
              <w:tab/>
              <w:t xml:space="preserve">Co więcej, w kontekście rozmieszczania pracowników Europolu w ramach wsparcia operacyjnego Europol powinien utworzyć rezerwę wysoko wykwalifikowanych ekspertów w zakresie ścigania przestępstw z państw </w:t>
            </w:r>
            <w:r w:rsidRPr="00A81BA5">
              <w:t xml:space="preserve">członkowskich o specjalistycznych profilach, którzy mogą zostać niezwłocznie oddani do dyspozycji Europolu w celu rozmieszczenia operacyjnego z myślą </w:t>
            </w:r>
            <w:r w:rsidRPr="00A81BA5">
              <w:lastRenderedPageBreak/>
              <w:t>o zapewnieniu specjalistycznego wsparcia. W skład rezerwy ekspertów powinni wchodzić specjaliści w dziedzi</w:t>
            </w:r>
            <w:r w:rsidRPr="00A81BA5">
              <w:t>nie analizy kryminalnej, kryminalistyki, postępowań przygotowawczych, języków i koordynacji. Państwa członkowskie powinny zapewnić dyspozycyjność swoich ekspertów do celów udziału w rozmieszczeniu pracowników Europolu w ramach wsparcia operacyjnego w chara</w:t>
            </w:r>
            <w:r w:rsidRPr="00A81BA5">
              <w:t xml:space="preserve">kterze oddelegowanych ekspertów krajowych na żądanie Europolu. </w:t>
            </w:r>
            <w:r w:rsidRPr="00A81BA5">
              <w:rPr>
                <w:b/>
                <w:i/>
              </w:rPr>
              <w:t>Obowiązek ten</w:t>
            </w:r>
            <w:r w:rsidRPr="00A81BA5">
              <w:t xml:space="preserve"> nie </w:t>
            </w:r>
            <w:r w:rsidRPr="00A81BA5">
              <w:rPr>
                <w:b/>
                <w:i/>
              </w:rPr>
              <w:t>powinien</w:t>
            </w:r>
            <w:r w:rsidRPr="00A81BA5">
              <w:t xml:space="preserve"> mieć zastosowania do państw trzecich, w których Europol rozmieszcza pracowników i oddelegowanych ekspertów krajowych do celów wsparcia operacyjnego.</w:t>
            </w:r>
          </w:p>
        </w:tc>
        <w:tc>
          <w:tcPr>
            <w:tcW w:w="4876" w:type="dxa"/>
            <w:hideMark/>
          </w:tcPr>
          <w:p w:rsidR="0018078A" w:rsidRPr="00A81BA5" w:rsidRDefault="00F3635D">
            <w:pPr>
              <w:pStyle w:val="Normal6"/>
              <w:rPr>
                <w:szCs w:val="24"/>
              </w:rPr>
            </w:pPr>
            <w:r w:rsidRPr="00A81BA5">
              <w:lastRenderedPageBreak/>
              <w:t>(19)</w:t>
            </w:r>
            <w:r w:rsidRPr="00A81BA5">
              <w:tab/>
              <w:t>Co więcej, w</w:t>
            </w:r>
            <w:r w:rsidRPr="00A81BA5">
              <w:t> kontekście rozmieszczania pracowników Europolu w ramach wsparcia operacyjnego Europol powinien utworzyć rezerwę wysoko wykwalifikowanych ekspertów w zakresie ścigania przestępstw z państw członkowskich o specjalistycznych profilach, którzy mogą zostać nie</w:t>
            </w:r>
            <w:r w:rsidRPr="00A81BA5">
              <w:t xml:space="preserve">zwłocznie oddani do dyspozycji Europolu w celu rozmieszczenia operacyjnego z myślą </w:t>
            </w:r>
            <w:r w:rsidRPr="00A81BA5">
              <w:lastRenderedPageBreak/>
              <w:t>o zapewnieniu specjalistycznego wsparcia. W skład rezerwy ekspertów powinni wchodzić specjaliści w dziedzinie analizy kryminalnej, kryminalistyki, postępowań przygotowawczyc</w:t>
            </w:r>
            <w:r w:rsidRPr="00A81BA5">
              <w:t xml:space="preserve">h, języków i koordynacji. Państwa członkowskie powinny </w:t>
            </w:r>
            <w:r w:rsidRPr="00A81BA5">
              <w:rPr>
                <w:b/>
                <w:i/>
              </w:rPr>
              <w:t xml:space="preserve">w związku z tym </w:t>
            </w:r>
            <w:r w:rsidRPr="00A81BA5">
              <w:t xml:space="preserve">zapewnić dyspozycyjność swoich ekspertów do celów udziału w rozmieszczeniu pracowników Europolu w ramach wsparcia operacyjnego w charakterze oddelegowanych ekspertów krajowych na </w:t>
            </w:r>
            <w:r w:rsidRPr="00A81BA5">
              <w:t>żądanie Europolu</w:t>
            </w:r>
            <w:r w:rsidRPr="00A81BA5">
              <w:rPr>
                <w:b/>
                <w:i/>
              </w:rPr>
              <w:t>, a jednocześnie uwzględniać dostępne zasoby właściwych organów państw członkowskich</w:t>
            </w:r>
            <w:r w:rsidRPr="00A81BA5">
              <w:t xml:space="preserve">. </w:t>
            </w:r>
            <w:r w:rsidRPr="00A81BA5">
              <w:rPr>
                <w:b/>
                <w:i/>
              </w:rPr>
              <w:t>Aby osiągnąć zrównoważony pod względem geograficznym i proporcjonalny skład rezerwy, państwa członkowskie powinny również zapewnić, aby ich właściwe organ</w:t>
            </w:r>
            <w:r w:rsidRPr="00A81BA5">
              <w:rPr>
                <w:b/>
                <w:i/>
              </w:rPr>
              <w:t>y dysponowały wystarczającymi zasobami, by zrealizować swój sprawiedliwy udział we wkładach do rezerwy, proporcjonalnie do ich zdolności i potrzeb operacyjnych. Obowiązki te</w:t>
            </w:r>
            <w:r w:rsidRPr="00A81BA5">
              <w:t xml:space="preserve"> nie </w:t>
            </w:r>
            <w:r w:rsidRPr="00A81BA5">
              <w:rPr>
                <w:b/>
                <w:i/>
              </w:rPr>
              <w:t>powinny</w:t>
            </w:r>
            <w:r w:rsidRPr="00A81BA5">
              <w:t xml:space="preserve"> mieć zastosowania do państw trzecich, w których Europol rozmieszcza pr</w:t>
            </w:r>
            <w:r w:rsidRPr="00A81BA5">
              <w:t>acowników i oddelegowanych ekspertów krajowych do celów wsparcia operacyjnego.</w:t>
            </w:r>
          </w:p>
        </w:tc>
      </w:tr>
    </w:tbl>
    <w:p w:rsidR="0018078A" w:rsidRPr="00A81BA5" w:rsidRDefault="00F3635D" w:rsidP="0018078A">
      <w:pPr>
        <w:pStyle w:val="Olang"/>
      </w:pPr>
      <w:r w:rsidRPr="00A81BA5">
        <w:lastRenderedPageBreak/>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13</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Motyw 19 a (nowy)</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 xml:space="preserve">Tekst </w:t>
            </w:r>
            <w:r w:rsidRPr="00A81BA5">
              <w:t>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(19a)</w:t>
            </w:r>
            <w:r w:rsidRPr="00A81BA5">
              <w:rPr>
                <w:b/>
                <w:i/>
              </w:rPr>
              <w:tab/>
              <w:t>W ramach swoich zadań Europol może wspierać i wzmacniać działania podejmowane przez właściwe organy państw członkowskich. Wsparcie to obejmuje koordynację, organizację i realizację działań dochodzeniowych i operac</w:t>
            </w:r>
            <w:r w:rsidRPr="00A81BA5">
              <w:rPr>
                <w:b/>
                <w:i/>
              </w:rPr>
              <w:t xml:space="preserve">yjnych, analizę operacyjną, a także inne wsparcie analityczne, kryminalistyczne lub techniczne. Jeżeli </w:t>
            </w:r>
            <w:r w:rsidRPr="00A81BA5">
              <w:rPr>
                <w:b/>
                <w:i/>
              </w:rPr>
              <w:lastRenderedPageBreak/>
              <w:t>wymaga tego krajowe postępowanie karne i dopuszcza to prawo krajowe, powinna istnieć możliwość wezwania pracowników Europolu do składania zeznań w charak</w:t>
            </w:r>
            <w:r w:rsidRPr="00A81BA5">
              <w:rPr>
                <w:b/>
                <w:i/>
              </w:rPr>
              <w:t>terze świadków w takim postępowaniu, zgodnie z Protokołem nr 7 w sprawie przywilejów i immunitetów Unii Europejskiej, a także z obowiązkiem dyskrecji i poufności nałożonym na pracowników Europolu na mocy regulaminu pracowniczego urzędników Unii Europejskie</w:t>
            </w:r>
            <w:r w:rsidRPr="00A81BA5">
              <w:rPr>
                <w:b/>
                <w:i/>
              </w:rPr>
              <w:t>j („regulamin pracowniczy”) i warunków zatrudnienia innych pracowników Unii Europejskiej („warunki zatrudnienia innych pracowników”) określonych w rozporządzeniu Rady (EWG, Euratom, EWWiS) nr 259/68</w:t>
            </w:r>
            <w:r w:rsidRPr="00A81BA5">
              <w:rPr>
                <w:b/>
                <w:i/>
                <w:vertAlign w:val="superscript"/>
              </w:rPr>
              <w:t>1a</w:t>
            </w:r>
            <w:r w:rsidRPr="00A81BA5">
              <w:rPr>
                <w:b/>
                <w:i/>
              </w:rPr>
              <w:t>.</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__________________</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vertAlign w:val="superscript"/>
              </w:rPr>
              <w:t>1a</w:t>
            </w:r>
            <w:r w:rsidRPr="00A81BA5">
              <w:t xml:space="preserve"> </w:t>
            </w:r>
            <w:r w:rsidRPr="00A81BA5">
              <w:rPr>
                <w:b/>
                <w:i/>
              </w:rPr>
              <w:t>Dz.U. L 56 z 4.3.1968, s. 1,</w:t>
            </w:r>
            <w:r w:rsidRPr="00A81BA5">
              <w:rPr>
                <w:b/>
                <w:i/>
              </w:rPr>
              <w:t xml:space="preserve"> ELI: http://data.europa.eu/eli/reg/1968/259(1)/oj</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14</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Motyw 19 b (nowy)</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(19b)</w:t>
            </w:r>
            <w:r w:rsidRPr="00A81BA5">
              <w:rPr>
                <w:b/>
                <w:i/>
              </w:rPr>
              <w:tab/>
              <w:t xml:space="preserve">Europol podlega ogólnym przepisom dotyczącym odpowiedzialności umownej i pozaumownej, obowiązującym unijne instytucje, agencje, urzędy i organy. Europol powinien również ponosić odpowiedzialność za nieuprawnione lub nieprawidłowe </w:t>
            </w:r>
            <w:r w:rsidRPr="00A81BA5">
              <w:rPr>
                <w:b/>
                <w:i/>
              </w:rPr>
              <w:t>przetwarzanie danych.</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Dostosowanie obowiązujących przepisów dotyczących odpowiedzialności do przepisów dotyczących innych agencji UE, jak np. Eurojust.</w:t>
      </w:r>
    </w:p>
    <w:p w:rsidR="0018078A" w:rsidRPr="00A81BA5" w:rsidRDefault="00F3635D" w:rsidP="0018078A">
      <w:r w:rsidRPr="00A81BA5">
        <w:rPr>
          <w:rStyle w:val="HideTWBExt"/>
        </w:rPr>
        <w:lastRenderedPageBreak/>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15</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Motyw 19 c (nowy)</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(19c)</w:t>
            </w:r>
            <w:r w:rsidRPr="00A81BA5">
              <w:rPr>
                <w:b/>
                <w:i/>
              </w:rPr>
              <w:tab/>
              <w:t xml:space="preserve">Przywołując motyw 59 rozporządzenia 2016/794, zasadę rotacji należy skodyfikować pod względem </w:t>
            </w:r>
            <w:r w:rsidRPr="00A81BA5">
              <w:rPr>
                <w:b/>
                <w:i/>
              </w:rPr>
              <w:t>maksymalnego czasu trwania umowy o pracę na czas określony wynoszącego dziesięć lat na cały okres służby w Europolu, niezależnie od liczby umów zawartych na stanowiska przewidziane w planie zatrudnienia, które mogą być obsadzone wyłącznie przez pracowników</w:t>
            </w:r>
            <w:r w:rsidRPr="00A81BA5">
              <w:rPr>
                <w:b/>
                <w:i/>
              </w:rPr>
              <w:t xml:space="preserve"> właściwych organów państw członkowskich. Kodyfikacja ta zapewni takiemu personelowi zabezpieczenie społeczne, umożliwiając uzyskanie minimalnych uprawnień emerytalno-rentowych w wyniku służby w Europolu, oraz ułatwi przywrócenie takich pracowników do służ</w:t>
            </w:r>
            <w:r w:rsidRPr="00A81BA5">
              <w:rPr>
                <w:b/>
                <w:i/>
              </w:rPr>
              <w:t>by na szczeblu krajowym. Odpowiednie ustalenia przejściowe umożliwią przedłużenie umów z pracownikami, którzy odbywają dziewiąty rok służby w Europolu i których umowy zostały zawarte przed wejściem w życie niniejszego rozporządzenia, do maksymalnego określ</w:t>
            </w:r>
            <w:r w:rsidRPr="00A81BA5">
              <w:rPr>
                <w:b/>
                <w:i/>
              </w:rPr>
              <w:t>onego okresu dziesięcioletniego.</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16</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Motyw 22</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rPr>
                <w:b/>
                <w:i/>
              </w:rPr>
              <w:t>(22)</w:t>
            </w:r>
            <w:r w:rsidRPr="00A81BA5">
              <w:rPr>
                <w:b/>
                <w:i/>
              </w:rPr>
              <w:tab/>
              <w:t xml:space="preserve">Zgodnie z art. </w:t>
            </w:r>
            <w:r w:rsidRPr="00A81BA5">
              <w:rPr>
                <w:b/>
                <w:i/>
              </w:rPr>
              <w:t xml:space="preserve">1 i 2 Protokołu nr 21 w sprawie stanowiska Zjednoczonego Królestwa i Irlandii w odniesieniu do </w:t>
            </w:r>
            <w:r w:rsidRPr="00A81BA5">
              <w:rPr>
                <w:b/>
                <w:i/>
              </w:rPr>
              <w:lastRenderedPageBreak/>
              <w:t>przestrzeni wolności, bezpieczeństwa i sprawiedliwości, załączonego do Traktatu o Unii Europejskiej i do Traktatu o funkcjonowaniu Unii Europejskiej, bez uszczer</w:t>
            </w:r>
            <w:r w:rsidRPr="00A81BA5">
              <w:rPr>
                <w:b/>
                <w:i/>
              </w:rPr>
              <w:t>bku dla art. 4 tego protokołu, Irlandia nie uczestniczy w przyjęciu niniejszej decyzji i nie jest nią związana ani jej nie stosuje.</w:t>
            </w:r>
          </w:p>
        </w:tc>
        <w:tc>
          <w:tcPr>
            <w:tcW w:w="4876" w:type="dxa"/>
            <w:hideMark/>
          </w:tcPr>
          <w:p w:rsidR="0018078A" w:rsidRPr="00A81BA5" w:rsidRDefault="00F3635D">
            <w:pPr>
              <w:pStyle w:val="Normal6"/>
              <w:rPr>
                <w:szCs w:val="24"/>
              </w:rPr>
            </w:pPr>
            <w:r w:rsidRPr="00A81BA5">
              <w:rPr>
                <w:b/>
                <w:i/>
              </w:rPr>
              <w:lastRenderedPageBreak/>
              <w:t>skreśla się</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 xml:space="preserve">Skreślenie w związku z ogłoszonym przez </w:t>
      </w:r>
      <w:r w:rsidRPr="00A81BA5">
        <w:t>Irlandię zamiarem uczestnictwa w niniejszym rozporządzeniu.</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17</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Motyw 24</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t>(24)</w:t>
            </w:r>
            <w:r w:rsidRPr="00A81BA5">
              <w:tab/>
              <w:t>[Zgodnie z art. 42 us</w:t>
            </w:r>
            <w:r w:rsidRPr="00A81BA5">
              <w:t>t. 1 rozporządzenia Parlamentu Europejskiego i Rady (UE) 2018/1725</w:t>
            </w:r>
            <w:r w:rsidRPr="00A81BA5">
              <w:rPr>
                <w:vertAlign w:val="superscript"/>
              </w:rPr>
              <w:t>3</w:t>
            </w:r>
            <w:r w:rsidRPr="00A81BA5">
              <w:t xml:space="preserve"> skonsultowano się z Europejskim Inspektorem Ochrony Danych; swoją opinię wydał on w dniu </w:t>
            </w:r>
            <w:r w:rsidRPr="00A81BA5">
              <w:rPr>
                <w:b/>
                <w:i/>
              </w:rPr>
              <w:t>[…]</w:t>
            </w:r>
            <w:r w:rsidRPr="00A81BA5">
              <w:t xml:space="preserve"> r.</w:t>
            </w:r>
            <w:r w:rsidRPr="00A81BA5">
              <w:rPr>
                <w:vertAlign w:val="superscript"/>
              </w:rPr>
              <w:t>4</w:t>
            </w:r>
            <w:r w:rsidRPr="00A81BA5">
              <w:t>.</w:t>
            </w:r>
          </w:p>
        </w:tc>
        <w:tc>
          <w:tcPr>
            <w:tcW w:w="4876" w:type="dxa"/>
            <w:hideMark/>
          </w:tcPr>
          <w:p w:rsidR="0018078A" w:rsidRPr="00A81BA5" w:rsidRDefault="00F3635D" w:rsidP="00622FCA">
            <w:pPr>
              <w:pStyle w:val="Normal6"/>
              <w:rPr>
                <w:szCs w:val="24"/>
              </w:rPr>
            </w:pPr>
            <w:r w:rsidRPr="00A81BA5">
              <w:t>(24)</w:t>
            </w:r>
            <w:r w:rsidRPr="00A81BA5">
              <w:tab/>
              <w:t xml:space="preserve">[Zgodnie z art. 42 ust. 1 rozporządzenia Parlamentu Europejskiego i Rady (UE) </w:t>
            </w:r>
            <w:r w:rsidRPr="00A81BA5">
              <w:t>2018/1725</w:t>
            </w:r>
            <w:r w:rsidRPr="00A81BA5">
              <w:rPr>
                <w:vertAlign w:val="superscript"/>
              </w:rPr>
              <w:t>3</w:t>
            </w:r>
            <w:r w:rsidRPr="00A81BA5">
              <w:t xml:space="preserve"> skonsultowano się z Europejskim Inspektorem Ochrony Danych; swoją opinię wydał on w dniu </w:t>
            </w:r>
            <w:r w:rsidRPr="00A81BA5">
              <w:rPr>
                <w:b/>
                <w:i/>
              </w:rPr>
              <w:t>23 stycznia 2024</w:t>
            </w:r>
            <w:r w:rsidRPr="00A81BA5">
              <w:t xml:space="preserve"> r.</w:t>
            </w:r>
            <w:r w:rsidRPr="00A81BA5">
              <w:rPr>
                <w:vertAlign w:val="superscript"/>
              </w:rPr>
              <w:t>4</w:t>
            </w:r>
            <w:r w:rsidRPr="00A81BA5">
              <w:t>.</w:t>
            </w:r>
          </w:p>
        </w:tc>
      </w:tr>
      <w:tr w:rsidR="00DA3A2C" w:rsidRPr="00A81BA5" w:rsidTr="0018078A">
        <w:trPr>
          <w:jc w:val="center"/>
        </w:trPr>
        <w:tc>
          <w:tcPr>
            <w:tcW w:w="4876" w:type="dxa"/>
            <w:hideMark/>
          </w:tcPr>
          <w:p w:rsidR="0018078A" w:rsidRPr="00A81BA5" w:rsidRDefault="00F3635D">
            <w:pPr>
              <w:pStyle w:val="Normal6"/>
            </w:pPr>
            <w:r w:rsidRPr="00A81BA5">
              <w:t>__________________</w:t>
            </w:r>
          </w:p>
        </w:tc>
        <w:tc>
          <w:tcPr>
            <w:tcW w:w="4876" w:type="dxa"/>
            <w:hideMark/>
          </w:tcPr>
          <w:p w:rsidR="0018078A" w:rsidRPr="00A81BA5" w:rsidRDefault="00F3635D">
            <w:pPr>
              <w:pStyle w:val="Normal6"/>
              <w:rPr>
                <w:szCs w:val="24"/>
              </w:rPr>
            </w:pPr>
            <w:r w:rsidRPr="00A81BA5">
              <w:t>__________________</w:t>
            </w:r>
          </w:p>
        </w:tc>
      </w:tr>
      <w:tr w:rsidR="00DA3A2C" w:rsidRPr="00A81BA5" w:rsidTr="0018078A">
        <w:trPr>
          <w:jc w:val="center"/>
        </w:trPr>
        <w:tc>
          <w:tcPr>
            <w:tcW w:w="4876" w:type="dxa"/>
            <w:hideMark/>
          </w:tcPr>
          <w:p w:rsidR="0018078A" w:rsidRPr="00A81BA5" w:rsidRDefault="00F3635D">
            <w:pPr>
              <w:pStyle w:val="Normal6"/>
            </w:pPr>
            <w:r w:rsidRPr="00A81BA5">
              <w:rPr>
                <w:vertAlign w:val="superscript"/>
              </w:rPr>
              <w:t>3</w:t>
            </w:r>
            <w:r w:rsidRPr="00A81BA5">
              <w:t xml:space="preserve"> Rozporządzenie Parlamentu Europejskiego i Rady (UE) 2018/1725 z dnia 23 października 2018 r.</w:t>
            </w:r>
            <w:r w:rsidRPr="00A81BA5">
              <w:t xml:space="preserve"> w sprawie ochrony osób fizycznych w związku z przetwarzaniem danych osobowych przez instytucje, organy i jednostki organizacyjne Unii i swobodnego przepływu takich danych oraz uchylenia rozporządzenia (WE) nr 45/2001 i decyzji nr 1247/2002/WE, Dz.U. L 295</w:t>
            </w:r>
            <w:r w:rsidRPr="00A81BA5">
              <w:t xml:space="preserve"> z 21.11.2018, s. 39, ELI: http://data.europa.eu/eli/reg/2018/1725/oj).</w:t>
            </w:r>
          </w:p>
        </w:tc>
        <w:tc>
          <w:tcPr>
            <w:tcW w:w="4876" w:type="dxa"/>
            <w:hideMark/>
          </w:tcPr>
          <w:p w:rsidR="0018078A" w:rsidRPr="00A81BA5" w:rsidRDefault="00F3635D">
            <w:pPr>
              <w:pStyle w:val="Normal6"/>
              <w:rPr>
                <w:szCs w:val="24"/>
              </w:rPr>
            </w:pPr>
            <w:r w:rsidRPr="00A81BA5">
              <w:rPr>
                <w:vertAlign w:val="superscript"/>
              </w:rPr>
              <w:t>3</w:t>
            </w:r>
            <w:r w:rsidRPr="00A81BA5">
              <w:t xml:space="preserve"> Rozporządzenie Parlamentu Europejskiego i Rady (UE) 2018/1725 z dnia 23 października 2018 r. w sprawie ochrony osób fizycznych w związku z przetwarzaniem danych osobowych przez insty</w:t>
            </w:r>
            <w:r w:rsidRPr="00A81BA5">
              <w:t>tucje, organy i jednostki organizacyjne Unii i swobodnego przepływu takich danych oraz uchylenia rozporządzenia (WE) nr 45/2001 i decyzji nr 1247/2002/WE, Dz.U. L 295 z 21.11.2018, s. 39, ELI: http://data.europa.eu/eli/reg/2018/1725/oj).</w:t>
            </w:r>
          </w:p>
        </w:tc>
      </w:tr>
      <w:tr w:rsidR="00DA3A2C" w:rsidRPr="00A81BA5" w:rsidTr="0018078A">
        <w:trPr>
          <w:jc w:val="center"/>
        </w:trPr>
        <w:tc>
          <w:tcPr>
            <w:tcW w:w="4876" w:type="dxa"/>
            <w:hideMark/>
          </w:tcPr>
          <w:p w:rsidR="0018078A" w:rsidRPr="00A81BA5" w:rsidRDefault="00F3635D">
            <w:pPr>
              <w:pStyle w:val="Normal6"/>
            </w:pPr>
            <w:r w:rsidRPr="00A81BA5">
              <w:rPr>
                <w:vertAlign w:val="superscript"/>
              </w:rPr>
              <w:t>4</w:t>
            </w:r>
            <w:r w:rsidRPr="00A81BA5">
              <w:t xml:space="preserve"> </w:t>
            </w:r>
            <w:r w:rsidRPr="00A81BA5">
              <w:rPr>
                <w:b/>
                <w:i/>
              </w:rPr>
              <w:t>Dz</w:t>
            </w:r>
            <w:r w:rsidRPr="00A81BA5">
              <w:t>.</w:t>
            </w:r>
            <w:r w:rsidRPr="00A81BA5">
              <w:rPr>
                <w:b/>
                <w:i/>
              </w:rPr>
              <w:t>U</w:t>
            </w:r>
            <w:r w:rsidRPr="00A81BA5">
              <w:t>.</w:t>
            </w:r>
            <w:r w:rsidRPr="00A81BA5">
              <w:rPr>
                <w:b/>
                <w:i/>
              </w:rPr>
              <w:t xml:space="preserve"> C …</w:t>
            </w:r>
          </w:p>
        </w:tc>
        <w:tc>
          <w:tcPr>
            <w:tcW w:w="4876" w:type="dxa"/>
            <w:hideMark/>
          </w:tcPr>
          <w:p w:rsidR="0018078A" w:rsidRPr="00A81BA5" w:rsidRDefault="00F3635D">
            <w:pPr>
              <w:pStyle w:val="Normal6"/>
              <w:rPr>
                <w:szCs w:val="24"/>
              </w:rPr>
            </w:pPr>
            <w:r w:rsidRPr="00A81BA5">
              <w:rPr>
                <w:vertAlign w:val="superscript"/>
              </w:rPr>
              <w:t>4</w:t>
            </w:r>
            <w:r w:rsidRPr="00A81BA5">
              <w:t xml:space="preserve"> </w:t>
            </w:r>
            <w:r w:rsidRPr="00A81BA5">
              <w:rPr>
                <w:b/>
                <w:i/>
              </w:rPr>
              <w:t>Opinia Europejskiego Inspektora Ochrony Danych 4/2024, https://www</w:t>
            </w:r>
            <w:r w:rsidRPr="00A81BA5">
              <w:t>.</w:t>
            </w:r>
            <w:r w:rsidRPr="00A81BA5">
              <w:rPr>
                <w:b/>
                <w:i/>
              </w:rPr>
              <w:t>edps.europa.eu/system/files/2024-01/2023-1247_d0187_opinion_en</w:t>
            </w:r>
            <w:r w:rsidRPr="00A81BA5">
              <w:t>.</w:t>
            </w:r>
            <w:r w:rsidRPr="00A81BA5">
              <w:rPr>
                <w:b/>
                <w:i/>
              </w:rPr>
              <w:t>pdf</w:t>
            </w:r>
          </w:p>
        </w:tc>
      </w:tr>
    </w:tbl>
    <w:p w:rsidR="0018078A" w:rsidRPr="00A81BA5" w:rsidRDefault="00F3635D" w:rsidP="0018078A">
      <w:pPr>
        <w:pStyle w:val="Olang"/>
      </w:pPr>
      <w:r w:rsidRPr="00A81BA5">
        <w:lastRenderedPageBreak/>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18</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w:t>
      </w:r>
      <w:r w:rsidRPr="00A81BA5">
        <w:rPr>
          <w:rStyle w:val="HideTWBExt"/>
          <w:b w:val="0"/>
        </w:rPr>
        <w:t>ocAmend&gt;</w:t>
      </w:r>
    </w:p>
    <w:p w:rsidR="0018078A" w:rsidRPr="00A81BA5" w:rsidRDefault="00F3635D" w:rsidP="0018078A">
      <w:pPr>
        <w:pStyle w:val="NormalBold"/>
      </w:pPr>
      <w:r w:rsidRPr="00A81BA5">
        <w:rPr>
          <w:rStyle w:val="HideTWBExt"/>
          <w:b w:val="0"/>
        </w:rPr>
        <w:t>&lt;Article&gt;</w:t>
      </w:r>
      <w:r w:rsidRPr="00A81BA5">
        <w:t>Rozdział I</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756434" w:rsidRPr="00A81BA5" w:rsidRDefault="00F3635D">
            <w:pPr>
              <w:pStyle w:val="Normal6"/>
              <w:rPr>
                <w:b/>
                <w:i/>
              </w:rPr>
            </w:pPr>
            <w:r w:rsidRPr="00A81BA5">
              <w:rPr>
                <w:b/>
                <w:i/>
              </w:rPr>
              <w:t>Rozdział I</w:t>
            </w:r>
          </w:p>
        </w:tc>
        <w:tc>
          <w:tcPr>
            <w:tcW w:w="4876" w:type="dxa"/>
          </w:tcPr>
          <w:p w:rsidR="00756434" w:rsidRPr="00A81BA5" w:rsidRDefault="00F3635D">
            <w:pPr>
              <w:pStyle w:val="Normal6"/>
              <w:rPr>
                <w:b/>
                <w:i/>
              </w:rPr>
            </w:pPr>
            <w:r w:rsidRPr="00A81BA5">
              <w:rPr>
                <w:b/>
                <w:i/>
              </w:rPr>
              <w:t>skreśla się</w:t>
            </w:r>
          </w:p>
        </w:tc>
      </w:tr>
      <w:tr w:rsidR="00DA3A2C" w:rsidRPr="00A81BA5" w:rsidTr="0018078A">
        <w:trPr>
          <w:jc w:val="center"/>
        </w:trPr>
        <w:tc>
          <w:tcPr>
            <w:tcW w:w="4876" w:type="dxa"/>
            <w:hideMark/>
          </w:tcPr>
          <w:p w:rsidR="0018078A" w:rsidRPr="00A81BA5" w:rsidRDefault="00F3635D">
            <w:pPr>
              <w:pStyle w:val="Normal6"/>
            </w:pPr>
            <w:r w:rsidRPr="00A81BA5">
              <w:rPr>
                <w:b/>
                <w:i/>
              </w:rPr>
              <w:t>POSTANOWIENIA OGÓLNE</w:t>
            </w:r>
          </w:p>
        </w:tc>
        <w:tc>
          <w:tcPr>
            <w:tcW w:w="4876" w:type="dxa"/>
            <w:hideMark/>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rsidP="00756434">
            <w:pPr>
              <w:pStyle w:val="Normal6"/>
            </w:pPr>
            <w:r w:rsidRPr="00A81BA5">
              <w:rPr>
                <w:b/>
                <w:i/>
              </w:rPr>
              <w:t>Artykuł 1</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tcPr>
          <w:p w:rsidR="00756434" w:rsidRPr="00A81BA5" w:rsidRDefault="00F3635D">
            <w:pPr>
              <w:pStyle w:val="Normal6"/>
              <w:rPr>
                <w:b/>
                <w:i/>
              </w:rPr>
            </w:pPr>
            <w:r w:rsidRPr="00A81BA5">
              <w:rPr>
                <w:b/>
                <w:i/>
              </w:rPr>
              <w:t>Przedmiot i zakres</w:t>
            </w:r>
          </w:p>
        </w:tc>
        <w:tc>
          <w:tcPr>
            <w:tcW w:w="4876" w:type="dxa"/>
          </w:tcPr>
          <w:p w:rsidR="00756434" w:rsidRPr="00A81BA5" w:rsidRDefault="00756434">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 xml:space="preserve">W niniejszym rozporządzeniu ustanawia się przepisy mające na celu zacieśnienie współpracy </w:t>
            </w:r>
            <w:r w:rsidRPr="00A81BA5">
              <w:rPr>
                <w:b/>
                <w:i/>
              </w:rPr>
              <w:t>policyjnej i wsparcie Agencji Unii Europejskiej ds. Współpracy Organów Ścigania (Europol) w zapobieganiu przemytowi migrantów i handlowi ludźmi oraz zwalczaniu tych przestępstw przez:</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a)</w:t>
            </w:r>
            <w:r w:rsidRPr="00A81BA5">
              <w:rPr>
                <w:b/>
                <w:i/>
              </w:rPr>
              <w:tab/>
              <w:t>ustanowienie w ramach Europolu Europejskiego Centrum Zwalczania Prz</w:t>
            </w:r>
            <w:r w:rsidRPr="00A81BA5">
              <w:rPr>
                <w:b/>
                <w:i/>
              </w:rPr>
              <w:t>emytu Migrantów oraz ram zarządzania w celu regulowania i wspierania jego działalności;</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b)</w:t>
            </w:r>
            <w:r w:rsidRPr="00A81BA5">
              <w:rPr>
                <w:b/>
                <w:i/>
              </w:rPr>
              <w:tab/>
              <w:t>zacieśnianie współpracy i poprawa koordynacji między państwami członkowskimi, Europolem i innymi agencjami Unii;</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c)</w:t>
            </w:r>
            <w:r w:rsidRPr="00A81BA5">
              <w:rPr>
                <w:b/>
                <w:i/>
              </w:rPr>
              <w:tab/>
              <w:t>intensyfikację wymiany informacji między pańs</w:t>
            </w:r>
            <w:r w:rsidRPr="00A81BA5">
              <w:rPr>
                <w:b/>
                <w:i/>
              </w:rPr>
              <w:t>twami członkowskimi i z Europolem;</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d)</w:t>
            </w:r>
            <w:r w:rsidRPr="00A81BA5">
              <w:rPr>
                <w:b/>
                <w:i/>
              </w:rPr>
              <w:tab/>
              <w:t>zapewnienie Europolowi narzędzi niezbędnych do wspierania i wzmacniania działań i współpracy właściwych organów państw członkowskich w zakresie zapobiegania przestępstwom wchodzącym w zakres celów Europolu i zwalczan</w:t>
            </w:r>
            <w:r w:rsidRPr="00A81BA5">
              <w:rPr>
                <w:b/>
                <w:i/>
              </w:rPr>
              <w:t>ia tych przestępstw;</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e)</w:t>
            </w:r>
            <w:r w:rsidRPr="00A81BA5">
              <w:rPr>
                <w:b/>
                <w:i/>
              </w:rPr>
              <w:tab/>
              <w:t>zwiększenie współpracy między Europolem a państwami trzecimi.</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rsidP="00756434">
            <w:pPr>
              <w:pStyle w:val="Normal6"/>
            </w:pPr>
            <w:r w:rsidRPr="00A81BA5">
              <w:rPr>
                <w:b/>
                <w:i/>
              </w:rPr>
              <w:t>Artykuł 2</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tcPr>
          <w:p w:rsidR="00756434" w:rsidRPr="00A81BA5" w:rsidRDefault="00F3635D">
            <w:pPr>
              <w:pStyle w:val="Normal6"/>
              <w:rPr>
                <w:b/>
                <w:i/>
              </w:rPr>
            </w:pPr>
            <w:r w:rsidRPr="00A81BA5">
              <w:rPr>
                <w:b/>
                <w:i/>
              </w:rPr>
              <w:lastRenderedPageBreak/>
              <w:t>Definicje</w:t>
            </w:r>
          </w:p>
        </w:tc>
        <w:tc>
          <w:tcPr>
            <w:tcW w:w="4876" w:type="dxa"/>
          </w:tcPr>
          <w:p w:rsidR="00756434" w:rsidRPr="00A81BA5" w:rsidRDefault="00756434">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Do celów niniejszego rozporządzenia stosuje się następujące definicje:</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1)</w:t>
            </w:r>
            <w:r w:rsidRPr="00A81BA5">
              <w:rPr>
                <w:b/>
                <w:i/>
              </w:rPr>
              <w:tab/>
              <w:t xml:space="preserve">„przemyt migrantów” oznacza każde z działań, o których mowa </w:t>
            </w:r>
            <w:r w:rsidRPr="00A81BA5">
              <w:rPr>
                <w:b/>
                <w:i/>
              </w:rPr>
              <w:t>w art. 3, 4 i 5 dyrektywy [XXX] [w sprawie ustanowienia norm minimalnych dotyczących zapobiegania i przeciwdziałania ułatwianiu niedozwolonego wjazdu do Unii, tranzytu przez jej terytorium i pobytu na nim oraz zastępująca dyrektywę Rady 2002/90/WE i decyzj</w:t>
            </w:r>
            <w:r w:rsidRPr="00A81BA5">
              <w:rPr>
                <w:b/>
                <w:i/>
              </w:rPr>
              <w:t>ę ramową Rady 2002/946 WSiSW]</w:t>
            </w:r>
            <w:r w:rsidRPr="00A81BA5">
              <w:rPr>
                <w:b/>
                <w:i/>
                <w:vertAlign w:val="superscript"/>
              </w:rPr>
              <w:t>5</w:t>
            </w:r>
            <w:r w:rsidRPr="00A81BA5">
              <w:rPr>
                <w:b/>
                <w:i/>
              </w:rPr>
              <w:t>;</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2)</w:t>
            </w:r>
            <w:r w:rsidRPr="00A81BA5">
              <w:rPr>
                <w:b/>
                <w:i/>
              </w:rPr>
              <w:tab/>
              <w:t>„handel ludźmi” oznacza każde z działań, o których mowa w art. 2 i 3 dyrektywy Parlamentu Europejskiego i Rady 2011/36/UE</w:t>
            </w:r>
            <w:r w:rsidRPr="00A81BA5">
              <w:rPr>
                <w:b/>
                <w:i/>
                <w:vertAlign w:val="superscript"/>
              </w:rPr>
              <w:t>6</w:t>
            </w:r>
            <w:r w:rsidRPr="00A81BA5">
              <w:rPr>
                <w:b/>
                <w:i/>
              </w:rPr>
              <w:t>;</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3)</w:t>
            </w:r>
            <w:r w:rsidRPr="00A81BA5">
              <w:rPr>
                <w:b/>
                <w:i/>
              </w:rPr>
              <w:tab/>
              <w:t>„właściwe organy” oznaczają właściwe organy państw członkowskich, których definicję podano</w:t>
            </w:r>
            <w:r w:rsidRPr="00A81BA5">
              <w:rPr>
                <w:b/>
                <w:i/>
              </w:rPr>
              <w:t xml:space="preserve"> w art. 2 lit. a) rozporządzenia (UE) 2016/794;</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4)</w:t>
            </w:r>
            <w:r w:rsidRPr="00A81BA5">
              <w:rPr>
                <w:b/>
                <w:i/>
              </w:rPr>
              <w:tab/>
              <w:t>„urzędnik łącznikowy ds. imigracji” oznacza urzędnika łącznikowego oddelegowanego do państwa trzeciego przez właściwe organy państwa członkowskiego, zgodnie z jego prawem krajowym, do zajmowania się kwes</w:t>
            </w:r>
            <w:r w:rsidRPr="00A81BA5">
              <w:rPr>
                <w:b/>
                <w:i/>
              </w:rPr>
              <w:t>tiami związanymi z imigracją, w tym gdy kwestie te stanowią jedynie część obowiązków tego urzędnika łącznikowego.</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__________________</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5 [wstawić tytuł i odesłanie do publikacji].</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6 Dyrektywa Parlamentu Europejskiego i Rady 2011/36/UE z dnia 5 kwietnia</w:t>
            </w:r>
            <w:r w:rsidRPr="00A81BA5">
              <w:rPr>
                <w:b/>
                <w:i/>
              </w:rPr>
              <w:t xml:space="preserve"> 2011 r. w sprawie zapobiegania handlowi ludźmi i zwalczania tego procederu oraz ochrony ofiar, zastępująca decyzję ramową Rady 2002/629/WSiSW, Dz.U. L 101 z 15.4.2011, s. 1, ELI: http://data.europa.eu/eli/dir/2014/36/oj).</w:t>
            </w:r>
          </w:p>
        </w:tc>
        <w:tc>
          <w:tcPr>
            <w:tcW w:w="4876" w:type="dxa"/>
          </w:tcPr>
          <w:p w:rsidR="0018078A" w:rsidRPr="00A81BA5" w:rsidRDefault="0018078A">
            <w:pPr>
              <w:pStyle w:val="Normal6"/>
              <w:rPr>
                <w:szCs w:val="24"/>
              </w:rPr>
            </w:pP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lastRenderedPageBreak/>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Skreślenie odrębnego rozporządzenia. Niektóre przepisy zostały przeniesione jako poprawki do obowiązującego rozporządzeniu w sprawie Europolu.</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19</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 xml:space="preserve">Wniosek dotyczący </w:t>
      </w:r>
      <w:r w:rsidRPr="00A81BA5">
        <w:t>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3</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jc w:val="center"/>
            </w:pPr>
            <w:r w:rsidRPr="00A81BA5">
              <w:rPr>
                <w:b/>
                <w:i/>
              </w:rPr>
              <w:t>Artykuł 3</w:t>
            </w:r>
          </w:p>
        </w:tc>
        <w:tc>
          <w:tcPr>
            <w:tcW w:w="4876" w:type="dxa"/>
            <w:hideMark/>
          </w:tcPr>
          <w:p w:rsidR="0018078A" w:rsidRPr="00A81BA5" w:rsidRDefault="00F3635D">
            <w:pPr>
              <w:pStyle w:val="Normal6"/>
              <w:rPr>
                <w:szCs w:val="24"/>
              </w:rPr>
            </w:pPr>
            <w:r w:rsidRPr="00A81BA5">
              <w:rPr>
                <w:b/>
                <w:i/>
              </w:rPr>
              <w:t>skreśla się</w:t>
            </w:r>
          </w:p>
        </w:tc>
      </w:tr>
      <w:tr w:rsidR="00DA3A2C" w:rsidRPr="00A81BA5" w:rsidTr="0018078A">
        <w:trPr>
          <w:jc w:val="center"/>
        </w:trPr>
        <w:tc>
          <w:tcPr>
            <w:tcW w:w="4876" w:type="dxa"/>
            <w:hideMark/>
          </w:tcPr>
          <w:p w:rsidR="0018078A" w:rsidRPr="00A81BA5" w:rsidRDefault="00F3635D">
            <w:pPr>
              <w:pStyle w:val="Normal6"/>
              <w:jc w:val="center"/>
            </w:pPr>
            <w:r w:rsidRPr="00A81BA5">
              <w:rPr>
                <w:b/>
                <w:i/>
              </w:rPr>
              <w:t>Europejskie Centrum Zwalczania Przemytu Migrantów</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 xml:space="preserve">W ramach Europolu ustanawia się Europejskie Centrum Zwalczania Przemytu Migrantów </w:t>
            </w:r>
            <w:r w:rsidRPr="00A81BA5">
              <w:rPr>
                <w:b/>
                <w:i/>
              </w:rPr>
              <w:t>jako ośrodek Unii dysponujący specjalistyczną wiedzą fachową, o którym mowa w art. 4 ust. 1 lit. l) rozporządzenia (UE) 2016/794. Centrum to wspiera państwa członkowskie w zapobieganiu przemytowi migrantów i handlowi ludźmi oraz w zwalczaniu tych przestęps</w:t>
            </w:r>
            <w:r w:rsidRPr="00A81BA5">
              <w:rPr>
                <w:b/>
                <w:i/>
              </w:rPr>
              <w:t>tw oraz wykonuje zadania określone w art. 5 i 6.</w:t>
            </w:r>
          </w:p>
        </w:tc>
        <w:tc>
          <w:tcPr>
            <w:tcW w:w="4876" w:type="dxa"/>
          </w:tcPr>
          <w:p w:rsidR="0018078A" w:rsidRPr="00A81BA5" w:rsidRDefault="0018078A">
            <w:pPr>
              <w:pStyle w:val="Normal6"/>
              <w:rPr>
                <w:szCs w:val="24"/>
              </w:rPr>
            </w:pP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 xml:space="preserve">Skreślenie odrębnego rozporządzenia. Niektóre przepisy zostały przeniesione jako poprawki do obowiązującego rozporządzeniu w sprawie </w:t>
      </w:r>
      <w:r w:rsidRPr="00A81BA5">
        <w:t>Europolu.</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20</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4</w:t>
      </w:r>
      <w:r w:rsidRPr="00A81BA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D519D6">
        <w:trPr>
          <w:jc w:val="center"/>
        </w:trPr>
        <w:tc>
          <w:tcPr>
            <w:tcW w:w="9752" w:type="dxa"/>
            <w:gridSpan w:val="2"/>
          </w:tcPr>
          <w:p w:rsidR="0018078A" w:rsidRPr="00A81BA5" w:rsidRDefault="0018078A">
            <w:pPr>
              <w:keepNext/>
            </w:pPr>
          </w:p>
        </w:tc>
      </w:tr>
      <w:tr w:rsidR="00DA3A2C" w:rsidRPr="00A81BA5" w:rsidTr="00D519D6">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D519D6">
        <w:trPr>
          <w:jc w:val="center"/>
        </w:trPr>
        <w:tc>
          <w:tcPr>
            <w:tcW w:w="4876" w:type="dxa"/>
            <w:hideMark/>
          </w:tcPr>
          <w:p w:rsidR="0018078A" w:rsidRPr="00A81BA5" w:rsidRDefault="00F3635D" w:rsidP="00D519D6">
            <w:pPr>
              <w:pStyle w:val="Normal6"/>
              <w:jc w:val="center"/>
              <w:rPr>
                <w:b/>
                <w:i/>
              </w:rPr>
            </w:pPr>
            <w:r w:rsidRPr="00A81BA5">
              <w:rPr>
                <w:b/>
                <w:i/>
              </w:rPr>
              <w:t>[...]</w:t>
            </w:r>
          </w:p>
        </w:tc>
        <w:tc>
          <w:tcPr>
            <w:tcW w:w="4876" w:type="dxa"/>
            <w:hideMark/>
          </w:tcPr>
          <w:p w:rsidR="0018078A" w:rsidRPr="00A81BA5" w:rsidRDefault="00F3635D">
            <w:pPr>
              <w:pStyle w:val="Normal6"/>
              <w:rPr>
                <w:szCs w:val="24"/>
              </w:rPr>
            </w:pPr>
            <w:r w:rsidRPr="00A81BA5">
              <w:rPr>
                <w:b/>
                <w:i/>
              </w:rPr>
              <w:t>skreśla się</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lastRenderedPageBreak/>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Skreślenie odrębnego rozporządzenia. Niektóre przepisy zostały przeniesione jako poprawki do obowiązującego rozporządzeniu w sprawie Europolu.</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21</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5</w:t>
      </w:r>
      <w:r w:rsidRPr="00A81BA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D519D6">
        <w:trPr>
          <w:jc w:val="center"/>
        </w:trPr>
        <w:tc>
          <w:tcPr>
            <w:tcW w:w="9752" w:type="dxa"/>
            <w:gridSpan w:val="2"/>
          </w:tcPr>
          <w:p w:rsidR="0018078A" w:rsidRPr="00A81BA5" w:rsidRDefault="0018078A">
            <w:pPr>
              <w:keepNext/>
            </w:pPr>
          </w:p>
        </w:tc>
      </w:tr>
      <w:tr w:rsidR="00DA3A2C" w:rsidRPr="00A81BA5" w:rsidTr="00D519D6">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D519D6">
        <w:trPr>
          <w:jc w:val="center"/>
        </w:trPr>
        <w:tc>
          <w:tcPr>
            <w:tcW w:w="4876" w:type="dxa"/>
            <w:hideMark/>
          </w:tcPr>
          <w:p w:rsidR="0018078A" w:rsidRPr="00A81BA5" w:rsidRDefault="00F3635D">
            <w:pPr>
              <w:pStyle w:val="Normal6"/>
              <w:jc w:val="center"/>
              <w:rPr>
                <w:b/>
                <w:i/>
              </w:rPr>
            </w:pPr>
            <w:r w:rsidRPr="00A81BA5">
              <w:rPr>
                <w:b/>
                <w:i/>
              </w:rPr>
              <w:t>[...]</w:t>
            </w:r>
          </w:p>
        </w:tc>
        <w:tc>
          <w:tcPr>
            <w:tcW w:w="4876" w:type="dxa"/>
            <w:hideMark/>
          </w:tcPr>
          <w:p w:rsidR="0018078A" w:rsidRPr="00A81BA5" w:rsidRDefault="00F3635D">
            <w:pPr>
              <w:pStyle w:val="Normal6"/>
              <w:rPr>
                <w:szCs w:val="24"/>
              </w:rPr>
            </w:pPr>
            <w:r w:rsidRPr="00A81BA5">
              <w:rPr>
                <w:b/>
                <w:i/>
              </w:rPr>
              <w:t>skreśla się</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 xml:space="preserve">Skreślenie odrębnego rozporządzenia. Niektóre przepisy zostały przeniesione jako poprawki do </w:t>
      </w:r>
      <w:r w:rsidRPr="00A81BA5">
        <w:t>obowiązującego rozporządzeniu w sprawie Europolu.</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22</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6</w:t>
      </w:r>
      <w:r w:rsidRPr="00A81BA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D519D6">
        <w:trPr>
          <w:jc w:val="center"/>
        </w:trPr>
        <w:tc>
          <w:tcPr>
            <w:tcW w:w="9752" w:type="dxa"/>
            <w:gridSpan w:val="2"/>
          </w:tcPr>
          <w:p w:rsidR="0018078A" w:rsidRPr="00A81BA5" w:rsidRDefault="0018078A">
            <w:pPr>
              <w:keepNext/>
            </w:pPr>
          </w:p>
        </w:tc>
      </w:tr>
      <w:tr w:rsidR="00DA3A2C" w:rsidRPr="00A81BA5" w:rsidTr="00D519D6">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D519D6">
        <w:trPr>
          <w:jc w:val="center"/>
        </w:trPr>
        <w:tc>
          <w:tcPr>
            <w:tcW w:w="4876" w:type="dxa"/>
            <w:hideMark/>
          </w:tcPr>
          <w:p w:rsidR="0018078A" w:rsidRPr="00A81BA5" w:rsidRDefault="00F3635D">
            <w:pPr>
              <w:pStyle w:val="Normal6"/>
              <w:jc w:val="center"/>
              <w:rPr>
                <w:b/>
                <w:i/>
              </w:rPr>
            </w:pPr>
            <w:r w:rsidRPr="00A81BA5">
              <w:rPr>
                <w:b/>
                <w:i/>
              </w:rPr>
              <w:t>[...]</w:t>
            </w:r>
          </w:p>
        </w:tc>
        <w:tc>
          <w:tcPr>
            <w:tcW w:w="4876" w:type="dxa"/>
            <w:hideMark/>
          </w:tcPr>
          <w:p w:rsidR="0018078A" w:rsidRPr="00A81BA5" w:rsidRDefault="00F3635D">
            <w:pPr>
              <w:pStyle w:val="Normal6"/>
              <w:rPr>
                <w:b/>
                <w:i/>
              </w:rPr>
            </w:pPr>
            <w:r w:rsidRPr="00A81BA5">
              <w:rPr>
                <w:b/>
                <w:i/>
              </w:rPr>
              <w:t>skreśla się</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Skreślenie odrębnego rozporządzenia. Niektóre przepisy zostały przeniesione jako poprawki do obowiązującego rozporządzeniu w sprawie Europolu.</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23</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7</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jc w:val="center"/>
            </w:pPr>
            <w:r w:rsidRPr="00A81BA5">
              <w:rPr>
                <w:b/>
                <w:i/>
              </w:rPr>
              <w:t>Artykuł 7</w:t>
            </w:r>
          </w:p>
        </w:tc>
        <w:tc>
          <w:tcPr>
            <w:tcW w:w="4876" w:type="dxa"/>
            <w:hideMark/>
          </w:tcPr>
          <w:p w:rsidR="0018078A" w:rsidRPr="00A81BA5" w:rsidRDefault="00F3635D">
            <w:pPr>
              <w:pStyle w:val="Normal6"/>
              <w:rPr>
                <w:szCs w:val="24"/>
              </w:rPr>
            </w:pPr>
            <w:r w:rsidRPr="00A81BA5">
              <w:rPr>
                <w:b/>
                <w:i/>
              </w:rPr>
              <w:t>skreśla się</w:t>
            </w:r>
          </w:p>
        </w:tc>
      </w:tr>
      <w:tr w:rsidR="00DA3A2C" w:rsidRPr="00A81BA5" w:rsidTr="0018078A">
        <w:trPr>
          <w:jc w:val="center"/>
        </w:trPr>
        <w:tc>
          <w:tcPr>
            <w:tcW w:w="4876" w:type="dxa"/>
            <w:hideMark/>
          </w:tcPr>
          <w:p w:rsidR="0018078A" w:rsidRPr="00A81BA5" w:rsidRDefault="00F3635D">
            <w:pPr>
              <w:pStyle w:val="Normal6"/>
              <w:jc w:val="center"/>
            </w:pPr>
            <w:r w:rsidRPr="00A81BA5">
              <w:rPr>
                <w:b/>
                <w:i/>
              </w:rPr>
              <w:lastRenderedPageBreak/>
              <w:t xml:space="preserve">Krajowe służby wyspecjalizowane w zapobieganiu przemytowi migrantów i handlowi ludźmi oraz zwalczaniu tych </w:t>
            </w:r>
            <w:r w:rsidRPr="00A81BA5">
              <w:rPr>
                <w:b/>
                <w:i/>
              </w:rPr>
              <w:t>przestępstw</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1.</w:t>
            </w:r>
            <w:r w:rsidRPr="00A81BA5">
              <w:rPr>
                <w:b/>
                <w:i/>
              </w:rPr>
              <w:tab/>
              <w:t xml:space="preserve">Najpóźniej rok po wejściu w życie niniejszego rozporządzenia każde państwo członkowskie wyznacza co najmniej jedną wyspecjalizowaną służbę w ramach swoich właściwych organów, zgodnie z prawem krajowym, w celu zapobiegania przemytowi </w:t>
            </w:r>
            <w:r w:rsidRPr="00A81BA5">
              <w:rPr>
                <w:b/>
                <w:i/>
              </w:rPr>
              <w:t>migrantów i handlowi ludźmi oraz zwalczania tych przestępstw, w tym w drodze postępowań przygotowawczych. Każde państwo członkowskie niezwłocznie informuje Komisję o wyznaczeniu takiej służby.</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2.</w:t>
            </w:r>
            <w:r w:rsidRPr="00A81BA5">
              <w:rPr>
                <w:b/>
                <w:i/>
              </w:rPr>
              <w:tab/>
              <w:t>Każde państwo członkowskie zapewnia, aby jego wyspecjalizo</w:t>
            </w:r>
            <w:r w:rsidRPr="00A81BA5">
              <w:rPr>
                <w:b/>
                <w:i/>
              </w:rPr>
              <w:t>wane służby wyznaczone zgodnie z ust. 1 niniejszego artykułu gromadziły wszystkie istotne informacje dotyczące postępowań przygotowawczych w sprawie przemytu migrantów i handlu ludźmi i wynikające z takich postępowań oraz aby jak najszybciej przekazywały t</w:t>
            </w:r>
            <w:r w:rsidRPr="00A81BA5">
              <w:rPr>
                <w:b/>
                <w:i/>
              </w:rPr>
              <w:t>e informacje Europolowi i innym państwom członkowskim zgodnie z art. 8.</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3.</w:t>
            </w:r>
            <w:r w:rsidRPr="00A81BA5">
              <w:rPr>
                <w:b/>
                <w:i/>
              </w:rPr>
              <w:tab/>
              <w:t>Najpóźniej rok po wejściu w życie niniejszego rozporządzenia każde państwo członkowskie połączy swoje wyspecjalizowane służby wyznaczone zgodnie z ust. 1 niniejszego artykułu bezp</w:t>
            </w:r>
            <w:r w:rsidRPr="00A81BA5">
              <w:rPr>
                <w:b/>
                <w:i/>
              </w:rPr>
              <w:t>ośrednio z aplikacją sieci bezpiecznej wymiany informacji (SIENA) Europolu, o której mowa w art. 2 lit. w) rozporządzenia (UE) 2016/794. Każde państwo członkowskie niezwłocznie informuje Komisję o takim połączeniu.</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4.</w:t>
            </w:r>
            <w:r w:rsidRPr="00A81BA5">
              <w:rPr>
                <w:b/>
                <w:i/>
              </w:rPr>
              <w:tab/>
              <w:t xml:space="preserve">Każde państwo członkowskie zapewnia </w:t>
            </w:r>
            <w:r w:rsidRPr="00A81BA5">
              <w:rPr>
                <w:b/>
                <w:i/>
              </w:rPr>
              <w:t>swoim wyspecjalizowanym służbom wyznaczonym zgodnie z ust. 1 odpowiednie zasoby w celu zapewnienia, aby te wyspecjalizowane służby były przygotowane do skutecznego zapobiegania przemytowi migrantów i handlowi ludźmi oraz do skutecznego zwalczania tych prze</w:t>
            </w:r>
            <w:r w:rsidRPr="00A81BA5">
              <w:rPr>
                <w:b/>
                <w:i/>
              </w:rPr>
              <w:t xml:space="preserve">stępstw, a także do gromadzenia i wymiany informacji </w:t>
            </w:r>
            <w:r w:rsidRPr="00A81BA5">
              <w:rPr>
                <w:b/>
                <w:i/>
              </w:rPr>
              <w:lastRenderedPageBreak/>
              <w:t>zgodnie z ust. 2 w sposób skuteczny i wydajny.</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5.</w:t>
            </w:r>
            <w:r w:rsidRPr="00A81BA5">
              <w:rPr>
                <w:b/>
                <w:i/>
              </w:rPr>
              <w:tab/>
              <w:t>Każde państwo członkowskie udostępnia odpowiednią liczbę pracowników wyspecjalizowanych służb wyznaczonych zgodnie z ust. 1 niniejszego artykułu do rez</w:t>
            </w:r>
            <w:r w:rsidRPr="00A81BA5">
              <w:rPr>
                <w:b/>
                <w:i/>
              </w:rPr>
              <w:t>erwy, o której mowa w art. 5b ust. 6 rozporządzenia (UE) 2016/794, tak aby ci pracownicy mogli uczestniczyć w rozmieszczaniu pracowników Europolu w ramach wsparcia operacyjnego w charakterze oddelegowanych ekspertów krajowych.</w:t>
            </w:r>
          </w:p>
        </w:tc>
        <w:tc>
          <w:tcPr>
            <w:tcW w:w="4876" w:type="dxa"/>
          </w:tcPr>
          <w:p w:rsidR="0018078A" w:rsidRPr="00A81BA5" w:rsidRDefault="0018078A">
            <w:pPr>
              <w:pStyle w:val="Normal6"/>
              <w:rPr>
                <w:szCs w:val="24"/>
              </w:rPr>
            </w:pP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w:t>
      </w:r>
      <w:r w:rsidRPr="00A81BA5">
        <w:rPr>
          <w:rStyle w:val="HideTWBExt"/>
          <w:noProof w:val="0"/>
        </w:rPr>
        <w:t>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Skreślenie odrębnego rozporządzenia. Niektóre przepisy zostały przeniesione jako poprawki do obowiązującego rozporządzeniu w sprawie Europolu.</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24</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 xml:space="preserve">Wniosek dotyczący </w:t>
      </w:r>
      <w:r w:rsidRPr="00A81BA5">
        <w:t>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8</w:t>
      </w:r>
      <w:r w:rsidRPr="00A81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jc w:val="center"/>
            </w:pPr>
            <w:r w:rsidRPr="00A81BA5">
              <w:rPr>
                <w:b/>
                <w:i/>
              </w:rPr>
              <w:t>Artykuł 8</w:t>
            </w:r>
          </w:p>
        </w:tc>
        <w:tc>
          <w:tcPr>
            <w:tcW w:w="4876" w:type="dxa"/>
            <w:hideMark/>
          </w:tcPr>
          <w:p w:rsidR="0018078A" w:rsidRPr="00A81BA5" w:rsidRDefault="00F3635D">
            <w:pPr>
              <w:pStyle w:val="Normal6"/>
              <w:rPr>
                <w:szCs w:val="24"/>
              </w:rPr>
            </w:pPr>
            <w:r w:rsidRPr="00A81BA5">
              <w:rPr>
                <w:b/>
                <w:i/>
              </w:rPr>
              <w:t>skreśla się</w:t>
            </w:r>
          </w:p>
        </w:tc>
      </w:tr>
      <w:tr w:rsidR="00DA3A2C" w:rsidRPr="00A81BA5" w:rsidTr="0018078A">
        <w:trPr>
          <w:jc w:val="center"/>
        </w:trPr>
        <w:tc>
          <w:tcPr>
            <w:tcW w:w="4876" w:type="dxa"/>
            <w:hideMark/>
          </w:tcPr>
          <w:p w:rsidR="0018078A" w:rsidRPr="00A81BA5" w:rsidRDefault="00F3635D">
            <w:pPr>
              <w:pStyle w:val="Normal6"/>
              <w:jc w:val="center"/>
            </w:pPr>
            <w:r w:rsidRPr="00A81BA5">
              <w:rPr>
                <w:b/>
                <w:i/>
              </w:rPr>
              <w:t>Przekazywanie informacji dotyczących przestępstw polegających na przemycie migrantów i handlu ludźmi Europolowi i państwom członkowski</w:t>
            </w:r>
            <w:r w:rsidRPr="00A81BA5">
              <w:rPr>
                <w:b/>
                <w:i/>
              </w:rPr>
              <w:t>m</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1.</w:t>
            </w:r>
            <w:r w:rsidRPr="00A81BA5">
              <w:rPr>
                <w:b/>
                <w:i/>
              </w:rPr>
              <w:tab/>
              <w:t>Każde państwo członkowskie, zgodnie z rozporządzeniem (UE) 2016/794, przekazuje Europolowi informacje będące w posiadaniu krajowych właściwych organów i dotyczące przestępstw polegających na przemycie migrantów i handlu ludźmi.</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2.</w:t>
            </w:r>
            <w:r w:rsidRPr="00A81BA5">
              <w:rPr>
                <w:b/>
                <w:i/>
              </w:rPr>
              <w:tab/>
              <w:t xml:space="preserve">Każde państwo </w:t>
            </w:r>
            <w:r w:rsidRPr="00A81BA5">
              <w:rPr>
                <w:b/>
                <w:i/>
              </w:rPr>
              <w:t>członkowskie przekazuje Europolowi w odpowiednim czasie informacje, o których mowa w ust. 1 niniejszego artykułu.</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3.</w:t>
            </w:r>
            <w:r w:rsidRPr="00A81BA5">
              <w:rPr>
                <w:b/>
                <w:i/>
              </w:rPr>
              <w:tab/>
              <w:t xml:space="preserve">Każde państwo członkowskie przekazuje innym państwom </w:t>
            </w:r>
            <w:r w:rsidRPr="00A81BA5">
              <w:rPr>
                <w:b/>
                <w:i/>
              </w:rPr>
              <w:lastRenderedPageBreak/>
              <w:t>członkowskim i jednocześnie Europolowi informacje będące w posiadaniu krajowych właś</w:t>
            </w:r>
            <w:r w:rsidRPr="00A81BA5">
              <w:rPr>
                <w:b/>
                <w:i/>
              </w:rPr>
              <w:t>ciwych organów i dotyczące przestępstw polegających na przemycie migrantów i handlu ludźmi, jeżeli istnieją obiektywne powody, by sądzić, że takie informacje mogą być istotne dla tych innych państw członkowskich do celów zapobiegania takim przestępstwom, i</w:t>
            </w:r>
            <w:r w:rsidRPr="00A81BA5">
              <w:rPr>
                <w:b/>
                <w:i/>
              </w:rPr>
              <w:t>ch wykrywania lub prowadzenia w ich sprawie postępowania przygotowawczego w tych państwach członkowskich.</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4.</w:t>
            </w:r>
            <w:r w:rsidRPr="00A81BA5">
              <w:rPr>
                <w:b/>
                <w:i/>
              </w:rPr>
              <w:tab/>
              <w:t>Każde państwo członkowskie korzysta z aplikacji SIENA do przekazywania innym państwom członkowskim i Europolowi informacji, o których mowa w ust.</w:t>
            </w:r>
            <w:r w:rsidRPr="00A81BA5">
              <w:rPr>
                <w:b/>
                <w:i/>
              </w:rPr>
              <w:t> 3 niniejszego artykułu, zgodnie z art. 8 ust. 4 i art. 18 ust. 2 lit. d) rozporządzenia (UE) 2016/794.</w:t>
            </w:r>
          </w:p>
        </w:tc>
        <w:tc>
          <w:tcPr>
            <w:tcW w:w="4876" w:type="dxa"/>
          </w:tcPr>
          <w:p w:rsidR="0018078A" w:rsidRPr="00A81BA5" w:rsidRDefault="0018078A">
            <w:pPr>
              <w:pStyle w:val="Normal6"/>
              <w:rPr>
                <w:szCs w:val="24"/>
              </w:rPr>
            </w:pPr>
          </w:p>
        </w:tc>
      </w:tr>
      <w:tr w:rsidR="00DA3A2C" w:rsidRPr="00A81BA5" w:rsidTr="0018078A">
        <w:trPr>
          <w:jc w:val="center"/>
        </w:trPr>
        <w:tc>
          <w:tcPr>
            <w:tcW w:w="4876" w:type="dxa"/>
            <w:hideMark/>
          </w:tcPr>
          <w:p w:rsidR="0018078A" w:rsidRPr="00A81BA5" w:rsidRDefault="00F3635D">
            <w:pPr>
              <w:pStyle w:val="Normal6"/>
            </w:pPr>
            <w:r w:rsidRPr="00A81BA5">
              <w:rPr>
                <w:b/>
                <w:i/>
              </w:rPr>
              <w:t>5.</w:t>
            </w:r>
            <w:r w:rsidRPr="00A81BA5">
              <w:rPr>
                <w:b/>
                <w:i/>
              </w:rPr>
              <w:tab/>
              <w:t>Każde państwo członkowskie zapewnia swoim urzędnikom łącznikowym ds. imigracji połączenie z aplikacją SIENA. Jeżeli zapewnienie urzędnikowi łącznik</w:t>
            </w:r>
            <w:r w:rsidRPr="00A81BA5">
              <w:rPr>
                <w:b/>
                <w:i/>
              </w:rPr>
              <w:t>owemu ds. imigracji połączenia z aplikacją SIENA nie jest możliwe z uzasadnionych przyczyn technicznych związanych z sytuacją w państwie trzecim będącym państwem oddelegowania, taki urzędnik łącznikowy ds. imigracji przedkłada właściwemu organowi krajowemu</w:t>
            </w:r>
            <w:r w:rsidRPr="00A81BA5">
              <w:rPr>
                <w:b/>
                <w:i/>
              </w:rPr>
              <w:t xml:space="preserve"> informacje, o którym mowa w ust. 1, przy wykorzystaniu innych bezpiecznych kanałów. Wspomniany właściwy organ przekazuje te informacje Europolowi, bezpośrednio lub za pośrednictwem jednostki krajowej Europolu, korzystając z SIENA.</w:t>
            </w:r>
          </w:p>
        </w:tc>
        <w:tc>
          <w:tcPr>
            <w:tcW w:w="4876" w:type="dxa"/>
          </w:tcPr>
          <w:p w:rsidR="0018078A" w:rsidRPr="00A81BA5" w:rsidRDefault="0018078A">
            <w:pPr>
              <w:pStyle w:val="Normal6"/>
              <w:rPr>
                <w:szCs w:val="24"/>
              </w:rPr>
            </w:pP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Skreślenie odrębnego rozporządzenia. Niektóre przepisy zostały przeniesione jako poprawki do obowiązującego rozporządzeniu w sprawie Europolu.</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lastRenderedPageBreak/>
        <w:t>&lt;Amend&gt;</w:t>
      </w:r>
      <w:r w:rsidRPr="00A81BA5">
        <w:t>Poprawka</w:t>
      </w:r>
      <w:r w:rsidRPr="00A81BA5">
        <w:tab/>
      </w:r>
      <w:r w:rsidRPr="00A81BA5">
        <w:tab/>
      </w:r>
      <w:r w:rsidRPr="00A81BA5">
        <w:rPr>
          <w:rStyle w:val="HideTWBExt"/>
          <w:b w:val="0"/>
        </w:rPr>
        <w:t>&lt;NumAm&gt;</w:t>
      </w:r>
      <w:r w:rsidRPr="00A81BA5">
        <w:t>25</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 xml:space="preserve">Wniosek </w:t>
      </w:r>
      <w:r w:rsidRPr="00A81BA5">
        <w:t>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1</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2 – akapit 1 – litera y</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t>y)</w:t>
            </w:r>
            <w:r w:rsidRPr="00A81BA5">
              <w:tab/>
              <w:t>»rozmieszczenie pr</w:t>
            </w:r>
            <w:r w:rsidRPr="00A81BA5">
              <w:t>acowników Europolu w ramach wsparcia operacyjnego« oznacza rozmieszczenie pracowników Europolu lub oddelegowanych ekspertów krajowych na terytorium państwa członkowskiego na wniosek tego państwa członkowskiego w celu udzielania wsparcia analitycznego, oper</w:t>
            </w:r>
            <w:r w:rsidRPr="00A81BA5">
              <w:t>acyjnego, technicznego i kryminalistycznego w porozumieniu z właściwymi organami tego państwa członkowskiego i za ich zgodą.”;</w:t>
            </w:r>
          </w:p>
        </w:tc>
        <w:tc>
          <w:tcPr>
            <w:tcW w:w="4876" w:type="dxa"/>
            <w:hideMark/>
          </w:tcPr>
          <w:p w:rsidR="0018078A" w:rsidRPr="00A81BA5" w:rsidRDefault="00F3635D">
            <w:pPr>
              <w:pStyle w:val="Normal6"/>
              <w:rPr>
                <w:szCs w:val="24"/>
              </w:rPr>
            </w:pPr>
            <w:r w:rsidRPr="00A81BA5">
              <w:t>y)</w:t>
            </w:r>
            <w:r w:rsidRPr="00A81BA5">
              <w:tab/>
              <w:t>»rozmieszczenie pracowników Europolu w ramach wsparcia operacyjnego« oznacza rozmieszczenie pracowników Europolu lub oddelegow</w:t>
            </w:r>
            <w:r w:rsidRPr="00A81BA5">
              <w:t xml:space="preserve">anych ekspertów krajowych na terytorium państwa członkowskiego </w:t>
            </w:r>
            <w:r w:rsidRPr="00A81BA5">
              <w:rPr>
                <w:b/>
                <w:i/>
              </w:rPr>
              <w:t xml:space="preserve">lub państwa trzeciego </w:t>
            </w:r>
            <w:r w:rsidRPr="00A81BA5">
              <w:t xml:space="preserve">na wniosek tego państwa członkowskiego </w:t>
            </w:r>
            <w:r w:rsidRPr="00A81BA5">
              <w:rPr>
                <w:b/>
                <w:i/>
              </w:rPr>
              <w:t xml:space="preserve">lub państwa trzeciego lub na wniosek dyrektora wykonawczego </w:t>
            </w:r>
            <w:r w:rsidRPr="00A81BA5">
              <w:t>w celu udzielania wsparcia analitycznego, operacyjnego, technicznego i k</w:t>
            </w:r>
            <w:r w:rsidRPr="00A81BA5">
              <w:t xml:space="preserve">ryminalistycznego w porozumieniu z właściwymi organami tego państwa członkowskiego </w:t>
            </w:r>
            <w:r w:rsidRPr="00A81BA5">
              <w:rPr>
                <w:b/>
                <w:i/>
              </w:rPr>
              <w:t xml:space="preserve">lub państwa trzeciego </w:t>
            </w:r>
            <w:r w:rsidRPr="00A81BA5">
              <w:t>i za ich zgodą</w:t>
            </w:r>
            <w:r w:rsidRPr="00A81BA5">
              <w:rPr>
                <w:b/>
                <w:i/>
              </w:rPr>
              <w:t xml:space="preserve"> oraz za zgodą dyrektora wykonawczego</w:t>
            </w:r>
            <w:r w:rsidRPr="00A81BA5">
              <w:t>.”;</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26</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 xml:space="preserve">Wniosek </w:t>
      </w:r>
      <w:r w:rsidRPr="00A81BA5">
        <w:t>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1</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2 – akapit 1 – litera y a (nowa)</w:t>
      </w:r>
      <w:r w:rsidRPr="00A81BA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D519D6">
        <w:trPr>
          <w:jc w:val="center"/>
        </w:trPr>
        <w:tc>
          <w:tcPr>
            <w:tcW w:w="9752" w:type="dxa"/>
            <w:gridSpan w:val="2"/>
          </w:tcPr>
          <w:p w:rsidR="0018078A" w:rsidRPr="00A81BA5" w:rsidRDefault="0018078A">
            <w:pPr>
              <w:keepNext/>
            </w:pPr>
          </w:p>
        </w:tc>
      </w:tr>
      <w:tr w:rsidR="00DA3A2C" w:rsidRPr="00A81BA5" w:rsidTr="00D519D6">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D519D6">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 xml:space="preserve">„ya) </w:t>
            </w:r>
            <w:r w:rsidRPr="00A81BA5">
              <w:rPr>
                <w:b/>
                <w:i/>
              </w:rPr>
              <w:t>»urzędnik łącznikowy ds. imigracji« oznacza urzędnika łącznikowego oddelegowanego do państwa trzeciego przez właściwe organy państwa członkowskiego, zgodnie z jego prawem krajowym, do zajmowania się kwestiami związanymi z imigracją, w tym gdy kwestie te st</w:t>
            </w:r>
            <w:r w:rsidRPr="00A81BA5">
              <w:rPr>
                <w:b/>
                <w:i/>
              </w:rPr>
              <w:t>anowią jedynie część obowiązków tego urzędnika łącznikowego.”</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lastRenderedPageBreak/>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27</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 xml:space="preserve">Artykuł 9 – akapit 1 – punkt 2 – litera a – podpunkt </w:t>
      </w:r>
      <w:r w:rsidRPr="00A81BA5">
        <w:t>iii</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4 – ustęp 1 – litera l</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t>l)</w:t>
            </w:r>
            <w:r w:rsidRPr="00A81BA5">
              <w:tab/>
              <w:t xml:space="preserve">rozwija ośrodki Unii dysponujące specjalistyczną wiedzą fachową w zakresie zwalczania </w:t>
            </w:r>
            <w:r w:rsidRPr="00A81BA5">
              <w:t>niektórych rodzajów przestępstw objętych celami Europolu, w tym Europejskie Centrum ds. Walki z Cyberprzestępczością oraz – zgodnie z </w:t>
            </w:r>
            <w:r w:rsidRPr="00A81BA5">
              <w:rPr>
                <w:b/>
                <w:i/>
              </w:rPr>
              <w:t xml:space="preserve">rozporządzeniem Parlamentu Europejskiego i Rady (UE) </w:t>
            </w:r>
            <w:r w:rsidRPr="00A81BA5">
              <w:t>.</w:t>
            </w:r>
            <w:r w:rsidRPr="00A81BA5">
              <w:rPr>
                <w:b/>
                <w:i/>
              </w:rPr>
              <w:t>../...* [rozporządzenie w sprawie zwalczania przemytu migrantów]</w:t>
            </w:r>
            <w:r w:rsidRPr="00A81BA5">
              <w:t xml:space="preserve"> – E</w:t>
            </w:r>
            <w:r w:rsidRPr="00A81BA5">
              <w:t>uropejskie Centrum Zwalczania Przemytu Migrantów;</w:t>
            </w:r>
          </w:p>
        </w:tc>
        <w:tc>
          <w:tcPr>
            <w:tcW w:w="4876" w:type="dxa"/>
            <w:hideMark/>
          </w:tcPr>
          <w:p w:rsidR="0018078A" w:rsidRPr="00A81BA5" w:rsidRDefault="00F3635D">
            <w:pPr>
              <w:pStyle w:val="Normal6"/>
              <w:rPr>
                <w:szCs w:val="24"/>
              </w:rPr>
            </w:pPr>
            <w:r w:rsidRPr="00A81BA5">
              <w:t>l)</w:t>
            </w:r>
            <w:r w:rsidRPr="00A81BA5">
              <w:tab/>
              <w:t xml:space="preserve">rozwija ośrodki Unii dysponujące specjalistyczną wiedzą fachową w zakresie zwalczania niektórych rodzajów przestępstw objętych celami Europolu, w tym Europejskie Centrum ds. Walki z Cyberprzestępczością </w:t>
            </w:r>
            <w:r w:rsidRPr="00A81BA5">
              <w:t>oraz – zgodnie z </w:t>
            </w:r>
            <w:r w:rsidRPr="00A81BA5">
              <w:rPr>
                <w:b/>
                <w:i/>
              </w:rPr>
              <w:t>art</w:t>
            </w:r>
            <w:r w:rsidRPr="00A81BA5">
              <w:t>.</w:t>
            </w:r>
            <w:r w:rsidRPr="00A81BA5">
              <w:rPr>
                <w:b/>
                <w:i/>
              </w:rPr>
              <w:t xml:space="preserve"> 16a</w:t>
            </w:r>
            <w:r w:rsidRPr="00A81BA5">
              <w:t xml:space="preserve"> – Europejskie Centrum Zwalczania Przemytu Migrantów;</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Konsekwencja skreślenia odrębnego rozporządzenia i dodania art. 16a</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28</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2 – litera a – podpunkt iv a (nowy)</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4 – ustęp 1 – litera y a (nowa)</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(iva)</w:t>
            </w:r>
            <w:r w:rsidRPr="00A81BA5">
              <w:rPr>
                <w:b/>
                <w:i/>
              </w:rPr>
              <w:tab/>
              <w:t>dodaje się literę w brzmieniu:</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 xml:space="preserve">„ya) </w:t>
            </w:r>
            <w:r w:rsidRPr="00A81BA5">
              <w:rPr>
                <w:b/>
                <w:i/>
              </w:rPr>
              <w:tab/>
              <w:t xml:space="preserve">współpracuje z właściwymi organami państw członkowskich, w tym poprzez tworzenie nieformalnych sieci, aby przeciwdziałać internetowemu wymiarowi przemytu </w:t>
            </w:r>
            <w:r w:rsidRPr="00A81BA5">
              <w:rPr>
                <w:b/>
                <w:i/>
              </w:rPr>
              <w:t>migrantów i handlu ludźmi, w tym ułatwianiu przy użyciu internetu lub podżeganiu publicznemu;”;</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lastRenderedPageBreak/>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29</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w:t>
      </w:r>
      <w:r w:rsidRPr="00A81BA5">
        <w:t xml:space="preserve"> – punkt 2 – litera a – podpunkt v</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4 – ustęp 1 – litera z a</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t>za)</w:t>
            </w:r>
            <w:r w:rsidRPr="00A81BA5">
              <w:tab/>
              <w:t>wspiera państwa członkowskie w</w:t>
            </w:r>
            <w:r w:rsidRPr="00A81BA5">
              <w:rPr>
                <w:b/>
                <w:i/>
              </w:rPr>
              <w:t> </w:t>
            </w:r>
            <w:r w:rsidRPr="00A81BA5">
              <w:t>skutecznym i</w:t>
            </w:r>
            <w:r w:rsidRPr="00A81BA5">
              <w:rPr>
                <w:b/>
                <w:i/>
              </w:rPr>
              <w:t> </w:t>
            </w:r>
            <w:r w:rsidRPr="00A81BA5">
              <w:t xml:space="preserve">wydajnym </w:t>
            </w:r>
            <w:r w:rsidRPr="00A81BA5">
              <w:t>przetwarzaniu danych biometrycznych</w:t>
            </w:r>
            <w:r w:rsidRPr="00A81BA5">
              <w:rPr>
                <w:b/>
                <w:i/>
              </w:rPr>
              <w:t>.”</w:t>
            </w:r>
            <w:r w:rsidRPr="00A81BA5">
              <w:t>;</w:t>
            </w:r>
          </w:p>
        </w:tc>
        <w:tc>
          <w:tcPr>
            <w:tcW w:w="4876" w:type="dxa"/>
            <w:hideMark/>
          </w:tcPr>
          <w:p w:rsidR="0018078A" w:rsidRPr="00A81BA5" w:rsidRDefault="00F3635D">
            <w:pPr>
              <w:pStyle w:val="Normal6"/>
              <w:rPr>
                <w:szCs w:val="24"/>
              </w:rPr>
            </w:pPr>
            <w:r w:rsidRPr="00A81BA5">
              <w:t>za)</w:t>
            </w:r>
            <w:r w:rsidRPr="00A81BA5">
              <w:tab/>
              <w:t>wspiera państwa członkowskie</w:t>
            </w:r>
            <w:r w:rsidRPr="00A81BA5">
              <w:rPr>
                <w:b/>
                <w:i/>
              </w:rPr>
              <w:t>,</w:t>
            </w:r>
            <w:r w:rsidRPr="00A81BA5">
              <w:t xml:space="preserve"> w</w:t>
            </w:r>
            <w:r w:rsidRPr="00A81BA5">
              <w:rPr>
                <w:b/>
                <w:i/>
              </w:rPr>
              <w:t xml:space="preserve"> tym poprzez opracowywanie zaawansowanych narzędzi, w </w:t>
            </w:r>
            <w:r w:rsidRPr="00A81BA5">
              <w:t>skutecznym i</w:t>
            </w:r>
            <w:r w:rsidRPr="00A81BA5">
              <w:rPr>
                <w:b/>
                <w:i/>
              </w:rPr>
              <w:t xml:space="preserve"> </w:t>
            </w:r>
            <w:r w:rsidRPr="00A81BA5">
              <w:t>wydajnym przetwarzaniu danych biometrycznych</w:t>
            </w:r>
            <w:r w:rsidRPr="00A81BA5">
              <w:rPr>
                <w:b/>
                <w:i/>
              </w:rPr>
              <w:t>, w tym danych daktyloskopijnych, wizerunków twarzy i profili DNA</w:t>
            </w:r>
            <w:r w:rsidRPr="00A81BA5">
              <w:t>;</w:t>
            </w:r>
          </w:p>
        </w:tc>
      </w:tr>
    </w:tbl>
    <w:p w:rsidR="0018078A" w:rsidRPr="00A81BA5" w:rsidRDefault="00F3635D" w:rsidP="0018078A">
      <w:pPr>
        <w:pStyle w:val="Olang"/>
      </w:pPr>
      <w:r w:rsidRPr="00A81BA5">
        <w:t>Or.</w:t>
      </w:r>
      <w:r w:rsidRPr="00A81BA5">
        <w:t xml:space="preserve">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30</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3</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 xml:space="preserve">Artykuł 5 a – </w:t>
      </w:r>
      <w:r w:rsidRPr="00A81BA5">
        <w:t>ustęp 3</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rPr>
                <w:b/>
                <w:i/>
              </w:rPr>
              <w:t>3.</w:t>
            </w:r>
            <w:r w:rsidRPr="00A81BA5">
              <w:rPr>
                <w:b/>
                <w:i/>
              </w:rPr>
              <w:tab/>
              <w:t>Państwa członkowskie tworzące operacyjną grupę zadaniową zapewniają spójność i synergie z ramami europejskiej multidyscyplinarnej platformy przeciwko zagrożeniom przestępstwami (EMPACT).</w:t>
            </w:r>
          </w:p>
        </w:tc>
        <w:tc>
          <w:tcPr>
            <w:tcW w:w="4876" w:type="dxa"/>
            <w:hideMark/>
          </w:tcPr>
          <w:p w:rsidR="0018078A" w:rsidRPr="00A81BA5" w:rsidRDefault="00F3635D">
            <w:pPr>
              <w:pStyle w:val="Normal6"/>
              <w:rPr>
                <w:szCs w:val="24"/>
              </w:rPr>
            </w:pPr>
            <w:r w:rsidRPr="00A81BA5">
              <w:rPr>
                <w:b/>
                <w:i/>
              </w:rPr>
              <w:t>skreśla się</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Skreślenie, aby uniknąć nadmiernej regulacji i zapewnić większą elastyczność operacyjnych grup zadaniowych. Proponuje się pozostawienie zarządowi, na podstawie wniosku dyrekto</w:t>
      </w:r>
      <w:r w:rsidRPr="00A81BA5">
        <w:t>ra wykonawczego, większej swobody decydowania o szczegółach wdrażania operacyjnej grupy zadaniowej (ust. 8).</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lastRenderedPageBreak/>
        <w:t>&lt;Amend&gt;</w:t>
      </w:r>
      <w:r w:rsidRPr="00A81BA5">
        <w:t>Poprawka</w:t>
      </w:r>
      <w:r w:rsidRPr="00A81BA5">
        <w:tab/>
      </w:r>
      <w:r w:rsidRPr="00A81BA5">
        <w:tab/>
      </w:r>
      <w:r w:rsidRPr="00A81BA5">
        <w:rPr>
          <w:rStyle w:val="HideTWBExt"/>
          <w:b w:val="0"/>
        </w:rPr>
        <w:t>&lt;NumAm&gt;</w:t>
      </w:r>
      <w:r w:rsidRPr="00A81BA5">
        <w:t>31</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3</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5 a – ustęp 4</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rPr>
                <w:b/>
                <w:i/>
              </w:rPr>
              <w:t>4.</w:t>
            </w:r>
            <w:r w:rsidRPr="00A81BA5">
              <w:rPr>
                <w:b/>
                <w:i/>
              </w:rPr>
              <w:tab/>
              <w:t xml:space="preserve">Państwa członkowskie tworzące operacyjną grupę zadaniową mogą podjąć decyzję o zaproszeniu innych państw </w:t>
            </w:r>
            <w:r w:rsidRPr="00A81BA5">
              <w:rPr>
                <w:b/>
                <w:i/>
              </w:rPr>
              <w:t>członkowskich, państw trzecich oraz innych partnerów, o których mowa w art. 23, do udziału w tej operacyjnej grupie zadaniowej lub do wspierania jej działalności. Państwa trzecie i inni partnerzy biorą udział w operacyjnej grupie zadaniowej zgodnie z przep</w:t>
            </w:r>
            <w:r w:rsidRPr="00A81BA5">
              <w:rPr>
                <w:b/>
                <w:i/>
              </w:rPr>
              <w:t>isami niniejszego rozporządzenia.</w:t>
            </w:r>
          </w:p>
        </w:tc>
        <w:tc>
          <w:tcPr>
            <w:tcW w:w="4876" w:type="dxa"/>
            <w:hideMark/>
          </w:tcPr>
          <w:p w:rsidR="0018078A" w:rsidRPr="00A81BA5" w:rsidRDefault="00F3635D">
            <w:pPr>
              <w:pStyle w:val="Normal6"/>
              <w:rPr>
                <w:szCs w:val="24"/>
              </w:rPr>
            </w:pPr>
            <w:r w:rsidRPr="00A81BA5">
              <w:rPr>
                <w:b/>
                <w:i/>
              </w:rPr>
              <w:t>skreśla się</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 xml:space="preserve">Skreślenie, aby uniknąć nadmiernej regulacji i zapewnić większą elastyczność operacyjnych grup zadaniowych. Proponuje się pozostawienie </w:t>
      </w:r>
      <w:r w:rsidRPr="00A81BA5">
        <w:t>zarządowi, na podstawie wniosku dyrektora wykonawczego, większej swobody decydowania o szczegółach wdrażania operacyjnej grupy zadaniowej (ust. 8).</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32</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w:t>
      </w:r>
      <w:r w:rsidRPr="00A81BA5">
        <w:t>rtykuł 9 – akapit 1 – punkt 3</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5 a – ustęp 5</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t>5.</w:t>
            </w:r>
            <w:r w:rsidRPr="00A81BA5">
              <w:tab/>
              <w:t xml:space="preserve">Na potrzeby wspierania procesu wdrażania operacyjnej grupy zadaniowej </w:t>
            </w:r>
            <w:r w:rsidRPr="00A81BA5">
              <w:t>Europol udziela wsparcia analitycznego, operacyjnego, technicznego, kryminalistycznego i finansowego przewidzianego w niniejszym rozporządzeniu zgodnie z ust. </w:t>
            </w:r>
            <w:r w:rsidRPr="00A81BA5">
              <w:rPr>
                <w:b/>
                <w:i/>
              </w:rPr>
              <w:t>2</w:t>
            </w:r>
            <w:r w:rsidRPr="00A81BA5">
              <w:t>.</w:t>
            </w:r>
          </w:p>
        </w:tc>
        <w:tc>
          <w:tcPr>
            <w:tcW w:w="4876" w:type="dxa"/>
            <w:hideMark/>
          </w:tcPr>
          <w:p w:rsidR="0018078A" w:rsidRPr="00A81BA5" w:rsidRDefault="00F3635D">
            <w:pPr>
              <w:pStyle w:val="Normal6"/>
              <w:rPr>
                <w:szCs w:val="24"/>
              </w:rPr>
            </w:pPr>
            <w:r w:rsidRPr="00A81BA5">
              <w:t>5.</w:t>
            </w:r>
            <w:r w:rsidRPr="00A81BA5">
              <w:tab/>
              <w:t xml:space="preserve">Na potrzeby wspierania procesu wdrażania operacyjnej grupy zadaniowej Europol udziela </w:t>
            </w:r>
            <w:r w:rsidRPr="00A81BA5">
              <w:t>wsparcia analitycznego, operacyjnego, technicznego, kryminalistycznego i finansowego przewidzianego w niniejszym rozporządzeniu zgodnie z ust. </w:t>
            </w:r>
            <w:r w:rsidRPr="00A81BA5">
              <w:rPr>
                <w:b/>
                <w:i/>
              </w:rPr>
              <w:t>1</w:t>
            </w:r>
            <w:r w:rsidRPr="00A81BA5">
              <w:t>.</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lastRenderedPageBreak/>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33</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w:t>
      </w:r>
      <w:r w:rsidRPr="00A81BA5">
        <w:t>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3</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5 a – ustęp 6</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t>6.</w:t>
            </w:r>
            <w:r w:rsidRPr="00A81BA5">
              <w:tab/>
            </w:r>
            <w:r w:rsidRPr="00A81BA5">
              <w:t xml:space="preserve">Każde państwo członkowskie tworzące operacyjną grupę zadaniową, uczestniczące w takiej grupie lub wspierające jej działalność </w:t>
            </w:r>
            <w:r w:rsidRPr="00A81BA5">
              <w:rPr>
                <w:b/>
                <w:i/>
              </w:rPr>
              <w:t>podejmuje następujące działania</w:t>
            </w:r>
            <w:r w:rsidRPr="00A81BA5">
              <w:t xml:space="preserve"> zgodnie z ustaleniami dotyczącymi planowania, koordynowania i realizacji działań, o których mowa w</w:t>
            </w:r>
            <w:r w:rsidRPr="00A81BA5">
              <w:t> ust.</w:t>
            </w:r>
            <w:r w:rsidRPr="00A81BA5">
              <w:rPr>
                <w:b/>
                <w:i/>
              </w:rPr>
              <w:t> 2:</w:t>
            </w:r>
          </w:p>
        </w:tc>
        <w:tc>
          <w:tcPr>
            <w:tcW w:w="4876" w:type="dxa"/>
            <w:hideMark/>
          </w:tcPr>
          <w:p w:rsidR="0018078A" w:rsidRPr="00A81BA5" w:rsidRDefault="00F3635D">
            <w:pPr>
              <w:pStyle w:val="Normal6"/>
              <w:rPr>
                <w:szCs w:val="24"/>
              </w:rPr>
            </w:pPr>
            <w:r w:rsidRPr="00A81BA5">
              <w:t>6.</w:t>
            </w:r>
            <w:r w:rsidRPr="00A81BA5">
              <w:tab/>
              <w:t xml:space="preserve">Każde państwo członkowskie tworzące operacyjną grupę zadaniową, uczestniczące w takiej grupie lub wspierające jej działalność </w:t>
            </w:r>
            <w:r w:rsidRPr="00A81BA5">
              <w:rPr>
                <w:b/>
                <w:i/>
              </w:rPr>
              <w:t>współpracuje,</w:t>
            </w:r>
            <w:r w:rsidRPr="00A81BA5">
              <w:t xml:space="preserve"> zgodnie z ustaleniami dotyczącymi planowania, koordynowania i realizacji działań, o których mowa w ust.</w:t>
            </w:r>
            <w:r w:rsidRPr="00A81BA5">
              <w:rPr>
                <w:b/>
                <w:i/>
              </w:rPr>
              <w:t xml:space="preserve"> </w:t>
            </w:r>
            <w:r w:rsidRPr="00A81BA5">
              <w:rPr>
                <w:b/>
                <w:i/>
              </w:rPr>
              <w:t>1, z Europolem i innymi uczestniczącymi państwami członkowskimi w stopniu niezbędnym do wykonywania zadań operacyjnej grupy zadaniowej, w szczególności poprzez dostarczanie i wymianę wszystkich istotnych informacji.</w:t>
            </w:r>
          </w:p>
        </w:tc>
      </w:tr>
      <w:tr w:rsidR="00DA3A2C" w:rsidRPr="00A81BA5" w:rsidTr="0018078A">
        <w:trPr>
          <w:jc w:val="center"/>
        </w:trPr>
        <w:tc>
          <w:tcPr>
            <w:tcW w:w="4876" w:type="dxa"/>
          </w:tcPr>
          <w:p w:rsidR="005F4583" w:rsidRPr="00A81BA5" w:rsidRDefault="00F3635D">
            <w:pPr>
              <w:pStyle w:val="Normal6"/>
              <w:rPr>
                <w:b/>
                <w:i/>
              </w:rPr>
            </w:pPr>
            <w:r w:rsidRPr="00A81BA5">
              <w:rPr>
                <w:b/>
                <w:i/>
              </w:rPr>
              <w:t>a)</w:t>
            </w:r>
            <w:r w:rsidRPr="00A81BA5">
              <w:rPr>
                <w:b/>
                <w:i/>
              </w:rPr>
              <w:tab/>
              <w:t>niezwłocznie przekazuje Europolowi i</w:t>
            </w:r>
            <w:r w:rsidRPr="00A81BA5">
              <w:rPr>
                <w:b/>
                <w:i/>
              </w:rPr>
              <w:t> pozostałym państwom członkowskim tworzącym operacyjną grupę zadaniową, uczestniczącym w tej grupie lub wspierającym jej działalność wszelkie istotne informacje za pośrednictwem SIENA lub, w stosownych przypadkach, udostępnia te informacje bezpośrednio zgo</w:t>
            </w:r>
            <w:r w:rsidRPr="00A81BA5">
              <w:rPr>
                <w:b/>
                <w:i/>
              </w:rPr>
              <w:t>dnie z art. 20 ust. 2a;</w:t>
            </w:r>
          </w:p>
        </w:tc>
        <w:tc>
          <w:tcPr>
            <w:tcW w:w="4876" w:type="dxa"/>
          </w:tcPr>
          <w:p w:rsidR="005F4583" w:rsidRPr="00A81BA5" w:rsidRDefault="005F4583">
            <w:pPr>
              <w:pStyle w:val="Normal6"/>
            </w:pPr>
          </w:p>
        </w:tc>
      </w:tr>
      <w:tr w:rsidR="00DA3A2C" w:rsidRPr="00A81BA5" w:rsidTr="0018078A">
        <w:trPr>
          <w:jc w:val="center"/>
        </w:trPr>
        <w:tc>
          <w:tcPr>
            <w:tcW w:w="4876" w:type="dxa"/>
          </w:tcPr>
          <w:p w:rsidR="005F4583" w:rsidRPr="00A81BA5" w:rsidRDefault="00F3635D">
            <w:pPr>
              <w:pStyle w:val="Normal6"/>
              <w:rPr>
                <w:b/>
                <w:i/>
              </w:rPr>
            </w:pPr>
            <w:r w:rsidRPr="00A81BA5">
              <w:rPr>
                <w:b/>
                <w:i/>
              </w:rPr>
              <w:t>b)</w:t>
            </w:r>
            <w:r w:rsidRPr="00A81BA5">
              <w:rPr>
                <w:b/>
                <w:i/>
              </w:rPr>
              <w:tab/>
              <w:t>korzysta ze wsparcia analitycznego, operacyjnego, technicznego, kryminalistycznego i finansowego udzielanego przez Europol;</w:t>
            </w:r>
          </w:p>
        </w:tc>
        <w:tc>
          <w:tcPr>
            <w:tcW w:w="4876" w:type="dxa"/>
          </w:tcPr>
          <w:p w:rsidR="005F4583" w:rsidRPr="00A81BA5" w:rsidRDefault="005F4583">
            <w:pPr>
              <w:pStyle w:val="Normal6"/>
            </w:pPr>
          </w:p>
        </w:tc>
      </w:tr>
      <w:tr w:rsidR="00DA3A2C" w:rsidRPr="00A81BA5" w:rsidTr="0018078A">
        <w:trPr>
          <w:jc w:val="center"/>
        </w:trPr>
        <w:tc>
          <w:tcPr>
            <w:tcW w:w="4876" w:type="dxa"/>
          </w:tcPr>
          <w:p w:rsidR="005F4583" w:rsidRPr="00A81BA5" w:rsidRDefault="00F3635D">
            <w:pPr>
              <w:pStyle w:val="Normal6"/>
              <w:rPr>
                <w:b/>
                <w:i/>
              </w:rPr>
            </w:pPr>
            <w:r w:rsidRPr="00A81BA5">
              <w:rPr>
                <w:b/>
                <w:i/>
              </w:rPr>
              <w:t>c)</w:t>
            </w:r>
            <w:r w:rsidRPr="00A81BA5">
              <w:rPr>
                <w:b/>
                <w:i/>
              </w:rPr>
              <w:tab/>
              <w:t xml:space="preserve">podejmuje określone specjalne działania w zakresie wywiadu kryminalnego i wszczyna określone </w:t>
            </w:r>
            <w:r w:rsidRPr="00A81BA5">
              <w:rPr>
                <w:b/>
                <w:i/>
              </w:rPr>
              <w:t>specjalne postępowania przygotowawcze zgodnie z prawem krajowym w przypadkach, w których jest to konieczne do zwalczania przestępstw, którymi zajmuje się dana operacyjna grupa zadaniowa;</w:t>
            </w:r>
          </w:p>
        </w:tc>
        <w:tc>
          <w:tcPr>
            <w:tcW w:w="4876" w:type="dxa"/>
          </w:tcPr>
          <w:p w:rsidR="005F4583" w:rsidRPr="00A81BA5" w:rsidRDefault="005F4583">
            <w:pPr>
              <w:pStyle w:val="Normal6"/>
            </w:pPr>
          </w:p>
        </w:tc>
      </w:tr>
      <w:tr w:rsidR="00DA3A2C" w:rsidRPr="00A81BA5" w:rsidTr="0018078A">
        <w:trPr>
          <w:jc w:val="center"/>
        </w:trPr>
        <w:tc>
          <w:tcPr>
            <w:tcW w:w="4876" w:type="dxa"/>
          </w:tcPr>
          <w:p w:rsidR="005F4583" w:rsidRPr="00A81BA5" w:rsidRDefault="00F3635D">
            <w:pPr>
              <w:pStyle w:val="Normal6"/>
              <w:rPr>
                <w:b/>
                <w:i/>
              </w:rPr>
            </w:pPr>
            <w:r w:rsidRPr="00A81BA5">
              <w:rPr>
                <w:b/>
                <w:i/>
              </w:rPr>
              <w:t>d)</w:t>
            </w:r>
            <w:r w:rsidRPr="00A81BA5">
              <w:rPr>
                <w:b/>
                <w:i/>
              </w:rPr>
              <w:tab/>
              <w:t>wszczyna równoległe dochodzenia finansowe zgodnie z prawem krajo</w:t>
            </w:r>
            <w:r w:rsidRPr="00A81BA5">
              <w:rPr>
                <w:b/>
                <w:i/>
              </w:rPr>
              <w:t xml:space="preserve">wym </w:t>
            </w:r>
            <w:r w:rsidRPr="00A81BA5">
              <w:rPr>
                <w:b/>
                <w:i/>
              </w:rPr>
              <w:lastRenderedPageBreak/>
              <w:t>i prawem Unii w celu identyfikacji i zajmowania mienia pochodzącego z przestępstwa;</w:t>
            </w:r>
          </w:p>
        </w:tc>
        <w:tc>
          <w:tcPr>
            <w:tcW w:w="4876" w:type="dxa"/>
          </w:tcPr>
          <w:p w:rsidR="005F4583" w:rsidRPr="00A81BA5" w:rsidRDefault="005F4583">
            <w:pPr>
              <w:pStyle w:val="Normal6"/>
            </w:pPr>
          </w:p>
        </w:tc>
      </w:tr>
      <w:tr w:rsidR="00DA3A2C" w:rsidRPr="00A81BA5" w:rsidTr="0018078A">
        <w:trPr>
          <w:jc w:val="center"/>
        </w:trPr>
        <w:tc>
          <w:tcPr>
            <w:tcW w:w="4876" w:type="dxa"/>
          </w:tcPr>
          <w:p w:rsidR="005F4583" w:rsidRPr="00A81BA5" w:rsidRDefault="00F3635D">
            <w:pPr>
              <w:pStyle w:val="Normal6"/>
              <w:rPr>
                <w:b/>
                <w:i/>
              </w:rPr>
            </w:pPr>
            <w:r w:rsidRPr="00A81BA5">
              <w:rPr>
                <w:b/>
                <w:i/>
              </w:rPr>
              <w:t>e)</w:t>
            </w:r>
            <w:r w:rsidRPr="00A81BA5">
              <w:rPr>
                <w:b/>
                <w:i/>
              </w:rPr>
              <w:tab/>
              <w:t xml:space="preserve">angażuje swoich urzędników łącznikowych rozmieszczonych w państwach trzecich, w których prowadzi się postępowania przygotowawcze w związku z działalnością </w:t>
            </w:r>
            <w:r w:rsidRPr="00A81BA5">
              <w:rPr>
                <w:b/>
                <w:i/>
              </w:rPr>
              <w:t>przestępczą, w prace operacyjnej grupy zadaniowej, aby zacieśniać współpracę i sprzyjać wymienianiu się informacjami oraz aby przekazywać Europolowi gromadzone informacje zgodnie z prawem Unii i prawem krajowym.</w:t>
            </w:r>
          </w:p>
        </w:tc>
        <w:tc>
          <w:tcPr>
            <w:tcW w:w="4876" w:type="dxa"/>
          </w:tcPr>
          <w:p w:rsidR="005F4583" w:rsidRPr="00A81BA5" w:rsidRDefault="005F4583">
            <w:pPr>
              <w:pStyle w:val="Normal6"/>
            </w:pP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5F4583" w:rsidRPr="00A81BA5" w:rsidRDefault="00F3635D" w:rsidP="005F4583">
      <w:pPr>
        <w:pStyle w:val="JustificationTitle"/>
        <w:rPr>
          <w:noProof w:val="0"/>
        </w:rPr>
      </w:pPr>
      <w:r w:rsidRPr="00A81BA5">
        <w:rPr>
          <w:rStyle w:val="HideTWBExt"/>
          <w:i w:val="0"/>
        </w:rPr>
        <w:t>&lt;TitreJust</w:t>
      </w:r>
      <w:r w:rsidRPr="00A81BA5">
        <w:rPr>
          <w:rStyle w:val="HideTWBExt"/>
          <w:i w:val="0"/>
        </w:rPr>
        <w:t>&gt;</w:t>
      </w:r>
      <w:r w:rsidRPr="00A81BA5">
        <w:t>Uzasadnienie</w:t>
      </w:r>
      <w:r w:rsidRPr="00A81BA5">
        <w:rPr>
          <w:rStyle w:val="HideTWBExt"/>
          <w:i w:val="0"/>
        </w:rPr>
        <w:t>&lt;/TitreJust&gt;</w:t>
      </w:r>
    </w:p>
    <w:p w:rsidR="005F4583" w:rsidRPr="00A81BA5" w:rsidRDefault="00F3635D" w:rsidP="005F4583">
      <w:pPr>
        <w:pStyle w:val="Normal12Italic"/>
        <w:rPr>
          <w:noProof w:val="0"/>
        </w:rPr>
      </w:pPr>
      <w:r w:rsidRPr="00A81BA5">
        <w:t>Skreślenie, aby uniknąć nadmiernej regulacji i zapewnić większą elastyczność operacyjnych grup zadaniowych. Proponuje się pozostawienie zarządowi, na podstawie wniosku dyrektora wykonawczego, większej swobody decydowania o szczegó</w:t>
      </w:r>
      <w:r w:rsidRPr="00A81BA5">
        <w:t>łach wdrażania operacyjnej grupy zadaniowej (ust. 8).</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34</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3</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5 a – ustęp 8</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t>8.</w:t>
            </w:r>
            <w:r w:rsidRPr="00A81BA5">
              <w:tab/>
              <w:t>Zarząd przyjmuje przepisy wykonawcze regulujące kwestie związane z ustanawianiem i wdrażaniem operacyjnych grup zadaniowych.</w:t>
            </w:r>
          </w:p>
        </w:tc>
        <w:tc>
          <w:tcPr>
            <w:tcW w:w="4876" w:type="dxa"/>
            <w:hideMark/>
          </w:tcPr>
          <w:p w:rsidR="0018078A" w:rsidRPr="00A81BA5" w:rsidRDefault="00F3635D">
            <w:pPr>
              <w:pStyle w:val="Normal6"/>
              <w:rPr>
                <w:szCs w:val="24"/>
              </w:rPr>
            </w:pPr>
            <w:r w:rsidRPr="00A81BA5">
              <w:t>8.</w:t>
            </w:r>
            <w:r w:rsidRPr="00A81BA5">
              <w:tab/>
            </w:r>
            <w:r w:rsidRPr="00A81BA5">
              <w:rPr>
                <w:b/>
                <w:i/>
              </w:rPr>
              <w:t>Na wniosek dyrektora wykonawczego</w:t>
            </w:r>
            <w:r w:rsidRPr="00A81BA5">
              <w:t xml:space="preserve"> zarząd przyjmuje przepisy wykonawcze regulujące kwestie związane z ustanawianiem i wdrażaniem operacyjnych grup zadaniowych</w:t>
            </w:r>
            <w:r w:rsidRPr="00A81BA5">
              <w:rPr>
                <w:b/>
                <w:i/>
              </w:rPr>
              <w:t xml:space="preserve"> oraz uczestnictwem w nich</w:t>
            </w:r>
            <w:r w:rsidRPr="00A81BA5">
              <w:t xml:space="preserve">. </w:t>
            </w:r>
            <w:r w:rsidRPr="00A81BA5">
              <w:rPr>
                <w:b/>
                <w:i/>
              </w:rPr>
              <w:t>Państwa trzecie i inni partnerzy biorą udział w operacyjnej grupie zadaniowej zgodnie z przepisami ninie</w:t>
            </w:r>
            <w:r w:rsidRPr="00A81BA5">
              <w:rPr>
                <w:b/>
                <w:i/>
              </w:rPr>
              <w:t xml:space="preserve">jszego rozporządzenia. </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lastRenderedPageBreak/>
        <w:t>&lt;Amend&gt;</w:t>
      </w:r>
      <w:r w:rsidRPr="00A81BA5">
        <w:t>Poprawka</w:t>
      </w:r>
      <w:r w:rsidRPr="00A81BA5">
        <w:tab/>
      </w:r>
      <w:r w:rsidRPr="00A81BA5">
        <w:tab/>
      </w:r>
      <w:r w:rsidRPr="00A81BA5">
        <w:rPr>
          <w:rStyle w:val="HideTWBExt"/>
          <w:b w:val="0"/>
        </w:rPr>
        <w:t>&lt;NumAm&gt;</w:t>
      </w:r>
      <w:r w:rsidRPr="00A81BA5">
        <w:t>35</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3</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5 b – ustęp 1</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t>1.</w:t>
            </w:r>
            <w:r w:rsidRPr="00A81BA5">
              <w:tab/>
              <w:t xml:space="preserve">Państwo członkowskie może – zgodnie ze swoim prawem krajowym – wystąpić z wnioskiem o rozmieszczenie pracowników Europolu w ramach wsparcia operacyjnego na swoim </w:t>
            </w:r>
            <w:r w:rsidRPr="00A81BA5">
              <w:t>terytorium, aby skorzystać ze wsparcia analitycznego, operacyjnego, technicznego, kryminalistycznego i finansowego udzielanego przez Europol w celu przeciwdziałania przestępstwom i zwalczania przestępstw wchodzących w zakres celów Europolu.</w:t>
            </w:r>
          </w:p>
        </w:tc>
        <w:tc>
          <w:tcPr>
            <w:tcW w:w="4876" w:type="dxa"/>
            <w:hideMark/>
          </w:tcPr>
          <w:p w:rsidR="0018078A" w:rsidRPr="00A81BA5" w:rsidRDefault="00F3635D">
            <w:pPr>
              <w:pStyle w:val="Normal6"/>
              <w:rPr>
                <w:szCs w:val="24"/>
              </w:rPr>
            </w:pPr>
            <w:r w:rsidRPr="00A81BA5">
              <w:t>1.</w:t>
            </w:r>
            <w:r w:rsidRPr="00A81BA5">
              <w:tab/>
              <w:t>Państwo czło</w:t>
            </w:r>
            <w:r w:rsidRPr="00A81BA5">
              <w:t>nkowskie może – zgodnie ze swoim prawem krajowym – wystąpić z wnioskiem o rozmieszczenie pracowników Europolu w ramach wsparcia operacyjnego na swoim terytorium, aby skorzystać ze wsparcia analitycznego, operacyjnego, technicznego, kryminalistycznego i fin</w:t>
            </w:r>
            <w:r w:rsidRPr="00A81BA5">
              <w:t>ansowego udzielanego przez Europol w celu przeciwdziałania przestępstwom i zwalczania przestępstw wchodzących w zakres celów Europolu.</w:t>
            </w:r>
            <w:r w:rsidRPr="00A81BA5">
              <w:rPr>
                <w:b/>
                <w:i/>
              </w:rPr>
              <w:t xml:space="preserve"> Dyrektor wykonawczy ocenia wszystkie wnioski i może wyrazić zgodę na rozmieszczenie pracowników lub jej odmówić, biorąc p</w:t>
            </w:r>
            <w:r w:rsidRPr="00A81BA5">
              <w:rPr>
                <w:b/>
                <w:i/>
              </w:rPr>
              <w:t>od uwagę potrzeby operacyjne, ocenę ryzyka i dostępne zasoby.</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36</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3</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5 b – ustęp 2</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rPr>
                <w:b/>
                <w:i/>
              </w:rPr>
              <w:t>2.</w:t>
            </w:r>
            <w:r w:rsidRPr="00A81BA5">
              <w:rPr>
                <w:b/>
                <w:i/>
              </w:rPr>
              <w:tab/>
              <w:t>Rozmieszczenia pracowników Europolu w ramach wsparcia operacyjnego dokonuje się w kontekście zakrojonych na szeroką skalę pos</w:t>
            </w:r>
            <w:r w:rsidRPr="00A81BA5">
              <w:rPr>
                <w:b/>
                <w:i/>
              </w:rPr>
              <w:t xml:space="preserve">tępowań przygotowawczych wymagających wsparcia ze strony Europolu, w tym w kontekście wspólnych zespołów dochodzeniowo-śledczych lub operacyjnych grup zadaniowych, w celu zapewnienia wsparcia przy </w:t>
            </w:r>
            <w:r w:rsidRPr="00A81BA5">
              <w:rPr>
                <w:b/>
                <w:i/>
              </w:rPr>
              <w:lastRenderedPageBreak/>
              <w:t>przeszukiwaniu odpowiednich bazy danych, aby wzmocnić kontr</w:t>
            </w:r>
            <w:r w:rsidRPr="00A81BA5">
              <w:rPr>
                <w:b/>
                <w:i/>
              </w:rPr>
              <w:t>ole na granicach zewnętrznych Unii, w kontekście zespołów wspierających zarządzanie migracjami zgodnie z rozporządzeniem Parlamentu Europejskiego i Rady (UE) 2019/1896 lub w celu udzielenia państwom członkowskim wsparcia w przypadku wystąpienia poważnych i</w:t>
            </w:r>
            <w:r w:rsidRPr="00A81BA5">
              <w:rPr>
                <w:b/>
                <w:i/>
              </w:rPr>
              <w:t>ncydentów o charakterze międzynarodowym.</w:t>
            </w:r>
          </w:p>
        </w:tc>
        <w:tc>
          <w:tcPr>
            <w:tcW w:w="4876" w:type="dxa"/>
            <w:hideMark/>
          </w:tcPr>
          <w:p w:rsidR="0018078A" w:rsidRPr="00A81BA5" w:rsidRDefault="00F3635D">
            <w:pPr>
              <w:pStyle w:val="Normal6"/>
              <w:rPr>
                <w:szCs w:val="24"/>
              </w:rPr>
            </w:pPr>
            <w:r w:rsidRPr="00A81BA5">
              <w:rPr>
                <w:b/>
                <w:i/>
              </w:rPr>
              <w:lastRenderedPageBreak/>
              <w:t>skreśla się</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 xml:space="preserve">Skreślenie, aby uniknąć nadmiernej regulacji i zapewnić większą elastyczność w odniesieniu do rozmieszczenia pracowników Europolu. </w:t>
      </w:r>
      <w:r w:rsidRPr="00A81BA5">
        <w:t>Proponuje się pozostawienie zarządowi, na podstawie wniosku dyrektora wykonawczego, większej swobody decydowania o szczegółach rozmieszczenia pracowników Europolu (ust. 9).</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37</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w:t>
      </w:r>
      <w:r w:rsidRPr="00A81BA5">
        <w:t>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3</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5 b – ustęp 3</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rPr>
                <w:b/>
                <w:i/>
              </w:rPr>
              <w:t>3.</w:t>
            </w:r>
            <w:r w:rsidRPr="00A81BA5">
              <w:rPr>
                <w:b/>
                <w:i/>
              </w:rPr>
              <w:tab/>
              <w:t xml:space="preserve">Dyrektor wykonawczy ocenia wniosek złożony przez </w:t>
            </w:r>
            <w:r w:rsidRPr="00A81BA5">
              <w:rPr>
                <w:b/>
                <w:i/>
              </w:rPr>
              <w:t xml:space="preserve">państwo członkowskie zgodnie z ust. 1 i może zatwierdzić rozmieszczenie pracowników Europolu w ramach wsparcia operacyjnego w określonym terminie, który może zostać przedłużony, w zależności od potrzeb operacyjnych Europolu i zasobów pozostających do jego </w:t>
            </w:r>
            <w:r w:rsidRPr="00A81BA5">
              <w:rPr>
                <w:b/>
                <w:i/>
              </w:rPr>
              <w:t>dyspozycji. Dyrektor wykonawczy wydaje swoją decyzję w oparciu o ocenę ryzyka.</w:t>
            </w:r>
          </w:p>
        </w:tc>
        <w:tc>
          <w:tcPr>
            <w:tcW w:w="4876" w:type="dxa"/>
            <w:hideMark/>
          </w:tcPr>
          <w:p w:rsidR="0018078A" w:rsidRPr="00A81BA5" w:rsidRDefault="00F3635D">
            <w:pPr>
              <w:pStyle w:val="Normal6"/>
              <w:rPr>
                <w:szCs w:val="24"/>
              </w:rPr>
            </w:pPr>
            <w:r w:rsidRPr="00A81BA5">
              <w:rPr>
                <w:b/>
                <w:i/>
              </w:rPr>
              <w:t>skreśla się</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Skreślenie, aby uniknąć nadmiernej regulacji i zapewnić większą elastyczność w odniesieniu do ro</w:t>
      </w:r>
      <w:r w:rsidRPr="00A81BA5">
        <w:t xml:space="preserve">zmieszczenia pracowników Europolu. Proponuje się pozostawienie zarządowi, na </w:t>
      </w:r>
      <w:r w:rsidRPr="00A81BA5">
        <w:lastRenderedPageBreak/>
        <w:t>podstawie wniosku dyrektora wykonawczego, większej swobody decydowania o szczegółach rozmieszczenia pracowników Europolu (ust. 9).</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38</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3</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5 b – ustęp 5</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rPr>
                <w:b/>
                <w:i/>
              </w:rPr>
              <w:t>5.</w:t>
            </w:r>
            <w:r w:rsidRPr="00A81BA5">
              <w:rPr>
                <w:b/>
                <w:i/>
              </w:rPr>
              <w:tab/>
              <w:t xml:space="preserve">W </w:t>
            </w:r>
            <w:r w:rsidRPr="00A81BA5">
              <w:rPr>
                <w:b/>
                <w:i/>
              </w:rPr>
              <w:t>wyjątkowo pilnych przypadkach wymagających niezwłocznego rozmieszczenia pracowników Europolu w ramach wsparcia operacyjnego na terytorium państwa członkowskiego dane państwo członkowskie i dyrektor wykonawczy zapewniają podjęcie działań przedstawionych w u</w:t>
            </w:r>
            <w:r w:rsidRPr="00A81BA5">
              <w:rPr>
                <w:b/>
                <w:i/>
              </w:rPr>
              <w:t>st. 1, 3 i 4 w ciągu 72 godzin.</w:t>
            </w:r>
          </w:p>
        </w:tc>
        <w:tc>
          <w:tcPr>
            <w:tcW w:w="4876" w:type="dxa"/>
            <w:hideMark/>
          </w:tcPr>
          <w:p w:rsidR="0018078A" w:rsidRPr="00A81BA5" w:rsidRDefault="00F3635D">
            <w:pPr>
              <w:pStyle w:val="Normal6"/>
              <w:rPr>
                <w:szCs w:val="24"/>
              </w:rPr>
            </w:pPr>
            <w:r w:rsidRPr="00A81BA5">
              <w:rPr>
                <w:b/>
                <w:i/>
              </w:rPr>
              <w:t>skreśla się</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Skreślenie, aby uniknąć nadmiernej regulacji i zapewnić większą elastyczność w odniesieniu do rozmieszczenia pracowników Europolu. Proponuje si</w:t>
      </w:r>
      <w:r w:rsidRPr="00A81BA5">
        <w:t>ę pozostawienie zarządowi, na podstawie wniosku dyrektora wykonawczego, większej swobody decydowania o szczegółach rozmieszczenia pracowników Europolu (ust. 9).</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39</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w:t>
      </w:r>
      <w:r w:rsidRPr="00A81BA5">
        <w:rPr>
          <w:rStyle w:val="HideTWBExt"/>
          <w:b w:val="0"/>
        </w:rPr>
        <w:t>d&gt;</w:t>
      </w:r>
    </w:p>
    <w:p w:rsidR="0018078A" w:rsidRPr="00A81BA5" w:rsidRDefault="00F3635D" w:rsidP="0018078A">
      <w:pPr>
        <w:pStyle w:val="NormalBold"/>
      </w:pPr>
      <w:r w:rsidRPr="00A81BA5">
        <w:rPr>
          <w:rStyle w:val="HideTWBExt"/>
          <w:b w:val="0"/>
        </w:rPr>
        <w:t>&lt;Article&gt;</w:t>
      </w:r>
      <w:r w:rsidRPr="00A81BA5">
        <w:t>Artykuł 9 – akapit 1 – punkt 3</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5 b – ustęp 6</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t>6.</w:t>
            </w:r>
            <w:r w:rsidRPr="00A81BA5">
              <w:tab/>
              <w:t xml:space="preserve">Europol tworzy rezerwę ekspertów z państw członkowskich na </w:t>
            </w:r>
            <w:r w:rsidRPr="00A81BA5">
              <w:t xml:space="preserve">potrzeby rozmieszczania pracowników Europolu w ramach wsparcia operacyjnego. W skład tej rezerwy wchodzą eksperci pracujący w swoich państwach członkowskich, którzy mogą zostać niezwłocznie oddani </w:t>
            </w:r>
            <w:r w:rsidRPr="00A81BA5">
              <w:lastRenderedPageBreak/>
              <w:t>do dyspozycji Europolu w celu ich rozmieszczenia. Państwa c</w:t>
            </w:r>
            <w:r w:rsidRPr="00A81BA5">
              <w:t>złonkowskie zapewniają dyspozycyjność swoich ekspertów do celów udziału w rozmieszczeniu pracowników Europolu w ramach wsparcia operacyjnego w charakterze oddelegowanych ekspertów krajowych na żądanie Europolu.</w:t>
            </w:r>
          </w:p>
        </w:tc>
        <w:tc>
          <w:tcPr>
            <w:tcW w:w="4876" w:type="dxa"/>
            <w:hideMark/>
          </w:tcPr>
          <w:p w:rsidR="0018078A" w:rsidRPr="00A81BA5" w:rsidRDefault="00F3635D">
            <w:pPr>
              <w:pStyle w:val="Normal6"/>
              <w:rPr>
                <w:szCs w:val="24"/>
              </w:rPr>
            </w:pPr>
            <w:r w:rsidRPr="00A81BA5">
              <w:lastRenderedPageBreak/>
              <w:t>6.</w:t>
            </w:r>
            <w:r w:rsidRPr="00A81BA5">
              <w:tab/>
              <w:t xml:space="preserve">Europol tworzy </w:t>
            </w:r>
            <w:r w:rsidRPr="00A81BA5">
              <w:rPr>
                <w:b/>
                <w:i/>
              </w:rPr>
              <w:t xml:space="preserve">obowiązkową </w:t>
            </w:r>
            <w:r w:rsidRPr="00A81BA5">
              <w:t>rezerwę ekspert</w:t>
            </w:r>
            <w:r w:rsidRPr="00A81BA5">
              <w:t xml:space="preserve">ów z państw członkowskich na potrzeby rozmieszczania pracowników Europolu w ramach wsparcia operacyjnego. W skład tej rezerwy wchodzą eksperci pracujący w swoich państwach członkowskich, którzy mogą </w:t>
            </w:r>
            <w:r w:rsidRPr="00A81BA5">
              <w:lastRenderedPageBreak/>
              <w:t xml:space="preserve">zostać niezwłocznie oddani do dyspozycji Europolu w celu </w:t>
            </w:r>
            <w:r w:rsidRPr="00A81BA5">
              <w:t>ich rozmieszczenia. Państwa członkowskie zapewniają dyspozycyjność swoich ekspertów do celów udziału w rozmieszczeniu pracowników Europolu w ramach wsparcia operacyjnego w charakterze oddelegowanych ekspertów krajowych na żądanie Europolu</w:t>
            </w:r>
            <w:r w:rsidRPr="00A81BA5">
              <w:rPr>
                <w:b/>
                <w:i/>
              </w:rPr>
              <w:t>, zgodnie z zasadą</w:t>
            </w:r>
            <w:r w:rsidRPr="00A81BA5">
              <w:rPr>
                <w:b/>
                <w:i/>
              </w:rPr>
              <w:t xml:space="preserve"> sprawiedliwego podziału odpowiedzialności, przy zapewnieniu sprawiedliwego wkładu każdego państwa członkowskiego a zarazem utrzymaniu zasobów niezbędnych do wypełniania jego obowiązków krajowych.</w:t>
            </w:r>
            <w:r w:rsidRPr="00A81BA5">
              <w:t xml:space="preserve"> </w:t>
            </w:r>
            <w:r w:rsidRPr="00A81BA5">
              <w:rPr>
                <w:b/>
                <w:i/>
              </w:rPr>
              <w:t>Skład rezerwy jest w jak największym stopniu zrównoważony p</w:t>
            </w:r>
            <w:r w:rsidRPr="00A81BA5">
              <w:rPr>
                <w:b/>
                <w:i/>
              </w:rPr>
              <w:t>od względem geograficznym i proporcjonalny do zdolności każdego państwa członkowskiego.</w:t>
            </w:r>
          </w:p>
        </w:tc>
      </w:tr>
    </w:tbl>
    <w:p w:rsidR="0018078A" w:rsidRPr="00A81BA5" w:rsidRDefault="00F3635D" w:rsidP="0018078A">
      <w:pPr>
        <w:pStyle w:val="Olang"/>
      </w:pPr>
      <w:r w:rsidRPr="00A81BA5">
        <w:lastRenderedPageBreak/>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40</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w:t>
      </w:r>
      <w:r w:rsidRPr="00A81BA5">
        <w:t xml:space="preserve"> 3</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5 b – ustęp 9</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hideMark/>
          </w:tcPr>
          <w:p w:rsidR="0018078A" w:rsidRPr="00A81BA5" w:rsidRDefault="00F3635D">
            <w:pPr>
              <w:pStyle w:val="Normal6"/>
            </w:pPr>
            <w:r w:rsidRPr="00A81BA5">
              <w:t>9.</w:t>
            </w:r>
            <w:r w:rsidRPr="00A81BA5">
              <w:tab/>
              <w:t xml:space="preserve">Zarząd przyjmuje przepisy wykonawcze regulujące kwestie związane z przygotowaniem i wdrażaniem </w:t>
            </w:r>
            <w:r w:rsidRPr="00A81BA5">
              <w:t>rozmieszczenia pracowników Europolu w ramach wsparcia operacyjnego, w tym przepisy dotyczące liczby i profilów ekspertów, którzy mają wchodzić w skład rezerwy, oraz wszelkich późniejszych zmian składu tej rezerwy.</w:t>
            </w:r>
          </w:p>
        </w:tc>
        <w:tc>
          <w:tcPr>
            <w:tcW w:w="4876" w:type="dxa"/>
            <w:hideMark/>
          </w:tcPr>
          <w:p w:rsidR="0018078A" w:rsidRPr="00A81BA5" w:rsidRDefault="00F3635D">
            <w:pPr>
              <w:pStyle w:val="Normal6"/>
              <w:rPr>
                <w:szCs w:val="24"/>
              </w:rPr>
            </w:pPr>
            <w:r w:rsidRPr="00A81BA5">
              <w:t>9.</w:t>
            </w:r>
            <w:r w:rsidRPr="00A81BA5">
              <w:tab/>
            </w:r>
            <w:r w:rsidRPr="00A81BA5">
              <w:rPr>
                <w:b/>
                <w:i/>
              </w:rPr>
              <w:t>Na wniosek dyrektora wykonawczego</w:t>
            </w:r>
            <w:r w:rsidRPr="00A81BA5">
              <w:t xml:space="preserve"> zarzą</w:t>
            </w:r>
            <w:r w:rsidRPr="00A81BA5">
              <w:t>d przyjmuje przepisy wykonawcze regulujące kwestie związane z przygotowaniem i wdrażaniem rozmieszczenia pracowników Europolu w ramach wsparcia operacyjnego, w tym przepisy dotyczące liczby i profilów ekspertów, którzy mają wchodzić w skład rezerwy, oraz w</w:t>
            </w:r>
            <w:r w:rsidRPr="00A81BA5">
              <w:t>szelkich późniejszych zmian składu tej rezerwy.</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lastRenderedPageBreak/>
        <w:t>&lt;Amend&gt;</w:t>
      </w:r>
      <w:r w:rsidRPr="00A81BA5">
        <w:t>Poprawka</w:t>
      </w:r>
      <w:r w:rsidRPr="00A81BA5">
        <w:tab/>
      </w:r>
      <w:r w:rsidRPr="00A81BA5">
        <w:tab/>
      </w:r>
      <w:r w:rsidRPr="00A81BA5">
        <w:rPr>
          <w:rStyle w:val="HideTWBExt"/>
          <w:b w:val="0"/>
        </w:rPr>
        <w:t>&lt;NumAm&gt;</w:t>
      </w:r>
      <w:r w:rsidRPr="00A81BA5">
        <w:t>41</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3 a (nowy)</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8 a (nowy)</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rsidP="008B091D">
            <w:pPr>
              <w:pStyle w:val="Normal6"/>
              <w:rPr>
                <w:szCs w:val="24"/>
              </w:rPr>
            </w:pPr>
            <w:r w:rsidRPr="00A81BA5">
              <w:rPr>
                <w:b/>
                <w:i/>
              </w:rPr>
              <w:t>3a)</w:t>
            </w:r>
            <w:r w:rsidRPr="00A81BA5">
              <w:rPr>
                <w:b/>
                <w:i/>
              </w:rPr>
              <w:tab/>
              <w:t>dodaje się następujący artykuł:</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„Artykuł 8a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Krajowe służby wyspecjalizowane w zapobieganiu przemytowi migrantów i handlowi</w:t>
            </w:r>
            <w:r w:rsidRPr="00A81BA5">
              <w:rPr>
                <w:b/>
                <w:i/>
              </w:rPr>
              <w:t xml:space="preserve"> ludźmi oraz zwalczaniu tych przestępstw</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rsidP="008B091D">
            <w:pPr>
              <w:pStyle w:val="Normal6"/>
              <w:rPr>
                <w:szCs w:val="24"/>
              </w:rPr>
            </w:pPr>
            <w:r w:rsidRPr="00A81BA5">
              <w:rPr>
                <w:b/>
                <w:i/>
              </w:rPr>
              <w:t>1.</w:t>
            </w:r>
            <w:r w:rsidRPr="00A81BA5">
              <w:rPr>
                <w:b/>
                <w:i/>
              </w:rPr>
              <w:tab/>
              <w:t>Do dnia ... [rok po wejściu w życie niniejszego rozporządzenia] każde państwo członkowskie wyznacza co najmniej jedną wyspecjalizowaną służbę w ramach swoich właściwych organów, zgodnie z prawem krajowym, w cel</w:t>
            </w:r>
            <w:r w:rsidRPr="00A81BA5">
              <w:rPr>
                <w:b/>
                <w:i/>
              </w:rPr>
              <w:t>u zapobiegania przemytowi migrantów i handlowi ludźmi oraz zwalczania tych przestępstw, w tym w drodze postępowań przygotowawczych, oraz natychmiast informuje o tym Komisję.</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2.</w:t>
            </w:r>
            <w:r w:rsidRPr="00A81BA5">
              <w:rPr>
                <w:b/>
                <w:i/>
              </w:rPr>
              <w:tab/>
              <w:t>Każde państwo członkowskie zapewnia, aby jego wyspecjalizowane służby wyznacz</w:t>
            </w:r>
            <w:r w:rsidRPr="00A81BA5">
              <w:rPr>
                <w:b/>
                <w:i/>
              </w:rPr>
              <w:t>one zgodnie z ust. 1 niniejszego artykułu gromadziły wszystkie istotne informacje dotyczące postępowań przygotowawczych w sprawie przemytu migrantów i handlu ludźmi i wynikające z takich postępowań, oraz aby jak najszybciej przekazywały te informacje Europ</w:t>
            </w:r>
            <w:r w:rsidRPr="00A81BA5">
              <w:rPr>
                <w:b/>
                <w:i/>
              </w:rPr>
              <w:t>olowi i innym państwom członkowskim za pośrednictwem aplikacji sieci bezpiecznej wymiany informacji (SIENA) Europolu.</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3.</w:t>
            </w:r>
            <w:r w:rsidRPr="00A81BA5">
              <w:rPr>
                <w:b/>
                <w:i/>
              </w:rPr>
              <w:tab/>
              <w:t>Każde państwo członkowskie zapewnia, aby jego urzędnicy łącznikowi ds. imigracji byli podłączeni do aplikacji SIENA i współpracowali,</w:t>
            </w:r>
            <w:r w:rsidRPr="00A81BA5">
              <w:rPr>
                <w:b/>
                <w:i/>
              </w:rPr>
              <w:t xml:space="preserve"> w miarę możliwości i zgodnie z prawem krajowym, z wyspecjalizowanymi służbami wyznaczonymi zgodnie z ust. 1 oraz Europolem w zakresie zapobiegania przemytowi migrantów i handlowi ludźmi </w:t>
            </w:r>
            <w:r w:rsidRPr="00A81BA5">
              <w:rPr>
                <w:b/>
                <w:i/>
              </w:rPr>
              <w:lastRenderedPageBreak/>
              <w:t>oraz zwalczania tych zjawisk.”</w:t>
            </w:r>
          </w:p>
        </w:tc>
      </w:tr>
    </w:tbl>
    <w:p w:rsidR="0018078A" w:rsidRPr="00A81BA5" w:rsidRDefault="00F3635D" w:rsidP="0018078A">
      <w:pPr>
        <w:pStyle w:val="Olang"/>
      </w:pPr>
      <w:r w:rsidRPr="00A81BA5">
        <w:lastRenderedPageBreak/>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w:t>
      </w:r>
      <w:r w:rsidRPr="00A81BA5">
        <w:rPr>
          <w:rStyle w:val="HideTWBExt"/>
        </w:rPr>
        <w:t>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42</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3 b (nowy)</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Sekcja 2 a (nowa) – artykuł 16 a (nowy)</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rsidP="008B091D">
            <w:pPr>
              <w:pStyle w:val="Normal6"/>
              <w:rPr>
                <w:szCs w:val="24"/>
              </w:rPr>
            </w:pPr>
            <w:r w:rsidRPr="00A81BA5">
              <w:rPr>
                <w:b/>
                <w:i/>
              </w:rPr>
              <w:t>3b)</w:t>
            </w:r>
            <w:r w:rsidRPr="00A81BA5">
              <w:rPr>
                <w:b/>
                <w:i/>
              </w:rPr>
              <w:tab/>
              <w:t>dodaje się sekcję w brzmieniu:</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rsidP="008B091D">
            <w:pPr>
              <w:pStyle w:val="Normal6"/>
              <w:rPr>
                <w:szCs w:val="24"/>
              </w:rPr>
            </w:pPr>
            <w:r w:rsidRPr="00A81BA5">
              <w:rPr>
                <w:b/>
                <w:i/>
              </w:rPr>
              <w:t>„Sekcja 2a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Europejskie Centrum Zwalczania Przemytu Migrantów</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Artykuł 16a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Zadania i skład Europejskiego Centrum Zwalczania Przemytu Migrantów</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1.</w:t>
            </w:r>
            <w:r w:rsidRPr="00A81BA5">
              <w:rPr>
                <w:b/>
                <w:i/>
              </w:rPr>
              <w:tab/>
              <w:t xml:space="preserve">W ramach </w:t>
            </w:r>
            <w:r w:rsidRPr="00A81BA5">
              <w:rPr>
                <w:b/>
                <w:i/>
              </w:rPr>
              <w:t>Europolu ustanawia się Europejskie Centrum Zwalczania Przemytu Migrantów jako unijne centrum specjalistycznej wiedzy fachowej. Centrum to wspiera państwa członkowskie w zapobieganiu przemytowi migrantów i handlowi ludźmi oraz w zwalczaniu tych przestępstw,</w:t>
            </w:r>
            <w:r w:rsidRPr="00A81BA5">
              <w:rPr>
                <w:b/>
                <w:i/>
              </w:rPr>
              <w:t xml:space="preserve"> wykonując zadania operacyjne i strategiczne. Zadania te obejmują koordynację, organizację i realizację działań dochodzeniowych i operacyjnych oraz wspieranie transgranicznych działań, operacji i dochodzeń państw członkowskich w zakresie wymiany informacji</w:t>
            </w:r>
            <w:r w:rsidRPr="00A81BA5">
              <w:rPr>
                <w:b/>
                <w:i/>
              </w:rPr>
              <w:t>, a także wspólnych zespołów dochodzeniowo-śledczych i operacyjnych grup zadaniowych. Obejmują również monitorowanie przemytu migrantów i handlu ludźmi w Unii i w państwach trzecich oraz identyfikację przypadków przemytu migrantów i handlu ludźmi, które mo</w:t>
            </w:r>
            <w:r w:rsidRPr="00A81BA5">
              <w:rPr>
                <w:b/>
                <w:i/>
              </w:rPr>
              <w:t xml:space="preserve">gą wymagać współpracy z państwami trzecimi, w tym poprzez wymianę danych osobowych. Europejskie Centrum Zwalczania Przemytu </w:t>
            </w:r>
            <w:r w:rsidRPr="00A81BA5">
              <w:rPr>
                <w:b/>
                <w:i/>
              </w:rPr>
              <w:lastRenderedPageBreak/>
              <w:t>Migrantów przedstawia również analizy strategiczne i oceny zagrożeń dotyczące przemytu migrantów i handlu ludźmi oraz roczne sprawoz</w:t>
            </w:r>
            <w:r w:rsidRPr="00A81BA5">
              <w:rPr>
                <w:b/>
                <w:i/>
              </w:rPr>
              <w:t>danie określające główne priorytety operacyjne i ewentualne powiązane działania na szczeblu Unii.</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2.</w:t>
            </w:r>
            <w:r w:rsidRPr="00A81BA5">
              <w:rPr>
                <w:b/>
                <w:i/>
              </w:rPr>
              <w:tab/>
              <w:t>Europol zapewnia Europejskiemu Centrum Zwalczania Przemytu Migrantów odpowiednie zasoby do wykonywania jego zadań.</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3.</w:t>
            </w:r>
            <w:r w:rsidRPr="00A81BA5">
              <w:rPr>
                <w:b/>
                <w:i/>
              </w:rPr>
              <w:tab/>
              <w:t xml:space="preserve">Europejskie Centrum Zwalczania </w:t>
            </w:r>
            <w:r w:rsidRPr="00A81BA5">
              <w:rPr>
                <w:b/>
                <w:i/>
              </w:rPr>
              <w:t>Przemytu Migrantów składa się z pracowników Europolu i przedstawicieli następujących podmiotów:</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a)</w:t>
            </w:r>
            <w:r w:rsidRPr="00A81BA5">
              <w:rPr>
                <w:b/>
                <w:i/>
              </w:rPr>
              <w:tab/>
              <w:t>po jednym przedstawicielu każdego państwa członkowskiego wyznaczonym przez krajowe wyspecjalizowane służby, o których mowa w art. 8a, w ramach właściwych o</w:t>
            </w:r>
            <w:r w:rsidRPr="00A81BA5">
              <w:rPr>
                <w:b/>
                <w:i/>
              </w:rPr>
              <w:t>rganów, odpowiedzialne za zapobieganie przemytowi migrantów i handlowi ludźmi oraz zwalczanie tych przestępstw;</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b)</w:t>
            </w:r>
            <w:r w:rsidRPr="00A81BA5">
              <w:rPr>
                <w:b/>
                <w:i/>
              </w:rPr>
              <w:tab/>
              <w:t>stałego przedstawiciela Eurojustu;</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c)</w:t>
            </w:r>
            <w:r w:rsidRPr="00A81BA5">
              <w:rPr>
                <w:b/>
                <w:i/>
              </w:rPr>
              <w:tab/>
              <w:t>stałego przedstawiciela Europejskiej Agencji Straży Granicznej i Przybrzeżnej;</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Europol może zapro</w:t>
            </w:r>
            <w:r w:rsidRPr="00A81BA5">
              <w:rPr>
                <w:b/>
                <w:i/>
              </w:rPr>
              <w:t>sić innych uczestników do udziału w działaniach Europejskiego Centrum Zwalczania Przemytu Migrantów.</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4.</w:t>
            </w:r>
            <w:r w:rsidRPr="00A81BA5">
              <w:rPr>
                <w:b/>
                <w:i/>
              </w:rPr>
              <w:tab/>
              <w:t xml:space="preserve">Na wniosek dyrektora wykonawczego, po konsultacji z podmiotami wymienionymi w ust. 3 lit. a), b) i c), zarząd przyjmuje przepisy wykonawcze dotyczące </w:t>
            </w:r>
            <w:r w:rsidRPr="00A81BA5">
              <w:rPr>
                <w:b/>
                <w:i/>
              </w:rPr>
              <w:t>Europejskiego Centrum Zwalczania Przemytu Migrantów, w tym dotyczące rodzajów zadań operacyjnych i strategicznych, które mają zostać zrealizowane, oraz udziału przedstawicieli i zaproszonych uczestników wymienionych w ust. 3. Organy lub agencje Unii, w tym</w:t>
            </w:r>
            <w:r w:rsidRPr="00A81BA5">
              <w:rPr>
                <w:b/>
                <w:i/>
              </w:rPr>
              <w:t xml:space="preserve"> te określone w ust. 3, które uczestniczą w działaniach Europejskiego Centrum Zwalczania Przemytu Migrantów, czynią to zgodnie z ich odpowiednimi ramami </w:t>
            </w:r>
            <w:r w:rsidRPr="00A81BA5">
              <w:rPr>
                <w:b/>
                <w:i/>
              </w:rPr>
              <w:lastRenderedPageBreak/>
              <w:t>prawnymi.”</w:t>
            </w:r>
          </w:p>
        </w:tc>
      </w:tr>
    </w:tbl>
    <w:p w:rsidR="0018078A" w:rsidRPr="00A81BA5" w:rsidRDefault="00F3635D" w:rsidP="0018078A">
      <w:pPr>
        <w:pStyle w:val="Olang"/>
      </w:pPr>
      <w:r w:rsidRPr="00A81BA5">
        <w:lastRenderedPageBreak/>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 xml:space="preserve">Propozycja utworzenia </w:t>
      </w:r>
      <w:r w:rsidRPr="00A81BA5">
        <w:t>Europejskiego Centrum Zwalczania Przemytu Migrantów w ramach rozporządzenia w sprawie Europolu. Proponuje się pozostawienie zarządowi, na podstawie wniosku dyrektora wykonawczego, większej swobody decydowania o szczegółach zadań Centrum i zaangażowania inn</w:t>
      </w:r>
      <w:r w:rsidRPr="00A81BA5">
        <w:t>ych podmiotów (ust. 4).</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43</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4 a (nowy)</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 xml:space="preserve">Artykuł 49 – </w:t>
      </w:r>
      <w:r w:rsidRPr="00A81BA5">
        <w:t>ustęp 5 a (nowy)</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rsidP="008B091D">
            <w:pPr>
              <w:pStyle w:val="Normal6"/>
              <w:rPr>
                <w:szCs w:val="24"/>
              </w:rPr>
            </w:pPr>
            <w:r w:rsidRPr="00A81BA5">
              <w:rPr>
                <w:b/>
                <w:i/>
              </w:rPr>
              <w:t>4a)</w:t>
            </w:r>
            <w:r w:rsidRPr="00A81BA5">
              <w:rPr>
                <w:b/>
                <w:i/>
              </w:rPr>
              <w:tab/>
              <w:t>w art. 49 dodaje się ustęp w brzmieniu:</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„5a.</w:t>
            </w:r>
            <w:r w:rsidRPr="00A81BA5">
              <w:rPr>
                <w:b/>
                <w:i/>
              </w:rPr>
              <w:tab/>
              <w:t xml:space="preserve">Każda osoba, która poniosła szkodę majątkową lub niemajątkową w wyniku naruszenia niniejszego rozporządzenia, ma prawo uzyskać </w:t>
            </w:r>
            <w:r w:rsidRPr="00A81BA5">
              <w:rPr>
                <w:b/>
                <w:i/>
              </w:rPr>
              <w:t>odszkodowanie zgodnie z art. 65 rozporządzenia (UE) 2018/1725 i art. 56 dyrektywy (UE) 2016/680.”</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44</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w:t>
      </w:r>
      <w:r w:rsidRPr="00A81BA5">
        <w:t xml:space="preserve"> 1 – punkt 4 b (nowy)</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50</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rsidP="008B091D">
            <w:pPr>
              <w:pStyle w:val="ColumnHeading"/>
              <w:keepNext/>
            </w:pPr>
            <w:r w:rsidRPr="00A81BA5">
              <w:t>Tekst obowiązujący</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rsidP="003C4EC2">
            <w:pPr>
              <w:pStyle w:val="Normal6"/>
              <w:rPr>
                <w:szCs w:val="24"/>
              </w:rPr>
            </w:pPr>
            <w:r w:rsidRPr="00A81BA5">
              <w:rPr>
                <w:b/>
                <w:i/>
              </w:rPr>
              <w:t>4b)</w:t>
            </w:r>
            <w:r w:rsidRPr="00A81BA5">
              <w:rPr>
                <w:b/>
                <w:i/>
              </w:rPr>
              <w:tab/>
              <w:t>art. 50 otrzymuje brzmienie:</w:t>
            </w:r>
          </w:p>
        </w:tc>
      </w:tr>
      <w:tr w:rsidR="00DA3A2C" w:rsidRPr="00A81BA5" w:rsidTr="0018078A">
        <w:trPr>
          <w:jc w:val="center"/>
        </w:trPr>
        <w:tc>
          <w:tcPr>
            <w:tcW w:w="4876" w:type="dxa"/>
          </w:tcPr>
          <w:p w:rsidR="0018078A" w:rsidRPr="00A81BA5" w:rsidRDefault="00F3635D">
            <w:pPr>
              <w:pStyle w:val="Normal6"/>
            </w:pPr>
            <w:r w:rsidRPr="00A81BA5">
              <w:rPr>
                <w:b/>
                <w:i/>
              </w:rPr>
              <w:t>Artykuł 50</w:t>
            </w:r>
          </w:p>
        </w:tc>
        <w:tc>
          <w:tcPr>
            <w:tcW w:w="4876" w:type="dxa"/>
            <w:hideMark/>
          </w:tcPr>
          <w:p w:rsidR="0018078A" w:rsidRPr="00A81BA5" w:rsidRDefault="00F3635D">
            <w:pPr>
              <w:pStyle w:val="Normal6"/>
              <w:rPr>
                <w:szCs w:val="24"/>
              </w:rPr>
            </w:pPr>
            <w:r w:rsidRPr="00A81BA5">
              <w:rPr>
                <w:b/>
                <w:i/>
              </w:rPr>
              <w:t>„Artykuł 50</w:t>
            </w:r>
          </w:p>
        </w:tc>
      </w:tr>
      <w:tr w:rsidR="00DA3A2C" w:rsidRPr="00A81BA5" w:rsidTr="0018078A">
        <w:trPr>
          <w:jc w:val="center"/>
        </w:trPr>
        <w:tc>
          <w:tcPr>
            <w:tcW w:w="4876" w:type="dxa"/>
          </w:tcPr>
          <w:p w:rsidR="0018078A" w:rsidRPr="00A81BA5" w:rsidRDefault="00F3635D">
            <w:pPr>
              <w:pStyle w:val="Normal6"/>
            </w:pPr>
            <w:r w:rsidRPr="00A81BA5">
              <w:t xml:space="preserve">Odpowiedzialność za </w:t>
            </w:r>
            <w:r w:rsidRPr="00A81BA5">
              <w:rPr>
                <w:b/>
                <w:i/>
              </w:rPr>
              <w:t xml:space="preserve">nieprawidłowe przetwarzanie </w:t>
            </w:r>
            <w:r w:rsidRPr="00A81BA5">
              <w:rPr>
                <w:b/>
                <w:i/>
              </w:rPr>
              <w:t xml:space="preserve">danych osobowych i prawo </w:t>
            </w:r>
            <w:r w:rsidRPr="00A81BA5">
              <w:rPr>
                <w:b/>
                <w:i/>
              </w:rPr>
              <w:lastRenderedPageBreak/>
              <w:t>do odszkodowania</w:t>
            </w:r>
          </w:p>
        </w:tc>
        <w:tc>
          <w:tcPr>
            <w:tcW w:w="4876" w:type="dxa"/>
            <w:hideMark/>
          </w:tcPr>
          <w:p w:rsidR="0018078A" w:rsidRPr="00A81BA5" w:rsidRDefault="00F3635D">
            <w:pPr>
              <w:pStyle w:val="Normal6"/>
              <w:rPr>
                <w:szCs w:val="24"/>
              </w:rPr>
            </w:pPr>
            <w:r w:rsidRPr="00A81BA5">
              <w:lastRenderedPageBreak/>
              <w:t xml:space="preserve">Odpowiedzialność za </w:t>
            </w:r>
            <w:r w:rsidRPr="00A81BA5">
              <w:rPr>
                <w:b/>
                <w:i/>
              </w:rPr>
              <w:t>nieuprawnione lub niewłaściwe przetwarzanie danych</w:t>
            </w:r>
          </w:p>
        </w:tc>
      </w:tr>
      <w:tr w:rsidR="00DA3A2C" w:rsidRPr="00A81BA5" w:rsidTr="0018078A">
        <w:trPr>
          <w:jc w:val="center"/>
        </w:trPr>
        <w:tc>
          <w:tcPr>
            <w:tcW w:w="4876" w:type="dxa"/>
          </w:tcPr>
          <w:p w:rsidR="0018078A" w:rsidRPr="00A81BA5" w:rsidRDefault="00F3635D">
            <w:pPr>
              <w:pStyle w:val="Normal6"/>
            </w:pPr>
            <w:r w:rsidRPr="00A81BA5">
              <w:t>1.</w:t>
            </w:r>
            <w:r w:rsidRPr="00A81BA5">
              <w:tab/>
            </w:r>
            <w:r w:rsidRPr="00A81BA5">
              <w:rPr>
                <w:b/>
                <w:i/>
              </w:rPr>
              <w:t>Każdy, kto poniósł szkodę w wyniku niezgodnego z prawem przetwarzania danych, ma prawo do odszkodowania od Europolu,</w:t>
            </w:r>
            <w:r w:rsidRPr="00A81BA5">
              <w:t xml:space="preserve"> zgodnie z art. 340 TFU</w:t>
            </w:r>
            <w:r w:rsidRPr="00A81BA5">
              <w:t>E</w:t>
            </w:r>
            <w:r w:rsidRPr="00A81BA5">
              <w:rPr>
                <w:b/>
                <w:i/>
              </w:rPr>
              <w:t>, lub od państwa członkowskiego, w którym nastąpiło zdarzenie powodujące szkodę</w:t>
            </w:r>
            <w:r w:rsidRPr="00A81BA5">
              <w:t xml:space="preserve">, </w:t>
            </w:r>
            <w:r w:rsidRPr="00A81BA5">
              <w:rPr>
                <w:b/>
                <w:i/>
              </w:rPr>
              <w:t>zgodnie</w:t>
            </w:r>
            <w:r w:rsidRPr="00A81BA5">
              <w:t xml:space="preserve"> z </w:t>
            </w:r>
            <w:r w:rsidRPr="00A81BA5">
              <w:rPr>
                <w:b/>
                <w:i/>
              </w:rPr>
              <w:t>jego prawem krajowym.</w:t>
            </w:r>
            <w:r w:rsidRPr="00A81BA5">
              <w:t xml:space="preserve"> </w:t>
            </w:r>
            <w:r w:rsidRPr="00A81BA5">
              <w:rPr>
                <w:b/>
                <w:i/>
              </w:rPr>
              <w:t>Poszkodowany może wnieść pozew przeciwko Europolowi do Trybunału Sprawiedliwości Unii Europejskiej</w:t>
            </w:r>
            <w:r w:rsidRPr="00A81BA5">
              <w:t xml:space="preserve"> lub </w:t>
            </w:r>
            <w:r w:rsidRPr="00A81BA5">
              <w:rPr>
                <w:b/>
                <w:i/>
              </w:rPr>
              <w:t>przeciwko państwu członkowskiemu do wła</w:t>
            </w:r>
            <w:r w:rsidRPr="00A81BA5">
              <w:rPr>
                <w:b/>
                <w:i/>
              </w:rPr>
              <w:t>ściwego sądu krajowego danego państwa członkowskiego</w:t>
            </w:r>
            <w:r w:rsidRPr="00A81BA5">
              <w:t>.</w:t>
            </w:r>
          </w:p>
        </w:tc>
        <w:tc>
          <w:tcPr>
            <w:tcW w:w="4876" w:type="dxa"/>
            <w:hideMark/>
          </w:tcPr>
          <w:p w:rsidR="0018078A" w:rsidRPr="00A81BA5" w:rsidRDefault="00F3635D">
            <w:pPr>
              <w:pStyle w:val="Normal6"/>
              <w:rPr>
                <w:szCs w:val="24"/>
              </w:rPr>
            </w:pPr>
            <w:r w:rsidRPr="00A81BA5">
              <w:t>1.</w:t>
            </w:r>
            <w:r w:rsidRPr="00A81BA5">
              <w:rPr>
                <w:b/>
                <w:i/>
              </w:rPr>
              <w:tab/>
            </w:r>
            <w:r w:rsidRPr="00A81BA5">
              <w:t>Zgodnie z art. 340 TFUE</w:t>
            </w:r>
            <w:r w:rsidRPr="00A81BA5">
              <w:rPr>
                <w:b/>
                <w:i/>
              </w:rPr>
              <w:t xml:space="preserve"> Europol odpowiada za wszelkie szkody wyrządzone osobom fizycznym</w:t>
            </w:r>
            <w:r w:rsidRPr="00A81BA5">
              <w:t xml:space="preserve">, </w:t>
            </w:r>
            <w:r w:rsidRPr="00A81BA5">
              <w:rPr>
                <w:b/>
                <w:i/>
              </w:rPr>
              <w:t>wynikające</w:t>
            </w:r>
            <w:r w:rsidRPr="00A81BA5">
              <w:t xml:space="preserve"> z </w:t>
            </w:r>
            <w:r w:rsidRPr="00A81BA5">
              <w:rPr>
                <w:b/>
                <w:i/>
              </w:rPr>
              <w:t>prowadzonego przez niego nieuprawnionego</w:t>
            </w:r>
            <w:r w:rsidRPr="00A81BA5">
              <w:t xml:space="preserve"> lub </w:t>
            </w:r>
            <w:r w:rsidRPr="00A81BA5">
              <w:rPr>
                <w:b/>
                <w:i/>
              </w:rPr>
              <w:t>niewłaściwego przetwarzania danych</w:t>
            </w:r>
            <w:r w:rsidRPr="00A81BA5">
              <w:t>.</w:t>
            </w:r>
          </w:p>
        </w:tc>
      </w:tr>
      <w:tr w:rsidR="00DA3A2C" w:rsidRPr="00A81BA5" w:rsidTr="0018078A">
        <w:trPr>
          <w:jc w:val="center"/>
        </w:trPr>
        <w:tc>
          <w:tcPr>
            <w:tcW w:w="4876" w:type="dxa"/>
          </w:tcPr>
          <w:p w:rsidR="0018078A" w:rsidRPr="00A81BA5" w:rsidRDefault="00F3635D">
            <w:pPr>
              <w:pStyle w:val="Normal6"/>
              <w:rPr>
                <w:b/>
                <w:i/>
              </w:rPr>
            </w:pPr>
            <w:r w:rsidRPr="00A81BA5">
              <w:rPr>
                <w:b/>
                <w:i/>
              </w:rPr>
              <w:t>2.</w:t>
            </w:r>
            <w:r w:rsidRPr="00A81BA5">
              <w:rPr>
                <w:b/>
                <w:i/>
              </w:rPr>
              <w:tab/>
              <w:t xml:space="preserve">Wszelkie </w:t>
            </w:r>
            <w:r w:rsidRPr="00A81BA5">
              <w:rPr>
                <w:b/>
                <w:i/>
              </w:rPr>
              <w:t>spory między Europolem a państwami członkowskimi dotyczące ostatecznej odpowiedzialności za odszkodowanie przyznane danej osobie zgodnie z ust. 1 są kierowane do zarządu, który podejmuje decyzję większością dwóch trzecich głosów członków, bez uszczerbku dl</w:t>
            </w:r>
            <w:r w:rsidRPr="00A81BA5">
              <w:rPr>
                <w:b/>
                <w:i/>
              </w:rPr>
              <w:t>a prawa do zakwestionowania tej decyzji zgodnie z art. 263 TFUE.</w:t>
            </w:r>
          </w:p>
        </w:tc>
        <w:tc>
          <w:tcPr>
            <w:tcW w:w="4876" w:type="dxa"/>
            <w:hideMark/>
          </w:tcPr>
          <w:p w:rsidR="0018078A" w:rsidRPr="00A81BA5" w:rsidRDefault="00F3635D">
            <w:pPr>
              <w:pStyle w:val="Normal6"/>
              <w:rPr>
                <w:szCs w:val="24"/>
              </w:rPr>
            </w:pPr>
            <w:r w:rsidRPr="00A81BA5">
              <w:rPr>
                <w:b/>
                <w:i/>
              </w:rPr>
              <w:t>2.</w:t>
            </w:r>
            <w:r w:rsidRPr="00A81BA5">
              <w:rPr>
                <w:b/>
                <w:i/>
              </w:rPr>
              <w:tab/>
              <w:t>Skargi przeciwko Europolowi dotyczące odpowiedzialności, o której mowa w ust. 1 niniejszego artykułu, są rozpatrywane przez Trybunał Sprawiedliwości Unii Europejskiej zgodnie z art. 268 TF</w:t>
            </w:r>
            <w:r w:rsidRPr="00A81BA5">
              <w:rPr>
                <w:b/>
                <w:i/>
              </w:rPr>
              <w:t>UE.</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3.</w:t>
            </w:r>
            <w:r w:rsidRPr="00A81BA5">
              <w:rPr>
                <w:b/>
                <w:i/>
              </w:rPr>
              <w:tab/>
              <w:t>Każde państwo członkowskie jest odpowiedzialne, zgodnie z jego prawem krajowym, za wszelkie szkody wyrządzone osobom fizycznym, wynikające z prowadzonego przez nie nieuprawnionego lub niewłaściwego przetwarzania danych przekazanych do Europolu.”</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Harmonizacja obowiązującego systemu odpowiedzialności i odszkodowań z innymi agencjami (por. art. 46 rozporządzenia w sprawie Eurojustu)</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45</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4 c (nowy)</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53</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rsidP="008B091D">
            <w:pPr>
              <w:pStyle w:val="ColumnHeading"/>
              <w:keepNext/>
            </w:pPr>
            <w:r w:rsidRPr="00A81BA5">
              <w:t>Tekst obowiązujący</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rsidP="003C4EC2">
            <w:pPr>
              <w:pStyle w:val="Normal6"/>
              <w:rPr>
                <w:szCs w:val="24"/>
              </w:rPr>
            </w:pPr>
            <w:r w:rsidRPr="00A81BA5">
              <w:rPr>
                <w:b/>
                <w:i/>
              </w:rPr>
              <w:t>4c)</w:t>
            </w:r>
            <w:r w:rsidRPr="00A81BA5">
              <w:rPr>
                <w:b/>
                <w:i/>
              </w:rPr>
              <w:tab/>
              <w:t xml:space="preserve">art. 53 otrzymuje </w:t>
            </w:r>
            <w:r w:rsidRPr="00A81BA5">
              <w:rPr>
                <w:b/>
                <w:i/>
              </w:rPr>
              <w:t>brzmienie:</w:t>
            </w:r>
          </w:p>
        </w:tc>
      </w:tr>
      <w:tr w:rsidR="00DA3A2C" w:rsidRPr="00A81BA5" w:rsidTr="0018078A">
        <w:trPr>
          <w:jc w:val="center"/>
        </w:trPr>
        <w:tc>
          <w:tcPr>
            <w:tcW w:w="4876" w:type="dxa"/>
          </w:tcPr>
          <w:p w:rsidR="0018078A" w:rsidRPr="00A81BA5" w:rsidRDefault="00F3635D">
            <w:pPr>
              <w:pStyle w:val="Normal6"/>
            </w:pPr>
            <w:r w:rsidRPr="00A81BA5">
              <w:rPr>
                <w:b/>
                <w:i/>
              </w:rPr>
              <w:t>Artykuł</w:t>
            </w:r>
            <w:r w:rsidRPr="00A81BA5">
              <w:t xml:space="preserve"> 53</w:t>
            </w:r>
          </w:p>
        </w:tc>
        <w:tc>
          <w:tcPr>
            <w:tcW w:w="4876" w:type="dxa"/>
            <w:hideMark/>
          </w:tcPr>
          <w:p w:rsidR="0018078A" w:rsidRPr="00A81BA5" w:rsidRDefault="00F3635D">
            <w:pPr>
              <w:pStyle w:val="Normal6"/>
              <w:rPr>
                <w:szCs w:val="24"/>
              </w:rPr>
            </w:pPr>
            <w:r w:rsidRPr="00A81BA5">
              <w:rPr>
                <w:b/>
                <w:i/>
              </w:rPr>
              <w:t>„Artykuł</w:t>
            </w:r>
            <w:r w:rsidRPr="00A81BA5">
              <w:t xml:space="preserve"> 53</w:t>
            </w:r>
          </w:p>
        </w:tc>
      </w:tr>
      <w:tr w:rsidR="00DA3A2C" w:rsidRPr="00A81BA5" w:rsidTr="0018078A">
        <w:trPr>
          <w:jc w:val="center"/>
        </w:trPr>
        <w:tc>
          <w:tcPr>
            <w:tcW w:w="4876" w:type="dxa"/>
          </w:tcPr>
          <w:p w:rsidR="0018078A" w:rsidRPr="00A81BA5" w:rsidRDefault="00F3635D">
            <w:pPr>
              <w:pStyle w:val="Normal6"/>
            </w:pPr>
            <w:r w:rsidRPr="00A81BA5">
              <w:t>Przepisy ogólne</w:t>
            </w:r>
          </w:p>
        </w:tc>
        <w:tc>
          <w:tcPr>
            <w:tcW w:w="4876" w:type="dxa"/>
            <w:hideMark/>
          </w:tcPr>
          <w:p w:rsidR="0018078A" w:rsidRPr="00A81BA5" w:rsidRDefault="00F3635D">
            <w:pPr>
              <w:pStyle w:val="Normal6"/>
              <w:rPr>
                <w:szCs w:val="24"/>
              </w:rPr>
            </w:pPr>
            <w:r w:rsidRPr="00A81BA5">
              <w:t>Przepisy ogólne</w:t>
            </w:r>
          </w:p>
        </w:tc>
      </w:tr>
      <w:tr w:rsidR="00DA3A2C" w:rsidRPr="00A81BA5" w:rsidTr="0018078A">
        <w:trPr>
          <w:jc w:val="center"/>
        </w:trPr>
        <w:tc>
          <w:tcPr>
            <w:tcW w:w="4876" w:type="dxa"/>
          </w:tcPr>
          <w:p w:rsidR="0018078A" w:rsidRPr="00A81BA5" w:rsidRDefault="00F3635D">
            <w:pPr>
              <w:pStyle w:val="Normal6"/>
            </w:pPr>
            <w:r w:rsidRPr="00A81BA5">
              <w:t>1.</w:t>
            </w:r>
            <w:r w:rsidRPr="00A81BA5">
              <w:tab/>
              <w:t>Regulamin pracowniczy urzędników, warunki zatrudnienia innych pracowników oraz przepisy przyjęte w drodze porozumienia między instytucjami Unii dotyczące wykonania tego regulaminu prac</w:t>
            </w:r>
            <w:r w:rsidRPr="00A81BA5">
              <w:t>owniczego i warunków zatrudnienia innych pracowników</w:t>
            </w:r>
            <w:r w:rsidRPr="00A81BA5">
              <w:rPr>
                <w:b/>
                <w:i/>
              </w:rPr>
              <w:t xml:space="preserve"> mają zastosowanie do personelu Europolu, z wyjątkiem tych pracowników, którzy w dniu 1 maja 2017 r. będą zatrudnieni na podstawie umów zawartych przez Europol ustanowiony Konwencją o Europolu, bez uszcze</w:t>
            </w:r>
            <w:r w:rsidRPr="00A81BA5">
              <w:rPr>
                <w:b/>
                <w:i/>
              </w:rPr>
              <w:t>rbku dla art. 73 ust. 4 niniejszego rozporządzenia. Do takich umów w dalszym ciągu zastosowanie ma akt Rady z dnia 3 grudnia 1998 r.</w:t>
            </w:r>
          </w:p>
        </w:tc>
        <w:tc>
          <w:tcPr>
            <w:tcW w:w="4876" w:type="dxa"/>
            <w:hideMark/>
          </w:tcPr>
          <w:p w:rsidR="0018078A" w:rsidRPr="00A81BA5" w:rsidRDefault="00F3635D">
            <w:pPr>
              <w:pStyle w:val="Normal6"/>
              <w:rPr>
                <w:szCs w:val="24"/>
              </w:rPr>
            </w:pPr>
            <w:r w:rsidRPr="00A81BA5">
              <w:t>1.</w:t>
            </w:r>
            <w:r w:rsidRPr="00A81BA5">
              <w:tab/>
            </w:r>
            <w:r w:rsidRPr="00A81BA5">
              <w:rPr>
                <w:b/>
                <w:i/>
              </w:rPr>
              <w:t>Do personelu Europolu stosuje się</w:t>
            </w:r>
            <w:r w:rsidRPr="00A81BA5">
              <w:t xml:space="preserve"> regulamin pracowniczy urzędników, warunki zatrudnienia innych pracowników oraz przepis</w:t>
            </w:r>
            <w:r w:rsidRPr="00A81BA5">
              <w:t>y przyjęte w drodze porozumienia między instytucjami Unii dotyczące wykonania tego regulaminu pracowniczego i warunków zatrudnienia innych pracowników.</w:t>
            </w:r>
          </w:p>
        </w:tc>
      </w:tr>
      <w:tr w:rsidR="00DA3A2C" w:rsidRPr="00A81BA5" w:rsidTr="0018078A">
        <w:trPr>
          <w:jc w:val="center"/>
        </w:trPr>
        <w:tc>
          <w:tcPr>
            <w:tcW w:w="4876" w:type="dxa"/>
          </w:tcPr>
          <w:p w:rsidR="0018078A" w:rsidRPr="00A81BA5" w:rsidRDefault="00F3635D">
            <w:pPr>
              <w:pStyle w:val="Normal6"/>
            </w:pPr>
            <w:r w:rsidRPr="00A81BA5">
              <w:t>2.</w:t>
            </w:r>
            <w:r w:rsidRPr="00A81BA5">
              <w:tab/>
              <w:t>Personel Europolu składa się z personelu tymczasowego lub personelu kontraktowego. Zarząd jest co ro</w:t>
            </w:r>
            <w:r w:rsidRPr="00A81BA5">
              <w:t>ku informowany o zawartych przez dyrektora wykonawczego umowach na czas nieokreślony. Zarząd decyduje, które stanowiska czasowe przewidziane w planie zatrudnienia mogą być obsadzane jedynie przez pracowników zaangażowanych z właściwych organów państw człon</w:t>
            </w:r>
            <w:r w:rsidRPr="00A81BA5">
              <w:t xml:space="preserve">kowskich. Osoby zatrudniane w celu obsadzenia takich stanowisk są pracownikami tymczasowymi i mogą być z nimi zawierane jedynie umowy o pracę na czas określony, które można jednokrotnie przedłużyć na </w:t>
            </w:r>
            <w:r w:rsidRPr="00A81BA5">
              <w:rPr>
                <w:b/>
                <w:i/>
              </w:rPr>
              <w:t>czas</w:t>
            </w:r>
            <w:r w:rsidRPr="00A81BA5">
              <w:t xml:space="preserve"> określony.</w:t>
            </w:r>
          </w:p>
        </w:tc>
        <w:tc>
          <w:tcPr>
            <w:tcW w:w="4876" w:type="dxa"/>
            <w:hideMark/>
          </w:tcPr>
          <w:p w:rsidR="0018078A" w:rsidRPr="00A81BA5" w:rsidRDefault="00F3635D">
            <w:pPr>
              <w:pStyle w:val="Normal6"/>
              <w:rPr>
                <w:szCs w:val="24"/>
              </w:rPr>
            </w:pPr>
            <w:r w:rsidRPr="00A81BA5">
              <w:t>2.</w:t>
            </w:r>
            <w:r w:rsidRPr="00A81BA5">
              <w:tab/>
              <w:t>Personel Europolu składa się z person</w:t>
            </w:r>
            <w:r w:rsidRPr="00A81BA5">
              <w:t>elu tymczasowego lub personelu kontraktowego. Zarząd jest co roku informowany o zawartych przez dyrektora wykonawczego umowach na czas nieokreślony. Zarząd decyduje, które stanowiska czasowe przewidziane w planie zatrudnienia mogą być obsadzane jedynie prz</w:t>
            </w:r>
            <w:r w:rsidRPr="00A81BA5">
              <w:t>ez pracowników zaangażowanych z właściwych organów państw członkowskich.</w:t>
            </w:r>
            <w:r w:rsidRPr="00A81BA5">
              <w:rPr>
                <w:b/>
                <w:i/>
              </w:rPr>
              <w:t xml:space="preserve"> </w:t>
            </w:r>
            <w:r w:rsidRPr="00A81BA5">
              <w:t>Osoby zatrudniane w celu obsadzenia takich stanowisk są pracownikami tymczasowymi i mogą być z nimi zawierane jedynie umowy o pracę na czas określony, które można jednokrotnie przedłu</w:t>
            </w:r>
            <w:r w:rsidRPr="00A81BA5">
              <w:t xml:space="preserve">żyć na </w:t>
            </w:r>
            <w:r w:rsidRPr="00A81BA5">
              <w:rPr>
                <w:b/>
                <w:i/>
              </w:rPr>
              <w:t>całkowity maksymalny</w:t>
            </w:r>
            <w:r w:rsidRPr="00A81BA5">
              <w:t xml:space="preserve"> określony</w:t>
            </w:r>
            <w:r w:rsidRPr="00A81BA5">
              <w:rPr>
                <w:b/>
                <w:i/>
              </w:rPr>
              <w:t xml:space="preserve"> okres dziesięciu lat</w:t>
            </w:r>
            <w:r w:rsidRPr="00A81BA5">
              <w:t>.</w:t>
            </w:r>
            <w:r w:rsidRPr="00A81BA5">
              <w:rPr>
                <w:b/>
                <w:i/>
              </w:rPr>
              <w:t>”</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lastRenderedPageBreak/>
        <w:t>&lt;Amend&gt;</w:t>
      </w:r>
      <w:r w:rsidRPr="00A81BA5">
        <w:t>Poprawka</w:t>
      </w:r>
      <w:r w:rsidRPr="00A81BA5">
        <w:tab/>
      </w:r>
      <w:r w:rsidRPr="00A81BA5">
        <w:tab/>
      </w:r>
      <w:r w:rsidRPr="00A81BA5">
        <w:rPr>
          <w:rStyle w:val="HideTWBExt"/>
          <w:b w:val="0"/>
        </w:rPr>
        <w:t>&lt;NumAm&gt;</w:t>
      </w:r>
      <w:r w:rsidRPr="00A81BA5">
        <w:t>46</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4 d (nowy)</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54 – ustęp 3 – wprowadzenie</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4d)</w:t>
            </w:r>
            <w:r w:rsidRPr="00A81BA5">
              <w:rPr>
                <w:b/>
                <w:i/>
              </w:rPr>
              <w:tab/>
              <w:t>w art. 54 ust. 3 wprowadzenie otrzymuje brzmienie:</w:t>
            </w:r>
          </w:p>
        </w:tc>
      </w:tr>
      <w:tr w:rsidR="00DA3A2C" w:rsidRPr="00A81BA5" w:rsidTr="0018078A">
        <w:trPr>
          <w:jc w:val="center"/>
        </w:trPr>
        <w:tc>
          <w:tcPr>
            <w:tcW w:w="4876" w:type="dxa"/>
          </w:tcPr>
          <w:p w:rsidR="0018078A" w:rsidRPr="00A81BA5" w:rsidRDefault="00F3635D">
            <w:pPr>
              <w:pStyle w:val="Normal6"/>
            </w:pPr>
            <w:r w:rsidRPr="00A81BA5">
              <w:t>3.</w:t>
            </w:r>
            <w:r w:rsidRPr="00A81BA5">
              <w:tab/>
              <w:t xml:space="preserve">Kadencja dyrektora wykonawczego trwa </w:t>
            </w:r>
            <w:r w:rsidRPr="00A81BA5">
              <w:rPr>
                <w:b/>
                <w:i/>
              </w:rPr>
              <w:t>cztery</w:t>
            </w:r>
            <w:r w:rsidRPr="00A81BA5">
              <w:rPr>
                <w:b/>
                <w:i/>
              </w:rPr>
              <w:t xml:space="preserve"> lata</w:t>
            </w:r>
            <w:r w:rsidRPr="00A81BA5">
              <w:t>. Przed upływem tego okresu Komisja w porozumieniu z zarządem przeprowadza ocenę, w której uwzględnia się:</w:t>
            </w:r>
          </w:p>
        </w:tc>
        <w:tc>
          <w:tcPr>
            <w:tcW w:w="4876" w:type="dxa"/>
            <w:hideMark/>
          </w:tcPr>
          <w:p w:rsidR="0018078A" w:rsidRPr="00A81BA5" w:rsidRDefault="00F3635D">
            <w:pPr>
              <w:pStyle w:val="Normal6"/>
              <w:rPr>
                <w:szCs w:val="24"/>
              </w:rPr>
            </w:pPr>
            <w:r w:rsidRPr="00A81BA5">
              <w:rPr>
                <w:b/>
                <w:i/>
              </w:rPr>
              <w:t>„3.</w:t>
            </w:r>
            <w:r w:rsidRPr="00A81BA5">
              <w:tab/>
              <w:t xml:space="preserve">Kadencja dyrektora wykonawczego trwa </w:t>
            </w:r>
            <w:r w:rsidRPr="00A81BA5">
              <w:rPr>
                <w:b/>
                <w:i/>
              </w:rPr>
              <w:t>pięć lat</w:t>
            </w:r>
            <w:r w:rsidRPr="00A81BA5">
              <w:t>.</w:t>
            </w:r>
            <w:r w:rsidRPr="00A81BA5">
              <w:rPr>
                <w:b/>
                <w:i/>
              </w:rPr>
              <w:t xml:space="preserve"> </w:t>
            </w:r>
            <w:r w:rsidRPr="00A81BA5">
              <w:t>Przed upływem tego okresu Komisja w porozumieniu z zarządem przeprowadza ocenę, w której uwzg</w:t>
            </w:r>
            <w:r w:rsidRPr="00A81BA5">
              <w:t>lędnia się:</w:t>
            </w:r>
            <w:r w:rsidRPr="00A81BA5">
              <w:rPr>
                <w:b/>
                <w:i/>
              </w:rPr>
              <w:t>”</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Proponuje się ujednolicić kadencję kadry kierowniczej z innymi agencjami WSiSW, takimi jak Frontex, Agencja Praw Podstawowych Unii Europejskiej (FRA) i eu-LISA.</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47</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4 e (nowy)</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54 – ustęp 4</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 xml:space="preserve">Tekst </w:t>
            </w:r>
            <w:r w:rsidRPr="00A81BA5">
              <w:t>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4e)</w:t>
            </w:r>
            <w:r w:rsidRPr="00A81BA5">
              <w:rPr>
                <w:b/>
                <w:i/>
              </w:rPr>
              <w:tab/>
              <w:t>art. 54 ust. 4 otrzymuje brzmienie:</w:t>
            </w:r>
          </w:p>
        </w:tc>
      </w:tr>
      <w:tr w:rsidR="00DA3A2C" w:rsidRPr="00A81BA5" w:rsidTr="0018078A">
        <w:trPr>
          <w:jc w:val="center"/>
        </w:trPr>
        <w:tc>
          <w:tcPr>
            <w:tcW w:w="4876" w:type="dxa"/>
          </w:tcPr>
          <w:p w:rsidR="0018078A" w:rsidRPr="00A81BA5" w:rsidRDefault="00F3635D">
            <w:pPr>
              <w:pStyle w:val="Normal6"/>
            </w:pPr>
            <w:r w:rsidRPr="00A81BA5">
              <w:t>4.</w:t>
            </w:r>
            <w:r w:rsidRPr="00A81BA5">
              <w:tab/>
              <w:t xml:space="preserve">Rada, stanowiąc na wniosek zarządu, który uwzględnia ocenę, o której mowa w ust. 3, może jednokrotnie przedłużyć kadencję dyrektora wykonawczego na okres nie dłuższy niż </w:t>
            </w:r>
            <w:r w:rsidRPr="00A81BA5">
              <w:rPr>
                <w:b/>
                <w:i/>
              </w:rPr>
              <w:t>czter</w:t>
            </w:r>
            <w:r w:rsidRPr="00A81BA5">
              <w:rPr>
                <w:b/>
                <w:i/>
              </w:rPr>
              <w:t>y lata</w:t>
            </w:r>
            <w:r w:rsidRPr="00A81BA5">
              <w:t>.</w:t>
            </w:r>
          </w:p>
        </w:tc>
        <w:tc>
          <w:tcPr>
            <w:tcW w:w="4876" w:type="dxa"/>
            <w:hideMark/>
          </w:tcPr>
          <w:p w:rsidR="0018078A" w:rsidRPr="00A81BA5" w:rsidRDefault="00F3635D">
            <w:pPr>
              <w:pStyle w:val="Normal6"/>
              <w:rPr>
                <w:szCs w:val="24"/>
              </w:rPr>
            </w:pPr>
            <w:r w:rsidRPr="00A81BA5">
              <w:rPr>
                <w:b/>
                <w:i/>
              </w:rPr>
              <w:t>„4.</w:t>
            </w:r>
            <w:r w:rsidRPr="00A81BA5">
              <w:tab/>
              <w:t xml:space="preserve">Rada, stanowiąc na wniosek zarządu, który uwzględnia ocenę, o której mowa w ust. 3, może jednokrotnie przedłużyć kadencję dyrektora wykonawczego na okres nie dłuższy niż </w:t>
            </w:r>
            <w:r w:rsidRPr="00A81BA5">
              <w:rPr>
                <w:b/>
                <w:i/>
              </w:rPr>
              <w:t>pięć lat</w:t>
            </w:r>
            <w:r w:rsidRPr="00A81BA5">
              <w:t>.</w:t>
            </w:r>
            <w:r w:rsidRPr="00A81BA5">
              <w:rPr>
                <w:b/>
                <w:i/>
              </w:rPr>
              <w:t>”</w:t>
            </w:r>
          </w:p>
        </w:tc>
      </w:tr>
    </w:tbl>
    <w:p w:rsidR="0018078A" w:rsidRPr="00A81BA5" w:rsidRDefault="00F3635D" w:rsidP="0018078A">
      <w:pPr>
        <w:pStyle w:val="Olang"/>
      </w:pPr>
      <w:r w:rsidRPr="00A81BA5">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Uzasadnienie</w:t>
      </w:r>
      <w:r w:rsidRPr="00A81BA5">
        <w:rPr>
          <w:rStyle w:val="HideTWBExt"/>
          <w:i w:val="0"/>
        </w:rPr>
        <w:t>&lt;/TitreJust&gt;</w:t>
      </w:r>
    </w:p>
    <w:p w:rsidR="0018078A" w:rsidRPr="00A81BA5" w:rsidRDefault="00F3635D" w:rsidP="0018078A">
      <w:pPr>
        <w:pStyle w:val="Normal12Italic"/>
        <w:rPr>
          <w:noProof w:val="0"/>
        </w:rPr>
      </w:pPr>
      <w:r w:rsidRPr="00A81BA5">
        <w:t>Proponuje się ujednolicić kadencję kadry kierowniczej z innymi agencjami WSiSW, takimi jak Frontex, Agencja Praw Podstawowych Unii Europejskiej (FRA) i eu-LISA.</w:t>
      </w:r>
    </w:p>
    <w:p w:rsidR="0018078A" w:rsidRPr="00A81BA5" w:rsidRDefault="00F3635D" w:rsidP="0018078A">
      <w:r w:rsidRPr="00A81BA5">
        <w:rPr>
          <w:rStyle w:val="HideTWBExt"/>
        </w:rPr>
        <w:lastRenderedPageBreak/>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48</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w:t>
      </w:r>
      <w:r w:rsidRPr="00A81BA5">
        <w:t>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4 f (nowy)</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63 a (nowy)</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4f)</w:t>
            </w:r>
            <w:r w:rsidRPr="00A81BA5">
              <w:rPr>
                <w:b/>
                <w:i/>
              </w:rPr>
              <w:tab/>
              <w:t>dodaje się art. 63a w brzmieniu:</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„Artykuł 63a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Zeznania świadków składane przez pracowników Europolu</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 xml:space="preserve">Dyrektor wykonawczy podejmuje decyzję o upoważnieniu pracowników Europolu do składania zeznań w charakterze świadka przed sądem państwa członkowskiego. Upoważnienie do składania zeznań </w:t>
            </w:r>
            <w:r w:rsidRPr="00A81BA5">
              <w:rPr>
                <w:b/>
                <w:i/>
              </w:rPr>
              <w:t>nie może zostać niesłusznie wstrzymane, a w zależności od okoliczności dyrektor wykonawczy może określić warunki składania zeznań zgodnie z prawem krajowym. Przepisy te mają również zastosowanie do pracowników wcześniej zatrudnianych przez Europol.”</w:t>
            </w:r>
          </w:p>
        </w:tc>
      </w:tr>
    </w:tbl>
    <w:p w:rsidR="0018078A" w:rsidRPr="00A81BA5" w:rsidRDefault="00F3635D" w:rsidP="0018078A">
      <w:pPr>
        <w:pStyle w:val="Olang"/>
      </w:pPr>
      <w:r w:rsidRPr="00A81BA5">
        <w:t xml:space="preserve">Or. </w:t>
      </w:r>
      <w:r w:rsidRPr="00A81BA5">
        <w:rPr>
          <w:rStyle w:val="HideTWBExt"/>
          <w:noProof w:val="0"/>
        </w:rPr>
        <w:t>&lt;</w:t>
      </w:r>
      <w:r w:rsidRPr="00A81BA5">
        <w:rPr>
          <w:rStyle w:val="HideTWBExt"/>
          <w:noProof w:val="0"/>
        </w:rPr>
        <w:t>Original&gt;</w:t>
      </w:r>
      <w:r w:rsidRPr="00A81BA5">
        <w:rPr>
          <w:rStyle w:val="HideTWBInt"/>
        </w:rPr>
        <w:t>{EN}</w:t>
      </w:r>
      <w:r w:rsidRPr="00A81BA5">
        <w:t>en</w:t>
      </w:r>
      <w:r w:rsidRPr="00A81BA5">
        <w:rPr>
          <w:rStyle w:val="HideTWBExt"/>
          <w:noProof w:val="0"/>
        </w:rPr>
        <w:t>&lt;/Original&gt;</w:t>
      </w:r>
    </w:p>
    <w:p w:rsidR="0018078A" w:rsidRPr="00A81BA5" w:rsidRDefault="00F3635D" w:rsidP="0018078A">
      <w:r w:rsidRPr="00A81BA5">
        <w:rPr>
          <w:rStyle w:val="HideTWBExt"/>
        </w:rPr>
        <w:t>&lt;/Amend&gt;</w:t>
      </w:r>
    </w:p>
    <w:p w:rsidR="0018078A" w:rsidRPr="00A81BA5" w:rsidRDefault="00F3635D" w:rsidP="0018078A">
      <w:pPr>
        <w:pStyle w:val="AMNumberTabs0"/>
        <w:keepNext/>
      </w:pPr>
      <w:r w:rsidRPr="00A81BA5">
        <w:rPr>
          <w:rStyle w:val="HideTWBExt"/>
          <w:b w:val="0"/>
        </w:rPr>
        <w:t>&lt;Amend&gt;</w:t>
      </w:r>
      <w:r w:rsidRPr="00A81BA5">
        <w:t>Poprawka</w:t>
      </w:r>
      <w:r w:rsidRPr="00A81BA5">
        <w:tab/>
      </w:r>
      <w:r w:rsidRPr="00A81BA5">
        <w:tab/>
      </w:r>
      <w:r w:rsidRPr="00A81BA5">
        <w:rPr>
          <w:rStyle w:val="HideTWBExt"/>
          <w:b w:val="0"/>
        </w:rPr>
        <w:t>&lt;NumAm&gt;</w:t>
      </w:r>
      <w:r w:rsidRPr="00A81BA5">
        <w:t>49</w:t>
      </w:r>
      <w:r w:rsidRPr="00A81BA5">
        <w:rPr>
          <w:rStyle w:val="HideTWBExt"/>
          <w:b w:val="0"/>
        </w:rPr>
        <w:t>&lt;/NumAm&gt;</w:t>
      </w:r>
    </w:p>
    <w:p w:rsidR="0018078A" w:rsidRPr="00A81BA5" w:rsidRDefault="00F3635D" w:rsidP="0018078A">
      <w:pPr>
        <w:pStyle w:val="NormalBold12b"/>
        <w:keepNext/>
      </w:pPr>
      <w:r w:rsidRPr="00A81BA5">
        <w:rPr>
          <w:rStyle w:val="HideTWBExt"/>
          <w:b w:val="0"/>
        </w:rPr>
        <w:t>&lt;DocAmend&gt;</w:t>
      </w:r>
      <w:r w:rsidRPr="00A81BA5">
        <w:t>Wniosek dotyczący rozporządzenia</w:t>
      </w:r>
      <w:r w:rsidRPr="00A81BA5">
        <w:rPr>
          <w:rStyle w:val="HideTWBExt"/>
          <w:b w:val="0"/>
        </w:rPr>
        <w:t>&lt;/DocAmend&gt;</w:t>
      </w:r>
    </w:p>
    <w:p w:rsidR="0018078A" w:rsidRPr="00A81BA5" w:rsidRDefault="00F3635D" w:rsidP="0018078A">
      <w:pPr>
        <w:pStyle w:val="NormalBold"/>
      </w:pPr>
      <w:r w:rsidRPr="00A81BA5">
        <w:rPr>
          <w:rStyle w:val="HideTWBExt"/>
          <w:b w:val="0"/>
        </w:rPr>
        <w:t>&lt;Article&gt;</w:t>
      </w:r>
      <w:r w:rsidRPr="00A81BA5">
        <w:t>Artykuł 9 – akapit 1 – punkt 4 g (nowy)</w:t>
      </w:r>
      <w:r w:rsidRPr="00A81BA5">
        <w:rPr>
          <w:rStyle w:val="HideTWBExt"/>
          <w:b w:val="0"/>
        </w:rPr>
        <w:t>&lt;/Article&gt;</w:t>
      </w:r>
    </w:p>
    <w:p w:rsidR="0018078A" w:rsidRPr="00A81BA5" w:rsidRDefault="00F3635D" w:rsidP="0018078A">
      <w:pPr>
        <w:keepNext/>
      </w:pPr>
      <w:r w:rsidRPr="00A81BA5">
        <w:rPr>
          <w:rStyle w:val="HideTWBExt"/>
        </w:rPr>
        <w:t>&lt;DocAmend2&gt;</w:t>
      </w:r>
      <w:r w:rsidRPr="00A81BA5">
        <w:t>Rozporządzenie (UE) 2016/794</w:t>
      </w:r>
      <w:r w:rsidRPr="00A81BA5">
        <w:rPr>
          <w:rStyle w:val="HideTWBExt"/>
        </w:rPr>
        <w:t>&lt;/DocAmend2&gt;</w:t>
      </w:r>
    </w:p>
    <w:p w:rsidR="0018078A" w:rsidRPr="00A81BA5" w:rsidRDefault="00F3635D" w:rsidP="0018078A">
      <w:r w:rsidRPr="00A81BA5">
        <w:rPr>
          <w:rStyle w:val="HideTWBExt"/>
        </w:rPr>
        <w:t>&lt;Article2&gt;</w:t>
      </w:r>
      <w:r w:rsidRPr="00A81BA5">
        <w:t>Artykuł 74</w:t>
      </w:r>
      <w:r w:rsidRPr="00A81BA5">
        <w:t xml:space="preserve"> c (nowy)</w:t>
      </w:r>
      <w:r w:rsidRPr="00A81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A2C" w:rsidRPr="00A81BA5" w:rsidTr="0018078A">
        <w:trPr>
          <w:jc w:val="center"/>
        </w:trPr>
        <w:tc>
          <w:tcPr>
            <w:tcW w:w="9752" w:type="dxa"/>
            <w:gridSpan w:val="2"/>
          </w:tcPr>
          <w:p w:rsidR="0018078A" w:rsidRPr="00A81BA5" w:rsidRDefault="0018078A">
            <w:pPr>
              <w:keepNext/>
            </w:pPr>
          </w:p>
        </w:tc>
      </w:tr>
      <w:tr w:rsidR="00DA3A2C" w:rsidRPr="00A81BA5" w:rsidTr="0018078A">
        <w:trPr>
          <w:jc w:val="center"/>
        </w:trPr>
        <w:tc>
          <w:tcPr>
            <w:tcW w:w="4876" w:type="dxa"/>
            <w:hideMark/>
          </w:tcPr>
          <w:p w:rsidR="0018078A" w:rsidRPr="00A81BA5" w:rsidRDefault="00F3635D">
            <w:pPr>
              <w:pStyle w:val="ColumnHeading"/>
              <w:keepNext/>
            </w:pPr>
            <w:r w:rsidRPr="00A81BA5">
              <w:t>Tekst proponowany przez Komisję</w:t>
            </w:r>
          </w:p>
        </w:tc>
        <w:tc>
          <w:tcPr>
            <w:tcW w:w="4876" w:type="dxa"/>
            <w:hideMark/>
          </w:tcPr>
          <w:p w:rsidR="0018078A" w:rsidRPr="00A81BA5" w:rsidRDefault="00F3635D">
            <w:pPr>
              <w:pStyle w:val="ColumnHeading"/>
              <w:keepNext/>
            </w:pPr>
            <w:r w:rsidRPr="00A81BA5">
              <w:t>Poprawka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4g)</w:t>
            </w:r>
            <w:r w:rsidRPr="00A81BA5">
              <w:rPr>
                <w:b/>
                <w:i/>
              </w:rPr>
              <w:tab/>
              <w:t>dodaje się art. 74c w brzmieniu:</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„Artykuł 74c</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Przepisy przejściowe w sprawie długości kadencji dyrektora wykonawczego, zastępców dyrektora i personelu</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1.</w:t>
            </w:r>
            <w:r w:rsidRPr="00A81BA5">
              <w:rPr>
                <w:b/>
                <w:i/>
              </w:rPr>
              <w:tab/>
              <w:t xml:space="preserve">Pierwsza lub druga </w:t>
            </w:r>
            <w:r w:rsidRPr="00A81BA5">
              <w:rPr>
                <w:b/>
                <w:i/>
              </w:rPr>
              <w:t>kadencja dyrektora wykonawczego, który został mianowany na podstawie art. 54 niniejszego rozporządzenia i którego kadencja kończy się po dniu... [data wejścia w życie niniejszego rozporządzenia zmieniającego], zostaje automatycznie przedłużona, aby umożliw</w:t>
            </w:r>
            <w:r w:rsidRPr="00A81BA5">
              <w:rPr>
                <w:b/>
                <w:i/>
              </w:rPr>
              <w:t>ić maksymalny okres dziesięcioletniej służby. Przedłużenie to nie stanowi przedłużenia umowy zgodnie z art. 8 warunków zatrudnienia innych pracowników.</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2.</w:t>
            </w:r>
            <w:r w:rsidRPr="00A81BA5">
              <w:rPr>
                <w:b/>
                <w:i/>
              </w:rPr>
              <w:tab/>
              <w:t>W przypadku gdy dyrektor wykonawczy nie chce zaakceptować automatycznego przedłużenia przewidzianeg</w:t>
            </w:r>
            <w:r w:rsidRPr="00A81BA5">
              <w:rPr>
                <w:b/>
                <w:i/>
              </w:rPr>
              <w:t>o w ust. 1, dyrektor wykonawczy może zachować swoją obecną kadencję.</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3.</w:t>
            </w:r>
            <w:r w:rsidRPr="00A81BA5">
              <w:rPr>
                <w:b/>
                <w:i/>
              </w:rPr>
              <w:tab/>
              <w:t>Ust. 1 i 2 niniejszego artykułu mają zastosowanie do zastępców dyrektora wykonawczego mianowanych na podstawie art. 55 niniejszego rozporządzenia, których kadencja kończy się po dniu</w:t>
            </w:r>
            <w:r w:rsidRPr="00A81BA5">
              <w:rPr>
                <w:b/>
                <w:i/>
              </w:rPr>
              <w:t>... [data wejścia w życie niniejszego rozporządzenia zmieniającego].</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4.</w:t>
            </w:r>
            <w:r w:rsidRPr="00A81BA5">
              <w:rPr>
                <w:b/>
                <w:i/>
              </w:rPr>
              <w:tab/>
              <w:t>Umowa z pracownikiem zatrudnionym na czas określony i ujętym w planie zatrudnienia oraz czynnie zatrudnionym w dniu [data wejścia w życie niniejszego rozporządzenia zmieniającego] zo</w:t>
            </w:r>
            <w:r w:rsidRPr="00A81BA5">
              <w:rPr>
                <w:b/>
                <w:i/>
              </w:rPr>
              <w:t>staje automatycznie przedłużona do maksymalnego okresu dziesięciu lat, pod warunkiem że:</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a)</w:t>
            </w:r>
            <w:r w:rsidRPr="00A81BA5">
              <w:rPr>
                <w:b/>
                <w:i/>
              </w:rPr>
              <w:tab/>
              <w:t>pracownik zatrudniony na czas określony został zatrudniony na stanowisku, które może być obsadzone wyłącznie przez pracowników właściwych organów państw członkows</w:t>
            </w:r>
            <w:r w:rsidRPr="00A81BA5">
              <w:rPr>
                <w:b/>
                <w:i/>
              </w:rPr>
              <w:t>kich zgodnie z art. 53 ust. 2 niniejszego rozporządzenia;</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b)</w:t>
            </w:r>
            <w:r w:rsidRPr="00A81BA5">
              <w:rPr>
                <w:b/>
                <w:i/>
              </w:rPr>
              <w:tab/>
              <w:t>umowa została już jednokrotnie przedłużona i zbliża się do końca maksymalnego okresu dziewięciu lat służby.</w:t>
            </w:r>
          </w:p>
        </w:tc>
      </w:tr>
      <w:tr w:rsidR="00DA3A2C" w:rsidRPr="00A81BA5" w:rsidTr="0018078A">
        <w:trPr>
          <w:jc w:val="center"/>
        </w:trPr>
        <w:tc>
          <w:tcPr>
            <w:tcW w:w="4876" w:type="dxa"/>
          </w:tcPr>
          <w:p w:rsidR="0018078A" w:rsidRPr="00A81BA5" w:rsidRDefault="0018078A">
            <w:pPr>
              <w:pStyle w:val="Normal6"/>
            </w:pPr>
          </w:p>
        </w:tc>
        <w:tc>
          <w:tcPr>
            <w:tcW w:w="4876" w:type="dxa"/>
            <w:hideMark/>
          </w:tcPr>
          <w:p w:rsidR="0018078A" w:rsidRPr="00A81BA5" w:rsidRDefault="00F3635D">
            <w:pPr>
              <w:pStyle w:val="Normal6"/>
              <w:rPr>
                <w:szCs w:val="24"/>
              </w:rPr>
            </w:pPr>
            <w:r w:rsidRPr="00A81BA5">
              <w:rPr>
                <w:b/>
                <w:i/>
              </w:rPr>
              <w:t xml:space="preserve">To automatyczne przedłużenie nie stanowi przedłużenia umowy zgodnie z art. 8 </w:t>
            </w:r>
            <w:r w:rsidRPr="00A81BA5">
              <w:rPr>
                <w:b/>
                <w:i/>
              </w:rPr>
              <w:lastRenderedPageBreak/>
              <w:t>warunków zatrudnienia innych pracowników. Członek personelu, który nie przyjmie automatycznego przedłużenia określonego w akapicie pierwszym, może utrzymać swój stosunek umowny z Europolem zgodnie z art. 53.”</w:t>
            </w:r>
          </w:p>
        </w:tc>
      </w:tr>
    </w:tbl>
    <w:p w:rsidR="0018078A" w:rsidRPr="00A81BA5" w:rsidRDefault="00F3635D" w:rsidP="0018078A">
      <w:pPr>
        <w:pStyle w:val="Olang"/>
      </w:pPr>
      <w:r w:rsidRPr="00A81BA5">
        <w:lastRenderedPageBreak/>
        <w:t xml:space="preserve">Or. </w:t>
      </w:r>
      <w:r w:rsidRPr="00A81BA5">
        <w:rPr>
          <w:rStyle w:val="HideTWBExt"/>
          <w:noProof w:val="0"/>
        </w:rPr>
        <w:t>&lt;Original&gt;</w:t>
      </w:r>
      <w:r w:rsidRPr="00A81BA5">
        <w:rPr>
          <w:rStyle w:val="HideTWBInt"/>
        </w:rPr>
        <w:t>{EN}</w:t>
      </w:r>
      <w:r w:rsidRPr="00A81BA5">
        <w:t>en</w:t>
      </w:r>
      <w:r w:rsidRPr="00A81BA5">
        <w:rPr>
          <w:rStyle w:val="HideTWBExt"/>
          <w:noProof w:val="0"/>
        </w:rPr>
        <w:t>&lt;/Original&gt;</w:t>
      </w:r>
    </w:p>
    <w:p w:rsidR="0018078A" w:rsidRPr="00A81BA5" w:rsidRDefault="00F3635D" w:rsidP="0018078A">
      <w:pPr>
        <w:pStyle w:val="JustificationTitle"/>
        <w:rPr>
          <w:noProof w:val="0"/>
        </w:rPr>
      </w:pPr>
      <w:r w:rsidRPr="00A81BA5">
        <w:rPr>
          <w:rStyle w:val="HideTWBExt"/>
          <w:i w:val="0"/>
        </w:rPr>
        <w:t>&lt;TitreJust&gt;</w:t>
      </w:r>
      <w:r w:rsidRPr="00A81BA5">
        <w:t>Uza</w:t>
      </w:r>
      <w:r w:rsidRPr="00A81BA5">
        <w:t>sadnienie</w:t>
      </w:r>
      <w:r w:rsidRPr="00A81BA5">
        <w:rPr>
          <w:rStyle w:val="HideTWBExt"/>
          <w:i w:val="0"/>
        </w:rPr>
        <w:t>&lt;/TitreJust&gt;</w:t>
      </w:r>
    </w:p>
    <w:p w:rsidR="0018078A" w:rsidRPr="00A81BA5" w:rsidRDefault="00F3635D" w:rsidP="0018078A">
      <w:pPr>
        <w:pStyle w:val="Normal12Italic"/>
        <w:rPr>
          <w:noProof w:val="0"/>
        </w:rPr>
      </w:pPr>
      <w:r w:rsidRPr="00A81BA5">
        <w:t>Umożliwienie określonym pracownikom agencji i kadrze kierowniczej już zatrudnionym w momencie wejścia w życie niniejszego rozporządzenia zmieniającego skorzystanie z nowych przepisów.</w:t>
      </w:r>
    </w:p>
    <w:p w:rsidR="0018078A" w:rsidRPr="00A81BA5" w:rsidRDefault="00F3635D" w:rsidP="0018078A">
      <w:r w:rsidRPr="00A81BA5">
        <w:rPr>
          <w:rStyle w:val="HideTWBExt"/>
        </w:rPr>
        <w:t>&lt;/Amend&gt;&lt;/RepeatBlock-Amend&gt;</w:t>
      </w:r>
    </w:p>
    <w:p w:rsidR="0018078A" w:rsidRPr="00A81BA5" w:rsidRDefault="0018078A" w:rsidP="0018078A"/>
    <w:p w:rsidR="0018078A" w:rsidRPr="00A81BA5" w:rsidRDefault="0018078A" w:rsidP="00D30DE2"/>
    <w:p w:rsidR="00742F5F" w:rsidRPr="00A81BA5" w:rsidRDefault="00742F5F" w:rsidP="00742F5F"/>
    <w:p w:rsidR="00C24129" w:rsidRPr="00A81BA5" w:rsidRDefault="00C24129" w:rsidP="00D30DE2">
      <w:pPr>
        <w:sectPr w:rsidR="00C24129" w:rsidRPr="00A81BA5" w:rsidSect="00A81B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C24129" w:rsidRPr="00A81BA5" w:rsidRDefault="00F3635D" w:rsidP="00C24129">
      <w:pPr>
        <w:pStyle w:val="PageHeading"/>
      </w:pPr>
      <w:bookmarkStart w:id="2" w:name="_Toc191380607"/>
      <w:r w:rsidRPr="00A81BA5">
        <w:lastRenderedPageBreak/>
        <w:t>UZASADNIENIE</w:t>
      </w:r>
      <w:bookmarkEnd w:id="2"/>
    </w:p>
    <w:p w:rsidR="005C2937" w:rsidRPr="00A81BA5" w:rsidRDefault="00F3635D" w:rsidP="005C2937">
      <w:pPr>
        <w:pStyle w:val="NoSpacing"/>
        <w:jc w:val="both"/>
        <w:rPr>
          <w:rFonts w:ascii="Times New Roman" w:hAnsi="Times New Roman" w:cs="Times New Roman"/>
          <w:i/>
          <w:sz w:val="24"/>
          <w:szCs w:val="24"/>
        </w:rPr>
      </w:pPr>
      <w:r w:rsidRPr="00A81BA5">
        <w:rPr>
          <w:rFonts w:ascii="Times New Roman" w:hAnsi="Times New Roman"/>
          <w:i/>
          <w:sz w:val="24"/>
        </w:rPr>
        <w:t xml:space="preserve">Wniosek w sprawie rozporządzenia Parlamentu Europejskiego i Rady zmieniającego rozporządzenie (UE) 2016/794 w odniesieniu do zwiększenia wsparcia Europolu i wzmocnienia współpracy policyjnej w celu zapobiegania przemytowi migrantów i </w:t>
      </w:r>
      <w:r w:rsidRPr="00A81BA5">
        <w:rPr>
          <w:rFonts w:ascii="Times New Roman" w:hAnsi="Times New Roman"/>
          <w:i/>
          <w:sz w:val="24"/>
        </w:rPr>
        <w:t>handlowi ludźmi oraz zwalczania tych zjawisk</w:t>
      </w:r>
    </w:p>
    <w:p w:rsidR="005C2937" w:rsidRPr="00A81BA5" w:rsidRDefault="005C2937" w:rsidP="005C2937">
      <w:pPr>
        <w:pStyle w:val="NoSpacing"/>
        <w:jc w:val="both"/>
        <w:rPr>
          <w:rFonts w:ascii="Times New Roman" w:hAnsi="Times New Roman" w:cs="Times New Roman"/>
          <w:i/>
          <w:sz w:val="24"/>
          <w:szCs w:val="24"/>
        </w:rPr>
      </w:pPr>
    </w:p>
    <w:p w:rsidR="005C2937" w:rsidRPr="00A81BA5" w:rsidRDefault="00F3635D" w:rsidP="005C2937">
      <w:pPr>
        <w:pStyle w:val="NoSpacing"/>
        <w:jc w:val="both"/>
        <w:rPr>
          <w:rFonts w:ascii="Times New Roman" w:hAnsi="Times New Roman" w:cs="Times New Roman"/>
          <w:sz w:val="24"/>
          <w:szCs w:val="24"/>
        </w:rPr>
      </w:pPr>
      <w:r w:rsidRPr="00A81BA5">
        <w:rPr>
          <w:rFonts w:ascii="Times New Roman" w:hAnsi="Times New Roman"/>
          <w:sz w:val="24"/>
        </w:rPr>
        <w:t>Ponad 90 % osób przybywających do UE w sposób nieuregulowany zwraca się do przemytników, aby zorganizować część lub całość ich przejazdu. Przemytnicy ci to bezwzględni przestępcy, dla których życie ludzkie jest</w:t>
      </w:r>
      <w:r w:rsidRPr="00A81BA5">
        <w:rPr>
          <w:rFonts w:ascii="Times New Roman" w:hAnsi="Times New Roman"/>
          <w:sz w:val="24"/>
        </w:rPr>
        <w:t xml:space="preserve"> zaledwie szansą biznesową. Mowa o cynicznym modelu biznesowym, w którym wykorzystuje się osoby znajdujące się w trudnej sytuacji, często narażając ich życie podczas niebezpiecznych przejazdów i poddając je przemocy i nadużyciom. Po umożliwieniu przekrocze</w:t>
      </w:r>
      <w:r w:rsidRPr="00A81BA5">
        <w:rPr>
          <w:rFonts w:ascii="Times New Roman" w:hAnsi="Times New Roman"/>
          <w:sz w:val="24"/>
        </w:rPr>
        <w:t>nia granic zewnętrznych UE siatki przestępcze nadal działają, organizując niedozwolone wtórne przemieszczanie się w obrębie UE. Sieci przemytnicze szybko dostosowują się do zmian zewnętrznych poprzez elastyczne przydzielanie zasobów i wykorzystywanie nowyc</w:t>
      </w:r>
      <w:r w:rsidRPr="00A81BA5">
        <w:rPr>
          <w:rFonts w:ascii="Times New Roman" w:hAnsi="Times New Roman"/>
          <w:sz w:val="24"/>
        </w:rPr>
        <w:t>h szlaków, technologii i sposobów działania. Dochodzenia wykazały, że przemytnicy migrantów często korzystają z istniejącej infrastruktury równoległej działalności przestępczej, takiej jak narkotyki, broń palna lub handel ludźmi, w połączeniu z nadużywanie</w:t>
      </w:r>
      <w:r w:rsidRPr="00A81BA5">
        <w:rPr>
          <w:rFonts w:ascii="Times New Roman" w:hAnsi="Times New Roman"/>
          <w:sz w:val="24"/>
        </w:rPr>
        <w:t>m instrumentów prawnych i struktur biznesowych.</w:t>
      </w:r>
    </w:p>
    <w:p w:rsidR="005C2937" w:rsidRPr="00A81BA5" w:rsidRDefault="005C2937" w:rsidP="005C2937">
      <w:pPr>
        <w:pStyle w:val="NoSpacing"/>
        <w:jc w:val="both"/>
        <w:rPr>
          <w:rFonts w:ascii="Times New Roman" w:hAnsi="Times New Roman" w:cs="Times New Roman"/>
          <w:sz w:val="24"/>
          <w:szCs w:val="24"/>
        </w:rPr>
      </w:pPr>
    </w:p>
    <w:p w:rsidR="005C2937" w:rsidRPr="00A81BA5" w:rsidRDefault="00F3635D" w:rsidP="005C2937">
      <w:pPr>
        <w:pStyle w:val="NoSpacing"/>
        <w:jc w:val="both"/>
        <w:rPr>
          <w:rFonts w:ascii="Times New Roman" w:hAnsi="Times New Roman" w:cs="Times New Roman"/>
          <w:sz w:val="24"/>
          <w:szCs w:val="24"/>
        </w:rPr>
      </w:pPr>
      <w:r w:rsidRPr="00A81BA5">
        <w:rPr>
          <w:rFonts w:ascii="Times New Roman" w:hAnsi="Times New Roman"/>
          <w:sz w:val="24"/>
        </w:rPr>
        <w:t>Te siatki przestępcze generują oszałamiającą kwotę dochodów w wysokości od 4,7 do 6 mld EUR rocznie. W związku z tym wszystkie organy państw członkowskich, agencje UE i kluczowe podmioty, takie jak przedsięb</w:t>
      </w:r>
      <w:r w:rsidRPr="00A81BA5">
        <w:rPr>
          <w:rFonts w:ascii="Times New Roman" w:hAnsi="Times New Roman"/>
          <w:sz w:val="24"/>
        </w:rPr>
        <w:t xml:space="preserve">iorstwa turystyczne i transportowe oraz organizacje społeczeństwa obywatelskiego, mają prawny i moralny obowiązek dołożenia wszelkich starań, aby zapobiegać przemytowi migrantów. </w:t>
      </w:r>
    </w:p>
    <w:p w:rsidR="005C2937" w:rsidRPr="00A81BA5" w:rsidRDefault="005C2937" w:rsidP="005C2937">
      <w:pPr>
        <w:pStyle w:val="NoSpacing"/>
        <w:jc w:val="both"/>
        <w:rPr>
          <w:rFonts w:ascii="Times New Roman" w:hAnsi="Times New Roman" w:cs="Times New Roman"/>
          <w:sz w:val="24"/>
          <w:szCs w:val="24"/>
        </w:rPr>
      </w:pPr>
    </w:p>
    <w:p w:rsidR="005C2937" w:rsidRPr="00A81BA5" w:rsidRDefault="00F3635D" w:rsidP="005C2937">
      <w:pPr>
        <w:pStyle w:val="NoSpacing"/>
        <w:jc w:val="both"/>
        <w:rPr>
          <w:rFonts w:ascii="Times New Roman" w:hAnsi="Times New Roman" w:cs="Times New Roman"/>
          <w:sz w:val="24"/>
          <w:szCs w:val="24"/>
        </w:rPr>
      </w:pPr>
      <w:r w:rsidRPr="00A81BA5">
        <w:rPr>
          <w:rFonts w:ascii="Times New Roman" w:hAnsi="Times New Roman"/>
          <w:sz w:val="24"/>
        </w:rPr>
        <w:t>Agencja Unii Europejskiej ds. Współpracy Organów Ścigania (Europol) odgrywa</w:t>
      </w:r>
      <w:r w:rsidRPr="00A81BA5">
        <w:rPr>
          <w:rFonts w:ascii="Times New Roman" w:hAnsi="Times New Roman"/>
          <w:sz w:val="24"/>
        </w:rPr>
        <w:t xml:space="preserve"> zasadniczą rolę w koordynowaniu tych wysiłków, co podkreśla przewodnicząca Komisji Europejskiej Ursula von der Leyen, która stwierdziła, że policja powinna mieć możliwość pracy w całej Europie bez granic. Komisja zaproponowała również podwojenie personelu</w:t>
      </w:r>
      <w:r w:rsidRPr="00A81BA5">
        <w:rPr>
          <w:rFonts w:ascii="Times New Roman" w:hAnsi="Times New Roman"/>
          <w:sz w:val="24"/>
        </w:rPr>
        <w:t xml:space="preserve"> Europolu i wzmocnienie jego mandatu, aby Europol stał się prawdziwie operacyjną agencją policyjną. Jako część zmienionego pakietu dotyczącego pośredników wniosek dotyczący rozporządzenia w sprawie wzmocnienia współpracy policyjnej w odniesieniu do zapobie</w:t>
      </w:r>
      <w:r w:rsidRPr="00A81BA5">
        <w:rPr>
          <w:rFonts w:ascii="Times New Roman" w:hAnsi="Times New Roman"/>
          <w:sz w:val="24"/>
        </w:rPr>
        <w:t>gania przemytowi migrantów i handlowi ludźmi, wykrywania tych przestępstw oraz prowadzenia stosownych postępowań przygotowawczych w tym zakresie i w sprawie zwiększenia wsparcia Europolu na rzecz zapobiegania tego rodzaju przestępstwom oraz zmiany rozporzą</w:t>
      </w:r>
      <w:r w:rsidRPr="00A81BA5">
        <w:rPr>
          <w:rFonts w:ascii="Times New Roman" w:hAnsi="Times New Roman"/>
          <w:sz w:val="24"/>
        </w:rPr>
        <w:t>dzenia (UE) 2016/794 stanowi ważny krok w kierunku osiągnięcia tych celów i systematycznego zwalczania przestępstw przemytu migrantów, zarówno w UE, jak i z państw trzecich. Komisja Europejska szacuje, że na cały okres objęty obecnymi wieloletnimi ramami f</w:t>
      </w:r>
      <w:r w:rsidRPr="00A81BA5">
        <w:rPr>
          <w:rFonts w:ascii="Times New Roman" w:hAnsi="Times New Roman"/>
          <w:sz w:val="24"/>
        </w:rPr>
        <w:t>inansowymi na lata 2021–2027 konieczne będą dodatkowe środki w budżecie wynoszące 50 mln EUR oraz 50 dodatkowych stanowisk. Niniejsze rozporządzenie uwolni te bardzo potrzebne dodatkowe środki i stworzy te dodatkowe stanowiska, aby Europol mógł w pełni i s</w:t>
      </w:r>
      <w:r w:rsidRPr="00A81BA5">
        <w:rPr>
          <w:rFonts w:ascii="Times New Roman" w:hAnsi="Times New Roman"/>
          <w:sz w:val="24"/>
        </w:rPr>
        <w:t>kutecznie wykonywać powierzone mu nowe zadania strategiczne i operacyjne, a także swój zmieniony mandat.</w:t>
      </w:r>
    </w:p>
    <w:p w:rsidR="005C2937" w:rsidRPr="00A81BA5" w:rsidRDefault="005C2937" w:rsidP="005C2937">
      <w:pPr>
        <w:pStyle w:val="NoSpacing"/>
        <w:jc w:val="both"/>
        <w:rPr>
          <w:rFonts w:ascii="Times New Roman" w:hAnsi="Times New Roman" w:cs="Times New Roman"/>
          <w:sz w:val="24"/>
          <w:szCs w:val="24"/>
        </w:rPr>
      </w:pPr>
    </w:p>
    <w:p w:rsidR="005C2937" w:rsidRPr="00A81BA5" w:rsidRDefault="00F3635D" w:rsidP="005C2937">
      <w:pPr>
        <w:pStyle w:val="NoSpacing"/>
        <w:jc w:val="both"/>
        <w:rPr>
          <w:rFonts w:ascii="Times New Roman" w:hAnsi="Times New Roman" w:cs="Times New Roman"/>
          <w:sz w:val="24"/>
          <w:szCs w:val="24"/>
        </w:rPr>
      </w:pPr>
      <w:r w:rsidRPr="00A81BA5">
        <w:rPr>
          <w:rFonts w:ascii="Times New Roman" w:hAnsi="Times New Roman"/>
          <w:sz w:val="24"/>
        </w:rPr>
        <w:t>Główne aspekty niniejszego projektu sprawozdania mające na celu poprawę skutecznego wdrażania wniosku ustawodawczego obejmują:</w:t>
      </w:r>
    </w:p>
    <w:p w:rsidR="005C2937" w:rsidRPr="00A81BA5" w:rsidRDefault="005C2937" w:rsidP="005C2937">
      <w:pPr>
        <w:pStyle w:val="NoSpacing"/>
        <w:jc w:val="both"/>
        <w:rPr>
          <w:rFonts w:ascii="Times New Roman" w:hAnsi="Times New Roman" w:cs="Times New Roman"/>
        </w:rPr>
      </w:pPr>
    </w:p>
    <w:p w:rsidR="005C2937" w:rsidRPr="00A81BA5" w:rsidRDefault="00F3635D" w:rsidP="00FC7C21">
      <w:pPr>
        <w:pStyle w:val="NoSpacing"/>
        <w:ind w:left="567" w:hanging="567"/>
        <w:jc w:val="both"/>
        <w:rPr>
          <w:rFonts w:ascii="Times New Roman" w:hAnsi="Times New Roman" w:cs="Times New Roman"/>
          <w:sz w:val="24"/>
          <w:szCs w:val="24"/>
        </w:rPr>
      </w:pPr>
      <w:r w:rsidRPr="00A81BA5">
        <w:t>–</w:t>
      </w:r>
      <w:r w:rsidRPr="00A81BA5">
        <w:rPr>
          <w:rFonts w:ascii="Times New Roman" w:hAnsi="Times New Roman"/>
          <w:sz w:val="24"/>
        </w:rPr>
        <w:tab/>
        <w:t>uproszczenie i wyjaś</w:t>
      </w:r>
      <w:r w:rsidRPr="00A81BA5">
        <w:rPr>
          <w:rFonts w:ascii="Times New Roman" w:hAnsi="Times New Roman"/>
          <w:sz w:val="24"/>
        </w:rPr>
        <w:t xml:space="preserve">nienie struktury wniosku Komisji poprzez usunięcie odrębnego rozporządzenia i przeniesienie niektórych z tych przepisów jako zmian w obowiązującym </w:t>
      </w:r>
      <w:r w:rsidRPr="00A81BA5">
        <w:rPr>
          <w:rFonts w:ascii="Times New Roman" w:hAnsi="Times New Roman"/>
          <w:sz w:val="24"/>
        </w:rPr>
        <w:lastRenderedPageBreak/>
        <w:t>rozporządzeniu w sprawie Europolu. Zmniejsza to złożoność prawną, poprawia czytelność i gwarantuje, że zarząd</w:t>
      </w:r>
      <w:r w:rsidRPr="00A81BA5">
        <w:rPr>
          <w:rFonts w:ascii="Times New Roman" w:hAnsi="Times New Roman"/>
          <w:sz w:val="24"/>
        </w:rPr>
        <w:t>zanie agencją odbywa się za pomocą jednego rozporządzenia UE.</w:t>
      </w:r>
    </w:p>
    <w:p w:rsidR="005C2937" w:rsidRPr="00A81BA5" w:rsidRDefault="005C2937" w:rsidP="005C1BF5">
      <w:pPr>
        <w:pStyle w:val="NoSpacing"/>
        <w:jc w:val="both"/>
        <w:rPr>
          <w:rFonts w:ascii="Times New Roman" w:hAnsi="Times New Roman" w:cs="Times New Roman"/>
          <w:sz w:val="24"/>
          <w:szCs w:val="24"/>
        </w:rPr>
      </w:pPr>
    </w:p>
    <w:p w:rsidR="005C2937" w:rsidRPr="00A81BA5" w:rsidRDefault="00F3635D" w:rsidP="00FC7C21">
      <w:pPr>
        <w:pStyle w:val="NoSpacing"/>
        <w:ind w:left="567" w:hanging="567"/>
        <w:jc w:val="both"/>
        <w:rPr>
          <w:rFonts w:ascii="Times New Roman" w:hAnsi="Times New Roman" w:cs="Times New Roman"/>
          <w:sz w:val="24"/>
          <w:szCs w:val="24"/>
        </w:rPr>
      </w:pPr>
      <w:r w:rsidRPr="00A81BA5">
        <w:t>–</w:t>
      </w:r>
      <w:r w:rsidRPr="00A81BA5">
        <w:rPr>
          <w:rFonts w:ascii="Symbol" w:hAnsi="Symbol"/>
          <w:sz w:val="24"/>
        </w:rPr>
        <w:tab/>
      </w:r>
      <w:r w:rsidRPr="00A81BA5">
        <w:rPr>
          <w:rFonts w:ascii="Times New Roman" w:hAnsi="Times New Roman"/>
          <w:sz w:val="24"/>
        </w:rPr>
        <w:t xml:space="preserve">Ze względu na swój charakter przemyt migrantów ma wymiar transgraniczny. W związku z tym rozbijanie siatek przemytniczych wymaga wydajniejszego i skuteczniejszego dzielenia się danymi oraz </w:t>
      </w:r>
      <w:r w:rsidRPr="00A81BA5">
        <w:rPr>
          <w:rFonts w:ascii="Times New Roman" w:hAnsi="Times New Roman"/>
          <w:sz w:val="24"/>
        </w:rPr>
        <w:t>współpracy transgranicznej między państwami członkowskimi, agencjami UE i państwami trzecimi. W niniejszym projekcie sprawozdania popiera się wnioski Komisji mające na celu zwiększenie odpowiedzialności państw członkowskich za udostępnianie danych w tym za</w:t>
      </w:r>
      <w:r w:rsidRPr="00A81BA5">
        <w:rPr>
          <w:rFonts w:ascii="Times New Roman" w:hAnsi="Times New Roman"/>
          <w:sz w:val="24"/>
        </w:rPr>
        <w:t>kresie.</w:t>
      </w:r>
    </w:p>
    <w:p w:rsidR="005C2937" w:rsidRPr="00A81BA5" w:rsidRDefault="005C2937" w:rsidP="005C2937">
      <w:pPr>
        <w:pStyle w:val="NoSpacing"/>
        <w:ind w:left="567"/>
        <w:jc w:val="both"/>
        <w:rPr>
          <w:rFonts w:ascii="Times New Roman" w:hAnsi="Times New Roman" w:cs="Times New Roman"/>
          <w:sz w:val="24"/>
          <w:szCs w:val="24"/>
        </w:rPr>
      </w:pPr>
    </w:p>
    <w:p w:rsidR="005C2937" w:rsidRPr="00A81BA5" w:rsidRDefault="00F3635D" w:rsidP="00FC7C21">
      <w:pPr>
        <w:pStyle w:val="NoSpacing"/>
        <w:ind w:left="567" w:hanging="567"/>
        <w:jc w:val="both"/>
        <w:rPr>
          <w:rFonts w:ascii="Times New Roman" w:hAnsi="Times New Roman" w:cs="Times New Roman"/>
          <w:sz w:val="24"/>
          <w:szCs w:val="24"/>
        </w:rPr>
      </w:pPr>
      <w:r w:rsidRPr="00A81BA5">
        <w:t>–</w:t>
      </w:r>
      <w:r w:rsidRPr="00A81BA5">
        <w:rPr>
          <w:rFonts w:ascii="Symbol" w:hAnsi="Symbol"/>
          <w:sz w:val="24"/>
        </w:rPr>
        <w:tab/>
      </w:r>
      <w:r w:rsidRPr="00A81BA5">
        <w:rPr>
          <w:rFonts w:ascii="Times New Roman" w:hAnsi="Times New Roman"/>
          <w:sz w:val="24"/>
        </w:rPr>
        <w:t>Aby wzmocnić współpracę policyjną w odniesieniu do zapobiegania przemytowi migrantów, wykrywania go oraz prowadzenia postępowań przygotowawczych w tym zakresie, Europol dysponuje kompleksowym zestawem narzędzi. W niniejszym projekcie sprawozdani</w:t>
      </w:r>
      <w:r w:rsidRPr="00A81BA5">
        <w:rPr>
          <w:rFonts w:ascii="Times New Roman" w:hAnsi="Times New Roman"/>
          <w:sz w:val="24"/>
        </w:rPr>
        <w:t>a poparto wniosek Komisji dotyczący kodyfikacji tych narzędzi i struktur, aby zapewnić jasność prawa i wyznaczyć ogólny kierunek, a jednocześnie utrzymać bardzo potrzebną elastyczność w dostosowywaniu się do zmieniających się okoliczności i pozostawić zarz</w:t>
      </w:r>
      <w:r w:rsidRPr="00A81BA5">
        <w:rPr>
          <w:rFonts w:ascii="Times New Roman" w:hAnsi="Times New Roman"/>
          <w:sz w:val="24"/>
        </w:rPr>
        <w:t>ądowi Europolu wystarczającą swobodę decydowania o szczegółach funkcjonowania tych narzędzi i struktur. Aby wzmocnić rolę dyrektora wykonawczego Europolu, proponuje się również, aby te przepisy wykonawcze opierały się na wniosku dyrektora wykonawczego. Nar</w:t>
      </w:r>
      <w:r w:rsidRPr="00A81BA5">
        <w:rPr>
          <w:rFonts w:ascii="Times New Roman" w:hAnsi="Times New Roman"/>
          <w:sz w:val="24"/>
        </w:rPr>
        <w:t>zędzia i struktury obejmują:</w:t>
      </w:r>
    </w:p>
    <w:p w:rsidR="005C2937" w:rsidRPr="00A81BA5" w:rsidRDefault="005C2937" w:rsidP="005C1BF5">
      <w:pPr>
        <w:pStyle w:val="NoSpacing"/>
        <w:ind w:left="567"/>
        <w:jc w:val="both"/>
        <w:rPr>
          <w:rFonts w:ascii="Times New Roman" w:hAnsi="Times New Roman" w:cs="Times New Roman"/>
          <w:sz w:val="24"/>
          <w:szCs w:val="24"/>
        </w:rPr>
      </w:pPr>
    </w:p>
    <w:p w:rsidR="005C2937" w:rsidRPr="00A81BA5" w:rsidRDefault="00F3635D" w:rsidP="009B30C5">
      <w:pPr>
        <w:ind w:left="1134" w:hanging="567"/>
        <w:jc w:val="both"/>
      </w:pPr>
      <w:r w:rsidRPr="00A81BA5">
        <w:rPr>
          <w:rFonts w:ascii="Courier New" w:hAnsi="Courier New"/>
        </w:rPr>
        <w:tab/>
      </w:r>
      <w:r w:rsidRPr="00A81BA5">
        <w:t>Europejskie Centrum Zwalczania Przemytu Migrantów, ustanowione w ramach Europolu jako unijne centrum specjalistycznej wiedzy fachowej. Centrum to wspiera państwa członkowskie w zapobieganiu przemytowi migrantów i handlowi lud</w:t>
      </w:r>
      <w:r w:rsidRPr="00A81BA5">
        <w:t>źmi oraz w zwalczaniu tych przestępstw, wykonując zadania operacyjne i strategiczne. W skład Centrum wchodzą przedstawiciele krajowych wyspecjalizowanych służb zajmujących się zapobieganiem przemytowi migrantów i handlowi ludźmi oraz zwalczaniem tych zjawi</w:t>
      </w:r>
      <w:r w:rsidRPr="00A81BA5">
        <w:t>sk. W jego skład wchodzą również stali przedstawiciele Fronteksu i Eurojustu. Proponuje się, aby agencje same zdecydowały, czy należy przenieść tych przedstawicieli w zależności od ich zadań.</w:t>
      </w:r>
    </w:p>
    <w:p w:rsidR="001C407A" w:rsidRPr="00A81BA5" w:rsidRDefault="001C407A" w:rsidP="00FC7C21">
      <w:pPr>
        <w:ind w:left="1134" w:hanging="567"/>
      </w:pPr>
    </w:p>
    <w:p w:rsidR="005C2937" w:rsidRPr="00A81BA5" w:rsidRDefault="00F3635D" w:rsidP="009B30C5">
      <w:pPr>
        <w:ind w:left="1134" w:hanging="567"/>
        <w:jc w:val="both"/>
      </w:pPr>
      <w:r w:rsidRPr="00A81BA5">
        <w:rPr>
          <w:rFonts w:ascii="Courier New" w:hAnsi="Courier New"/>
        </w:rPr>
        <w:tab/>
      </w:r>
      <w:r w:rsidRPr="00A81BA5">
        <w:t>W kontekście rozmieszczania pracowników Europolu w ramach wspa</w:t>
      </w:r>
      <w:r w:rsidRPr="00A81BA5">
        <w:t>rcia operacyjnego Europol tworzy obowiązkową rezerwę wysoko wykwalifikowanych ekspertów w zakresie ścigania przestępstw z państw członkowskich; eksperci ci mają specjalistyczne profile i mogą zostać niezwłocznie oddani do dyspozycji Europolu w celu rozmies</w:t>
      </w:r>
      <w:r w:rsidRPr="00A81BA5">
        <w:t xml:space="preserve">zczenia operacyjnego z myślą o zapewnieniu specjalistycznego wsparcia, proporcjonalnie do ich zdolności i potrzeb operacyjnych. </w:t>
      </w:r>
    </w:p>
    <w:p w:rsidR="001C407A" w:rsidRPr="00A81BA5" w:rsidRDefault="001C407A" w:rsidP="00FC7C21">
      <w:pPr>
        <w:ind w:left="1134" w:hanging="567"/>
      </w:pPr>
    </w:p>
    <w:p w:rsidR="005C2937" w:rsidRPr="00A81BA5" w:rsidRDefault="00F3635D" w:rsidP="009B30C5">
      <w:pPr>
        <w:ind w:left="1134" w:hanging="567"/>
        <w:jc w:val="both"/>
      </w:pPr>
      <w:r w:rsidRPr="00A81BA5">
        <w:rPr>
          <w:rFonts w:ascii="Courier New" w:hAnsi="Courier New"/>
        </w:rPr>
        <w:tab/>
      </w:r>
      <w:r w:rsidRPr="00A81BA5">
        <w:t>Państwa członkowskie powinny mieć możliwość tworzenia operacyjnych grup zadaniowych, aby zacieśnić współpracę organów ścigani</w:t>
      </w:r>
      <w:r w:rsidRPr="00A81BA5">
        <w:t xml:space="preserve">a przy wsparciu Europolu. Dyrektor wykonawczy musi mieć również prawo do proponowania państwom członkowskim operacyjnych grup zadaniowych. </w:t>
      </w:r>
    </w:p>
    <w:p w:rsidR="001C407A" w:rsidRPr="00A81BA5" w:rsidRDefault="001C407A" w:rsidP="00FC7C21">
      <w:pPr>
        <w:ind w:left="1134" w:hanging="567"/>
      </w:pPr>
    </w:p>
    <w:p w:rsidR="005C2937" w:rsidRPr="00A81BA5" w:rsidRDefault="00F3635D" w:rsidP="009B30C5">
      <w:pPr>
        <w:ind w:left="1134" w:hanging="567"/>
        <w:jc w:val="both"/>
      </w:pPr>
      <w:r w:rsidRPr="00A81BA5">
        <w:rPr>
          <w:rFonts w:ascii="Courier New" w:hAnsi="Courier New"/>
        </w:rPr>
        <w:tab/>
      </w:r>
      <w:r w:rsidRPr="00A81BA5">
        <w:t>Państwa członkowskie wyznaczają służby wyspecjalizowane w zapobieganiu przemytowi migrantów i handlowi ludźmi oraz</w:t>
      </w:r>
      <w:r w:rsidRPr="00A81BA5">
        <w:t xml:space="preserve"> zwalczaniu tych przestępstw. Służby te jak najszybciej udostępniają Europolowi i innym państwom członkowskim wszystkie istotne informacje wynikające z postępowań przygotowawczych. Nie ma potrzeby tworzenia dodatkowych struktur, jeżeli takie </w:t>
      </w:r>
      <w:r w:rsidRPr="00A81BA5">
        <w:lastRenderedPageBreak/>
        <w:t>już istnieją.</w:t>
      </w:r>
    </w:p>
    <w:p w:rsidR="001C407A" w:rsidRPr="00A81BA5" w:rsidRDefault="001C407A" w:rsidP="00FC7C21">
      <w:pPr>
        <w:ind w:left="1134" w:hanging="567"/>
      </w:pPr>
    </w:p>
    <w:p w:rsidR="005C2937" w:rsidRPr="00A81BA5" w:rsidRDefault="00F3635D" w:rsidP="009B30C5">
      <w:pPr>
        <w:ind w:left="1134" w:hanging="567"/>
        <w:jc w:val="both"/>
      </w:pPr>
      <w:r w:rsidRPr="00A81BA5">
        <w:rPr>
          <w:rFonts w:ascii="Courier New" w:hAnsi="Courier New"/>
        </w:rPr>
        <w:tab/>
      </w:r>
      <w:r w:rsidRPr="00A81BA5">
        <w:t>Sprawozdawca popiera wyrażony przez Komisję zamiar włączenia przetwarzania danych biometrycznych do zadań agencji i proponuje jego wzmocnienie. Biorąc pod uwagę rolę, jaką usługi internetowe odgrywają w ułatwianiu i podżeganiu do przemytu migrantów i han</w:t>
      </w:r>
      <w:r w:rsidRPr="00A81BA5">
        <w:t>dlu ludźmi, proponuje się również wyjaśnienie wsparcia Europolu na rzecz przeciwdziałania internetowemu wymiarowi tej działalności przestępczej.</w:t>
      </w:r>
    </w:p>
    <w:p w:rsidR="005C2937" w:rsidRPr="00A81BA5" w:rsidRDefault="005C2937" w:rsidP="005C2937">
      <w:pPr>
        <w:pStyle w:val="ListParagraph"/>
        <w:ind w:left="1134" w:hanging="567"/>
      </w:pPr>
    </w:p>
    <w:p w:rsidR="005C2937" w:rsidRPr="00A81BA5" w:rsidRDefault="00F3635D" w:rsidP="00FC7C21">
      <w:pPr>
        <w:pStyle w:val="NoSpacing"/>
        <w:ind w:left="567" w:hanging="567"/>
        <w:jc w:val="both"/>
        <w:rPr>
          <w:rFonts w:ascii="Times New Roman" w:hAnsi="Times New Roman" w:cs="Times New Roman"/>
          <w:sz w:val="24"/>
          <w:szCs w:val="24"/>
        </w:rPr>
      </w:pPr>
      <w:r w:rsidRPr="00A81BA5">
        <w:t>–</w:t>
      </w:r>
      <w:r w:rsidRPr="00A81BA5">
        <w:rPr>
          <w:rFonts w:ascii="Symbol" w:hAnsi="Symbol"/>
          <w:sz w:val="24"/>
        </w:rPr>
        <w:tab/>
      </w:r>
      <w:r w:rsidRPr="00A81BA5">
        <w:rPr>
          <w:rFonts w:ascii="Times New Roman" w:hAnsi="Times New Roman"/>
          <w:sz w:val="24"/>
        </w:rPr>
        <w:t>Aby Europol mógł pomyślnie i skutecznie wykonywać swoje uprawnienia, należy w razie potrzeby poprawić aspekt</w:t>
      </w:r>
      <w:r w:rsidRPr="00A81BA5">
        <w:rPr>
          <w:rFonts w:ascii="Times New Roman" w:hAnsi="Times New Roman"/>
          <w:sz w:val="24"/>
        </w:rPr>
        <w:t>y proceduralne i wewnętrzne dotyczące personelu. Niniejszy projekt sprawozdania zawiera poprawki mające na celu ujednolicenie kadencji kadry kierowniczej i personelu oraz mających zastosowanie systemów odpowiedzialności i odszkodowań, analogicznie do innyc</w:t>
      </w:r>
      <w:r w:rsidRPr="00A81BA5">
        <w:rPr>
          <w:rFonts w:ascii="Times New Roman" w:hAnsi="Times New Roman"/>
          <w:sz w:val="24"/>
        </w:rPr>
        <w:t>h agencji, takich jak Frontex, Agencja Praw Podstawowych Unii Europejskiej (FRA) i eu-LISA, przy jednoczesnym zachowaniu praw wszelkich osób, których może to dotyczyć. Wyjaśniono w nim również zasady dotyczące zeznań w charakterze świadków składanych przez</w:t>
      </w:r>
      <w:r w:rsidRPr="00A81BA5">
        <w:rPr>
          <w:rFonts w:ascii="Times New Roman" w:hAnsi="Times New Roman"/>
          <w:sz w:val="24"/>
        </w:rPr>
        <w:t xml:space="preserve"> pracowników Europolu, ponieważ obecne ramy prawne są niewystarczające i mogą prowadzić do błędnej interpretacji statusu prawnego pracowników Europolu w sądach krajowych lub zakresu ich zeznań.</w:t>
      </w:r>
    </w:p>
    <w:p w:rsidR="00C24129" w:rsidRPr="00A81BA5" w:rsidRDefault="00C24129" w:rsidP="00C24129">
      <w:pPr>
        <w:widowControl/>
      </w:pPr>
    </w:p>
    <w:p w:rsidR="00C24129" w:rsidRPr="00A81BA5" w:rsidRDefault="00C24129" w:rsidP="00D30DE2"/>
    <w:p w:rsidR="00C24129" w:rsidRPr="00A81BA5" w:rsidRDefault="00C24129" w:rsidP="00D30DE2">
      <w:pPr>
        <w:sectPr w:rsidR="00C24129" w:rsidRPr="00A81BA5" w:rsidSect="00C2412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66819" w:rsidRPr="00A81BA5" w:rsidRDefault="00366819">
      <w:pPr>
        <w:widowControl/>
      </w:pPr>
    </w:p>
    <w:p w:rsidR="00D11284" w:rsidRPr="00A81BA5" w:rsidRDefault="00F3635D" w:rsidP="005C4959">
      <w:pPr>
        <w:pStyle w:val="PageHeading"/>
        <w:rPr>
          <w:noProof/>
        </w:rPr>
      </w:pPr>
      <w:bookmarkStart w:id="3" w:name="FootprintPageRR"/>
      <w:bookmarkStart w:id="4" w:name="_Toc191380608"/>
      <w:r w:rsidRPr="00A81BA5">
        <w:t xml:space="preserve">ZAŁĄCZNIK: PODMIOTY LUB </w:t>
      </w:r>
      <w:r w:rsidRPr="00A81BA5">
        <w:t>OSOBY, OD KTÓRYCH SPRAWOZDAWCA OTRZYMAŁ INFORMACJE</w:t>
      </w:r>
      <w:bookmarkEnd w:id="4"/>
    </w:p>
    <w:p w:rsidR="00D11284" w:rsidRPr="00A81BA5" w:rsidRDefault="00F3635D" w:rsidP="005C4959">
      <w:pPr>
        <w:pStyle w:val="Normal24a"/>
        <w:spacing w:after="240"/>
      </w:pPr>
      <w:r w:rsidRPr="00A81BA5">
        <w:rPr>
          <w:rStyle w:val="HideTWBExt"/>
        </w:rPr>
        <w:t>&lt;FootprintIntro&gt;</w:t>
      </w:r>
      <w:r w:rsidRPr="00A81BA5">
        <w:t>Zgodnie z art. 8 załącznika I do Regulaminu sprawozdawca oświadcza, że przy sporządzaniu projektu sprawozdania otrzymał informacje od następujących podmiotów lub osób:</w:t>
      </w:r>
      <w:r w:rsidRPr="00A81BA5">
        <w:rPr>
          <w:rStyle w:val="HideTWBExt"/>
        </w:rPr>
        <w:t>&lt;/FootprintIntro&gt;</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A3A2C" w:rsidRPr="00A81BA5" w:rsidTr="00D11284">
        <w:tc>
          <w:tcPr>
            <w:tcW w:w="9060" w:type="dxa"/>
            <w:shd w:val="clear" w:color="auto" w:fill="auto"/>
          </w:tcPr>
          <w:p w:rsidR="00D11284" w:rsidRPr="00A81BA5" w:rsidRDefault="00F3635D" w:rsidP="00D11284">
            <w:pPr>
              <w:pStyle w:val="NormalBoldCenter"/>
            </w:pPr>
            <w:r w:rsidRPr="00A81BA5">
              <w:t>Podmiot lub osoba</w:t>
            </w:r>
          </w:p>
        </w:tc>
      </w:tr>
      <w:tr w:rsidR="00DA3A2C" w:rsidRPr="00A81BA5" w:rsidTr="00D11284">
        <w:tc>
          <w:tcPr>
            <w:tcW w:w="9060" w:type="dxa"/>
            <w:shd w:val="clear" w:color="auto" w:fill="auto"/>
          </w:tcPr>
          <w:p w:rsidR="00D11284" w:rsidRPr="00A81BA5" w:rsidRDefault="00F3635D" w:rsidP="00D11284">
            <w:pPr>
              <w:rPr>
                <w:sz w:val="22"/>
              </w:rPr>
            </w:pPr>
            <w:r w:rsidRPr="00A81BA5">
              <w:rPr>
                <w:sz w:val="22"/>
              </w:rPr>
              <w:t>EDRi</w:t>
            </w:r>
          </w:p>
        </w:tc>
      </w:tr>
      <w:tr w:rsidR="00DA3A2C" w:rsidRPr="00A81BA5" w:rsidTr="00D11284">
        <w:tc>
          <w:tcPr>
            <w:tcW w:w="9060" w:type="dxa"/>
            <w:shd w:val="clear" w:color="auto" w:fill="auto"/>
          </w:tcPr>
          <w:p w:rsidR="00D11284" w:rsidRPr="00A81BA5" w:rsidRDefault="00F3635D" w:rsidP="00D11284">
            <w:pPr>
              <w:rPr>
                <w:sz w:val="22"/>
              </w:rPr>
            </w:pPr>
            <w:r w:rsidRPr="00A81BA5">
              <w:rPr>
                <w:sz w:val="22"/>
              </w:rPr>
              <w:t>Europol</w:t>
            </w:r>
          </w:p>
        </w:tc>
      </w:tr>
      <w:tr w:rsidR="00DA3A2C" w:rsidRPr="00A81BA5" w:rsidTr="00D11284">
        <w:tc>
          <w:tcPr>
            <w:tcW w:w="9060" w:type="dxa"/>
            <w:shd w:val="clear" w:color="auto" w:fill="auto"/>
          </w:tcPr>
          <w:p w:rsidR="00D11284" w:rsidRPr="00A81BA5" w:rsidRDefault="00F3635D" w:rsidP="00D11284">
            <w:pPr>
              <w:rPr>
                <w:sz w:val="22"/>
              </w:rPr>
            </w:pPr>
            <w:r w:rsidRPr="00A81BA5">
              <w:rPr>
                <w:sz w:val="22"/>
              </w:rPr>
              <w:t>European Commission - DG HOME</w:t>
            </w:r>
          </w:p>
        </w:tc>
      </w:tr>
      <w:tr w:rsidR="00DA3A2C" w:rsidRPr="00A81BA5" w:rsidTr="00D11284">
        <w:tc>
          <w:tcPr>
            <w:tcW w:w="9060" w:type="dxa"/>
            <w:shd w:val="clear" w:color="auto" w:fill="auto"/>
          </w:tcPr>
          <w:p w:rsidR="00D11284" w:rsidRPr="00A81BA5" w:rsidRDefault="00F3635D" w:rsidP="00D11284">
            <w:pPr>
              <w:rPr>
                <w:sz w:val="22"/>
              </w:rPr>
            </w:pPr>
            <w:r w:rsidRPr="00A81BA5">
              <w:rPr>
                <w:sz w:val="22"/>
              </w:rPr>
              <w:t>EPRS</w:t>
            </w:r>
          </w:p>
        </w:tc>
      </w:tr>
      <w:tr w:rsidR="00DA3A2C" w:rsidRPr="00A81BA5" w:rsidTr="00D11284">
        <w:tc>
          <w:tcPr>
            <w:tcW w:w="9060" w:type="dxa"/>
            <w:shd w:val="clear" w:color="auto" w:fill="auto"/>
          </w:tcPr>
          <w:p w:rsidR="00D11284" w:rsidRPr="00A81BA5" w:rsidRDefault="00F3635D" w:rsidP="00D11284">
            <w:pPr>
              <w:rPr>
                <w:sz w:val="22"/>
              </w:rPr>
            </w:pPr>
            <w:r w:rsidRPr="00A81BA5">
              <w:rPr>
                <w:sz w:val="22"/>
              </w:rPr>
              <w:t>Equinox</w:t>
            </w:r>
          </w:p>
        </w:tc>
      </w:tr>
    </w:tbl>
    <w:p w:rsidR="00D11284" w:rsidRPr="00A81BA5" w:rsidRDefault="00F3635D" w:rsidP="005C4959">
      <w:pPr>
        <w:pStyle w:val="Footprint12b"/>
      </w:pPr>
      <w:r w:rsidRPr="00A81BA5">
        <w:t>Powyższy wykaz został sporządzony na wyłączną odpowiedzialność sprawozdawcy.</w:t>
      </w:r>
    </w:p>
    <w:p w:rsidR="00D11284" w:rsidRPr="00A81BA5" w:rsidRDefault="00F3635D" w:rsidP="005C4959">
      <w:pPr>
        <w:pStyle w:val="Footprint12b"/>
      </w:pPr>
      <w:r w:rsidRPr="00A81BA5">
        <w:t xml:space="preserve">Gdy osoby fizyczne są wymienione w wykazie z imienia i nazwiska, zidentyfikowane poprzez swoją </w:t>
      </w:r>
      <w:r w:rsidRPr="00A81BA5">
        <w:t>funkcję lub wymienione z imienia i nazwiska wraz z podaniem ich funkcji, sprawozdawca oświadcza, że przedstawił tym osobom fizycznym Oświadczenie o ochronie prywatności w Parlamencie Europejskim nr 484 (</w:t>
      </w:r>
      <w:hyperlink r:id="rId15" w:history="1">
        <w:r w:rsidRPr="00A81BA5">
          <w:rPr>
            <w:rStyle w:val="Hyperlink"/>
          </w:rPr>
          <w:t>https://www.europarl.europa.eu/data-protect/index.do</w:t>
        </w:r>
      </w:hyperlink>
      <w:r w:rsidRPr="00A81BA5">
        <w:t>), w którym przedstawione są warunki mające zastosowanie do przetwarzania danych osobowych tych osób oraz prawa związane z takim przetwarzaniem.</w:t>
      </w:r>
    </w:p>
    <w:p w:rsidR="00D11284" w:rsidRPr="00A81BA5" w:rsidRDefault="00D11284" w:rsidP="005C4959">
      <w:pPr>
        <w:pStyle w:val="Footprint12b"/>
      </w:pPr>
    </w:p>
    <w:p w:rsidR="00D11284" w:rsidRPr="00A81BA5" w:rsidRDefault="00D11284" w:rsidP="00D11284"/>
    <w:bookmarkEnd w:id="3"/>
    <w:p w:rsidR="00366819" w:rsidRPr="00A81BA5" w:rsidRDefault="00366819" w:rsidP="00D30DE2"/>
    <w:sectPr w:rsidR="00366819" w:rsidRPr="00A81BA5" w:rsidSect="00C2412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81BA5" w:rsidRDefault="00F3635D">
      <w:r w:rsidRPr="00A81BA5">
        <w:separator/>
      </w:r>
    </w:p>
  </w:endnote>
  <w:endnote w:type="continuationSeparator" w:id="0">
    <w:p w:rsidR="00000000" w:rsidRPr="00A81BA5" w:rsidRDefault="00F3635D">
      <w:r w:rsidRPr="00A81B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Roboto">
    <w:altName w:val="Times New Roman"/>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BA5" w:rsidRPr="00A81BA5" w:rsidRDefault="00A81BA5" w:rsidP="00A81BA5">
    <w:pPr>
      <w:pStyle w:val="EPFooter"/>
    </w:pPr>
    <w:r w:rsidRPr="00A81BA5">
      <w:t>PE</w:t>
    </w:r>
    <w:r w:rsidRPr="00A81BA5">
      <w:rPr>
        <w:rStyle w:val="HideTWBExt"/>
      </w:rPr>
      <w:t>&lt;NoPE&gt;</w:t>
    </w:r>
    <w:r w:rsidRPr="00A81BA5">
      <w:t>768.042</w:t>
    </w:r>
    <w:r w:rsidRPr="00A81BA5">
      <w:rPr>
        <w:rStyle w:val="HideTWBExt"/>
      </w:rPr>
      <w:t>&lt;/NoPE&gt;&lt;Version&gt;</w:t>
    </w:r>
    <w:r w:rsidRPr="00A81BA5">
      <w:t>v01-00</w:t>
    </w:r>
    <w:r w:rsidRPr="00A81BA5">
      <w:rPr>
        <w:rStyle w:val="HideTWBExt"/>
      </w:rPr>
      <w:t>&lt;/Version&gt;</w:t>
    </w:r>
    <w:r w:rsidRPr="00A81BA5">
      <w:tab/>
    </w:r>
    <w:r w:rsidRPr="00A81BA5">
      <w:fldChar w:fldCharType="begin"/>
    </w:r>
    <w:r w:rsidRPr="00A81BA5">
      <w:instrText xml:space="preserve"> PAGE  \* MERGEFORMAT </w:instrText>
    </w:r>
    <w:r w:rsidRPr="00A81BA5">
      <w:fldChar w:fldCharType="separate"/>
    </w:r>
    <w:r w:rsidR="00F3635D">
      <w:rPr>
        <w:noProof/>
      </w:rPr>
      <w:t>4</w:t>
    </w:r>
    <w:r w:rsidRPr="00A81BA5">
      <w:fldChar w:fldCharType="end"/>
    </w:r>
    <w:r w:rsidRPr="00A81BA5">
      <w:t>/</w:t>
    </w:r>
    <w:fldSimple w:instr=" NUMPAGES  \* MERGEFORMAT ">
      <w:r w:rsidR="00F3635D">
        <w:rPr>
          <w:noProof/>
        </w:rPr>
        <w:t>49</w:t>
      </w:r>
    </w:fldSimple>
    <w:r w:rsidRPr="00A81BA5">
      <w:tab/>
    </w:r>
    <w:r w:rsidRPr="00A81BA5">
      <w:rPr>
        <w:rStyle w:val="HideTWBExt"/>
      </w:rPr>
      <w:t>&lt;PathFdR&gt;</w:t>
    </w:r>
    <w:r w:rsidRPr="00A81BA5">
      <w:t>PR\1314087PL.docx</w:t>
    </w:r>
    <w:r w:rsidRPr="00A81BA5">
      <w:rPr>
        <w:rStyle w:val="HideTWBExt"/>
      </w:rPr>
      <w:t>&lt;/PathFdR&gt;</w:t>
    </w:r>
  </w:p>
  <w:p w:rsidR="006020DB" w:rsidRPr="00A81BA5" w:rsidRDefault="00A81BA5" w:rsidP="00A81BA5">
    <w:pPr>
      <w:pStyle w:val="EPFooter2"/>
    </w:pPr>
    <w:r w:rsidRPr="00A81BA5">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BA5" w:rsidRPr="00A81BA5" w:rsidRDefault="00A81BA5" w:rsidP="00A81BA5">
    <w:pPr>
      <w:pStyle w:val="EPFooter"/>
    </w:pPr>
    <w:r w:rsidRPr="00A81BA5">
      <w:rPr>
        <w:rStyle w:val="HideTWBExt"/>
      </w:rPr>
      <w:t>&lt;PathFdR&gt;</w:t>
    </w:r>
    <w:r w:rsidRPr="00A81BA5">
      <w:t>PR\1314087PL.docx</w:t>
    </w:r>
    <w:r w:rsidRPr="00A81BA5">
      <w:rPr>
        <w:rStyle w:val="HideTWBExt"/>
      </w:rPr>
      <w:t>&lt;/PathFdR&gt;</w:t>
    </w:r>
    <w:r w:rsidRPr="00A81BA5">
      <w:tab/>
    </w:r>
    <w:r w:rsidRPr="00A81BA5">
      <w:fldChar w:fldCharType="begin"/>
    </w:r>
    <w:r w:rsidRPr="00A81BA5">
      <w:instrText xml:space="preserve"> PAGE  \* MERGEFORMAT </w:instrText>
    </w:r>
    <w:r w:rsidRPr="00A81BA5">
      <w:fldChar w:fldCharType="separate"/>
    </w:r>
    <w:r w:rsidR="00F3635D">
      <w:rPr>
        <w:noProof/>
      </w:rPr>
      <w:t>3</w:t>
    </w:r>
    <w:r w:rsidRPr="00A81BA5">
      <w:fldChar w:fldCharType="end"/>
    </w:r>
    <w:r w:rsidRPr="00A81BA5">
      <w:t>/</w:t>
    </w:r>
    <w:fldSimple w:instr=" NUMPAGES  \* MERGEFORMAT ">
      <w:r w:rsidR="00F3635D">
        <w:rPr>
          <w:noProof/>
        </w:rPr>
        <w:t>49</w:t>
      </w:r>
    </w:fldSimple>
    <w:r w:rsidRPr="00A81BA5">
      <w:tab/>
      <w:t>PE</w:t>
    </w:r>
    <w:r w:rsidRPr="00A81BA5">
      <w:rPr>
        <w:rStyle w:val="HideTWBExt"/>
      </w:rPr>
      <w:t>&lt;NoPE&gt;</w:t>
    </w:r>
    <w:r w:rsidRPr="00A81BA5">
      <w:t>768.042</w:t>
    </w:r>
    <w:r w:rsidRPr="00A81BA5">
      <w:rPr>
        <w:rStyle w:val="HideTWBExt"/>
      </w:rPr>
      <w:t>&lt;/NoPE&gt;&lt;Version&gt;</w:t>
    </w:r>
    <w:r w:rsidRPr="00A81BA5">
      <w:t>v01-00</w:t>
    </w:r>
    <w:r w:rsidRPr="00A81BA5">
      <w:rPr>
        <w:rStyle w:val="HideTWBExt"/>
      </w:rPr>
      <w:t>&lt;/Version&gt;</w:t>
    </w:r>
  </w:p>
  <w:p w:rsidR="006020DB" w:rsidRPr="00A81BA5" w:rsidRDefault="00A81BA5" w:rsidP="00A81BA5">
    <w:pPr>
      <w:pStyle w:val="EPFooter2"/>
    </w:pPr>
    <w:r w:rsidRPr="00A81BA5">
      <w:tab/>
    </w:r>
    <w:r w:rsidRPr="00A81BA5">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BA5" w:rsidRPr="00A81BA5" w:rsidRDefault="00A81BA5" w:rsidP="00A81BA5">
    <w:pPr>
      <w:pStyle w:val="EPFooter"/>
    </w:pPr>
    <w:r w:rsidRPr="00A81BA5">
      <w:rPr>
        <w:rStyle w:val="HideTWBExt"/>
      </w:rPr>
      <w:t>&lt;PathFdR&gt;</w:t>
    </w:r>
    <w:r w:rsidRPr="00A81BA5">
      <w:t>PR\1314087PL.docx</w:t>
    </w:r>
    <w:r w:rsidRPr="00A81BA5">
      <w:rPr>
        <w:rStyle w:val="HideTWBExt"/>
      </w:rPr>
      <w:t>&lt;/PathFdR&gt;</w:t>
    </w:r>
    <w:r w:rsidRPr="00A81BA5">
      <w:tab/>
    </w:r>
    <w:r w:rsidRPr="00A81BA5">
      <w:tab/>
      <w:t>PE</w:t>
    </w:r>
    <w:r w:rsidRPr="00A81BA5">
      <w:rPr>
        <w:rStyle w:val="HideTWBExt"/>
      </w:rPr>
      <w:t>&lt;NoPE&gt;</w:t>
    </w:r>
    <w:r w:rsidRPr="00A81BA5">
      <w:t>768.042</w:t>
    </w:r>
    <w:r w:rsidRPr="00A81BA5">
      <w:rPr>
        <w:rStyle w:val="HideTWBExt"/>
      </w:rPr>
      <w:t>&lt;/NoPE&gt;&lt;Version&gt;</w:t>
    </w:r>
    <w:r w:rsidRPr="00A81BA5">
      <w:t>v01-00</w:t>
    </w:r>
    <w:r w:rsidRPr="00A81BA5">
      <w:rPr>
        <w:rStyle w:val="HideTWBExt"/>
      </w:rPr>
      <w:t>&lt;/Version&gt;</w:t>
    </w:r>
  </w:p>
  <w:p w:rsidR="006020DB" w:rsidRPr="00A81BA5" w:rsidRDefault="00A81BA5" w:rsidP="00A81BA5">
    <w:pPr>
      <w:pStyle w:val="EPFooter2"/>
    </w:pPr>
    <w:r w:rsidRPr="00A81BA5">
      <w:t>PL</w:t>
    </w:r>
    <w:r w:rsidRPr="00A81BA5">
      <w:tab/>
    </w:r>
    <w:r w:rsidRPr="00A81BA5">
      <w:rPr>
        <w:b w:val="0"/>
        <w:i/>
        <w:color w:val="C0C0C0"/>
        <w:sz w:val="22"/>
      </w:rPr>
      <w:t>Zjednoczona w różnorodności</w:t>
    </w:r>
    <w:r w:rsidRPr="00A81BA5">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0DB" w:rsidRPr="00A81BA5" w:rsidRDefault="00F3635D">
      <w:r w:rsidRPr="00A81BA5">
        <w:separator/>
      </w:r>
    </w:p>
  </w:footnote>
  <w:footnote w:type="continuationSeparator" w:id="0">
    <w:p w:rsidR="006020DB" w:rsidRPr="00A81BA5" w:rsidRDefault="00F3635D">
      <w:r w:rsidRPr="00A81BA5">
        <w:continuationSeparator/>
      </w:r>
    </w:p>
  </w:footnote>
  <w:footnote w:id="1">
    <w:p w:rsidR="006020DB" w:rsidRPr="00A81BA5" w:rsidRDefault="00F3635D">
      <w:pPr>
        <w:pStyle w:val="FootnoteText"/>
      </w:pPr>
      <w:r w:rsidRPr="00A81BA5">
        <w:rPr>
          <w:rStyle w:val="FootnoteReference"/>
        </w:rPr>
        <w:footnoteRef/>
      </w:r>
      <w:r w:rsidRPr="00A81BA5">
        <w:t xml:space="preserve"> </w:t>
      </w:r>
      <w:r w:rsidRPr="00A81BA5">
        <w:rPr>
          <w:rFonts w:ascii="Roboto" w:hAnsi="Roboto"/>
          <w:color w:val="333333"/>
          <w:sz w:val="21"/>
          <w:shd w:val="clear" w:color="auto" w:fill="FFFFFF"/>
        </w:rPr>
        <w:t xml:space="preserve">Dz.U. C, C/2024/6024, 23.10.2024, </w:t>
      </w:r>
      <w:r w:rsidRPr="00A81BA5">
        <w:rPr>
          <w:rFonts w:ascii="Roboto" w:hAnsi="Roboto"/>
          <w:color w:val="333333"/>
          <w:sz w:val="21"/>
          <w:shd w:val="clear" w:color="auto" w:fill="FFFFFF"/>
        </w:rPr>
        <w:t>ELI: </w:t>
      </w:r>
      <w:hyperlink r:id="rId1" w:tgtFrame="_blank" w:tooltip="Dostęp do tego dokumentu za pośrednictwem jego ELI URI." w:history="1">
        <w:r w:rsidRPr="00A81BA5">
          <w:rPr>
            <w:rFonts w:ascii="Roboto" w:hAnsi="Roboto"/>
            <w:color w:val="337AB7"/>
            <w:sz w:val="21"/>
            <w:u w:val="single"/>
          </w:rPr>
          <w:t>http://data.europa.eu/eli/C/2024/6024/oj</w:t>
        </w:r>
      </w:hyperlink>
      <w:r w:rsidRPr="00A81BA5">
        <w:rPr>
          <w:rFonts w:ascii="Roboto" w:hAnsi="Roboto"/>
          <w:color w:val="333333"/>
          <w:sz w:val="21"/>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63A" w:rsidRDefault="007B76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63A" w:rsidRDefault="007B76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63A" w:rsidRDefault="007B76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CB5BDD"/>
    <w:multiLevelType w:val="hybridMultilevel"/>
    <w:tmpl w:val="D9C29980"/>
    <w:lvl w:ilvl="0" w:tplc="C44E9278">
      <w:start w:val="1"/>
      <w:numFmt w:val="bullet"/>
      <w:lvlText w:val=""/>
      <w:lvlJc w:val="left"/>
      <w:pPr>
        <w:ind w:left="720" w:hanging="360"/>
      </w:pPr>
      <w:rPr>
        <w:rFonts w:ascii="Symbol" w:hAnsi="Symbol" w:hint="default"/>
      </w:rPr>
    </w:lvl>
    <w:lvl w:ilvl="1" w:tplc="A9467E9E">
      <w:start w:val="1"/>
      <w:numFmt w:val="bullet"/>
      <w:lvlText w:val="o"/>
      <w:lvlJc w:val="left"/>
      <w:pPr>
        <w:ind w:left="1440" w:hanging="360"/>
      </w:pPr>
      <w:rPr>
        <w:rFonts w:ascii="Courier New" w:hAnsi="Courier New" w:cs="Courier New" w:hint="default"/>
      </w:rPr>
    </w:lvl>
    <w:lvl w:ilvl="2" w:tplc="F6ACC798">
      <w:start w:val="1"/>
      <w:numFmt w:val="bullet"/>
      <w:lvlText w:val=""/>
      <w:lvlJc w:val="left"/>
      <w:pPr>
        <w:ind w:left="2160" w:hanging="360"/>
      </w:pPr>
      <w:rPr>
        <w:rFonts w:ascii="Wingdings" w:hAnsi="Wingdings" w:hint="default"/>
      </w:rPr>
    </w:lvl>
    <w:lvl w:ilvl="3" w:tplc="9740ED5C">
      <w:start w:val="1"/>
      <w:numFmt w:val="bullet"/>
      <w:lvlText w:val=""/>
      <w:lvlJc w:val="left"/>
      <w:pPr>
        <w:ind w:left="2880" w:hanging="360"/>
      </w:pPr>
      <w:rPr>
        <w:rFonts w:ascii="Symbol" w:hAnsi="Symbol" w:hint="default"/>
      </w:rPr>
    </w:lvl>
    <w:lvl w:ilvl="4" w:tplc="7E88BB98">
      <w:start w:val="1"/>
      <w:numFmt w:val="bullet"/>
      <w:lvlText w:val="o"/>
      <w:lvlJc w:val="left"/>
      <w:pPr>
        <w:ind w:left="3600" w:hanging="360"/>
      </w:pPr>
      <w:rPr>
        <w:rFonts w:ascii="Courier New" w:hAnsi="Courier New" w:cs="Courier New" w:hint="default"/>
      </w:rPr>
    </w:lvl>
    <w:lvl w:ilvl="5" w:tplc="3356F502">
      <w:start w:val="1"/>
      <w:numFmt w:val="bullet"/>
      <w:lvlText w:val=""/>
      <w:lvlJc w:val="left"/>
      <w:pPr>
        <w:ind w:left="4320" w:hanging="360"/>
      </w:pPr>
      <w:rPr>
        <w:rFonts w:ascii="Wingdings" w:hAnsi="Wingdings" w:hint="default"/>
      </w:rPr>
    </w:lvl>
    <w:lvl w:ilvl="6" w:tplc="E676FBBA">
      <w:start w:val="1"/>
      <w:numFmt w:val="bullet"/>
      <w:lvlText w:val=""/>
      <w:lvlJc w:val="left"/>
      <w:pPr>
        <w:ind w:left="5040" w:hanging="360"/>
      </w:pPr>
      <w:rPr>
        <w:rFonts w:ascii="Symbol" w:hAnsi="Symbol" w:hint="default"/>
      </w:rPr>
    </w:lvl>
    <w:lvl w:ilvl="7" w:tplc="B5865A86">
      <w:start w:val="1"/>
      <w:numFmt w:val="bullet"/>
      <w:lvlText w:val="o"/>
      <w:lvlJc w:val="left"/>
      <w:pPr>
        <w:ind w:left="5760" w:hanging="360"/>
      </w:pPr>
      <w:rPr>
        <w:rFonts w:ascii="Courier New" w:hAnsi="Courier New" w:cs="Courier New" w:hint="default"/>
      </w:rPr>
    </w:lvl>
    <w:lvl w:ilvl="8" w:tplc="3D2E5F3A">
      <w:start w:val="1"/>
      <w:numFmt w:val="bullet"/>
      <w:lvlText w:val=""/>
      <w:lvlJc w:val="left"/>
      <w:pPr>
        <w:ind w:left="6480" w:hanging="360"/>
      </w:pPr>
      <w:rPr>
        <w:rFonts w:ascii="Wingdings" w:hAnsi="Wingdings" w:hint="default"/>
      </w:rPr>
    </w:lvl>
  </w:abstractNum>
  <w:abstractNum w:abstractNumId="11" w15:restartNumberingAfterBreak="0">
    <w:nsid w:val="27F47A1A"/>
    <w:multiLevelType w:val="hybridMultilevel"/>
    <w:tmpl w:val="07908532"/>
    <w:lvl w:ilvl="0" w:tplc="6A8CDFF6">
      <w:start w:val="1"/>
      <w:numFmt w:val="bullet"/>
      <w:lvlText w:val=""/>
      <w:lvlJc w:val="left"/>
      <w:pPr>
        <w:ind w:left="720" w:hanging="360"/>
      </w:pPr>
      <w:rPr>
        <w:rFonts w:ascii="Symbol" w:hAnsi="Symbol" w:hint="default"/>
      </w:rPr>
    </w:lvl>
    <w:lvl w:ilvl="1" w:tplc="A6105548">
      <w:start w:val="1"/>
      <w:numFmt w:val="bullet"/>
      <w:lvlText w:val="o"/>
      <w:lvlJc w:val="left"/>
      <w:pPr>
        <w:ind w:left="1440" w:hanging="360"/>
      </w:pPr>
      <w:rPr>
        <w:rFonts w:ascii="Courier New" w:hAnsi="Courier New" w:cs="Courier New" w:hint="default"/>
      </w:rPr>
    </w:lvl>
    <w:lvl w:ilvl="2" w:tplc="1CFE923E">
      <w:start w:val="1"/>
      <w:numFmt w:val="bullet"/>
      <w:lvlText w:val=""/>
      <w:lvlJc w:val="left"/>
      <w:pPr>
        <w:ind w:left="2160" w:hanging="360"/>
      </w:pPr>
      <w:rPr>
        <w:rFonts w:ascii="Wingdings" w:hAnsi="Wingdings" w:hint="default"/>
      </w:rPr>
    </w:lvl>
    <w:lvl w:ilvl="3" w:tplc="DBFE5798">
      <w:start w:val="1"/>
      <w:numFmt w:val="bullet"/>
      <w:lvlText w:val=""/>
      <w:lvlJc w:val="left"/>
      <w:pPr>
        <w:ind w:left="2880" w:hanging="360"/>
      </w:pPr>
      <w:rPr>
        <w:rFonts w:ascii="Symbol" w:hAnsi="Symbol" w:hint="default"/>
      </w:rPr>
    </w:lvl>
    <w:lvl w:ilvl="4" w:tplc="FD5EA47C">
      <w:start w:val="1"/>
      <w:numFmt w:val="bullet"/>
      <w:lvlText w:val="o"/>
      <w:lvlJc w:val="left"/>
      <w:pPr>
        <w:ind w:left="3600" w:hanging="360"/>
      </w:pPr>
      <w:rPr>
        <w:rFonts w:ascii="Courier New" w:hAnsi="Courier New" w:cs="Courier New" w:hint="default"/>
      </w:rPr>
    </w:lvl>
    <w:lvl w:ilvl="5" w:tplc="D8E687B6">
      <w:start w:val="1"/>
      <w:numFmt w:val="bullet"/>
      <w:lvlText w:val=""/>
      <w:lvlJc w:val="left"/>
      <w:pPr>
        <w:ind w:left="4320" w:hanging="360"/>
      </w:pPr>
      <w:rPr>
        <w:rFonts w:ascii="Wingdings" w:hAnsi="Wingdings" w:hint="default"/>
      </w:rPr>
    </w:lvl>
    <w:lvl w:ilvl="6" w:tplc="F9FAA38A">
      <w:start w:val="1"/>
      <w:numFmt w:val="bullet"/>
      <w:lvlText w:val=""/>
      <w:lvlJc w:val="left"/>
      <w:pPr>
        <w:ind w:left="5040" w:hanging="360"/>
      </w:pPr>
      <w:rPr>
        <w:rFonts w:ascii="Symbol" w:hAnsi="Symbol" w:hint="default"/>
      </w:rPr>
    </w:lvl>
    <w:lvl w:ilvl="7" w:tplc="6BECBA90">
      <w:start w:val="1"/>
      <w:numFmt w:val="bullet"/>
      <w:lvlText w:val="o"/>
      <w:lvlJc w:val="left"/>
      <w:pPr>
        <w:ind w:left="5760" w:hanging="360"/>
      </w:pPr>
      <w:rPr>
        <w:rFonts w:ascii="Courier New" w:hAnsi="Courier New" w:cs="Courier New" w:hint="default"/>
      </w:rPr>
    </w:lvl>
    <w:lvl w:ilvl="8" w:tplc="A2F65044">
      <w:start w:val="1"/>
      <w:numFmt w:val="bullet"/>
      <w:lvlText w:val=""/>
      <w:lvlJc w:val="left"/>
      <w:pPr>
        <w:ind w:left="6480" w:hanging="360"/>
      </w:pPr>
      <w:rPr>
        <w:rFonts w:ascii="Wingdings" w:hAnsi="Wingdings" w:hint="default"/>
      </w:rPr>
    </w:lvl>
  </w:abstractNum>
  <w:abstractNum w:abstractNumId="12" w15:restartNumberingAfterBreak="0">
    <w:nsid w:val="5944571E"/>
    <w:multiLevelType w:val="hybridMultilevel"/>
    <w:tmpl w:val="09F8BC3C"/>
    <w:lvl w:ilvl="0" w:tplc="0B1ECF62">
      <w:start w:val="1"/>
      <w:numFmt w:val="bullet"/>
      <w:lvlText w:val="o"/>
      <w:lvlJc w:val="left"/>
      <w:pPr>
        <w:ind w:left="2160" w:hanging="360"/>
      </w:pPr>
      <w:rPr>
        <w:rFonts w:ascii="Courier New" w:hAnsi="Courier New" w:cs="Courier New" w:hint="default"/>
      </w:rPr>
    </w:lvl>
    <w:lvl w:ilvl="1" w:tplc="70FCEDCA">
      <w:start w:val="1"/>
      <w:numFmt w:val="bullet"/>
      <w:lvlText w:val="o"/>
      <w:lvlJc w:val="left"/>
      <w:pPr>
        <w:ind w:left="2880" w:hanging="360"/>
      </w:pPr>
      <w:rPr>
        <w:rFonts w:ascii="Courier New" w:hAnsi="Courier New" w:cs="Courier New" w:hint="default"/>
      </w:rPr>
    </w:lvl>
    <w:lvl w:ilvl="2" w:tplc="FABA7244">
      <w:start w:val="1"/>
      <w:numFmt w:val="bullet"/>
      <w:lvlText w:val=""/>
      <w:lvlJc w:val="left"/>
      <w:pPr>
        <w:ind w:left="3600" w:hanging="360"/>
      </w:pPr>
      <w:rPr>
        <w:rFonts w:ascii="Wingdings" w:hAnsi="Wingdings" w:hint="default"/>
      </w:rPr>
    </w:lvl>
    <w:lvl w:ilvl="3" w:tplc="289EA390">
      <w:start w:val="1"/>
      <w:numFmt w:val="bullet"/>
      <w:lvlText w:val=""/>
      <w:lvlJc w:val="left"/>
      <w:pPr>
        <w:ind w:left="4320" w:hanging="360"/>
      </w:pPr>
      <w:rPr>
        <w:rFonts w:ascii="Symbol" w:hAnsi="Symbol" w:hint="default"/>
      </w:rPr>
    </w:lvl>
    <w:lvl w:ilvl="4" w:tplc="478E7BE6">
      <w:start w:val="1"/>
      <w:numFmt w:val="bullet"/>
      <w:lvlText w:val="o"/>
      <w:lvlJc w:val="left"/>
      <w:pPr>
        <w:ind w:left="5040" w:hanging="360"/>
      </w:pPr>
      <w:rPr>
        <w:rFonts w:ascii="Courier New" w:hAnsi="Courier New" w:cs="Courier New" w:hint="default"/>
      </w:rPr>
    </w:lvl>
    <w:lvl w:ilvl="5" w:tplc="A770027E">
      <w:start w:val="1"/>
      <w:numFmt w:val="bullet"/>
      <w:lvlText w:val=""/>
      <w:lvlJc w:val="left"/>
      <w:pPr>
        <w:ind w:left="5760" w:hanging="360"/>
      </w:pPr>
      <w:rPr>
        <w:rFonts w:ascii="Wingdings" w:hAnsi="Wingdings" w:hint="default"/>
      </w:rPr>
    </w:lvl>
    <w:lvl w:ilvl="6" w:tplc="02FE2186">
      <w:start w:val="1"/>
      <w:numFmt w:val="bullet"/>
      <w:lvlText w:val=""/>
      <w:lvlJc w:val="left"/>
      <w:pPr>
        <w:ind w:left="6480" w:hanging="360"/>
      </w:pPr>
      <w:rPr>
        <w:rFonts w:ascii="Symbol" w:hAnsi="Symbol" w:hint="default"/>
      </w:rPr>
    </w:lvl>
    <w:lvl w:ilvl="7" w:tplc="70CA754A">
      <w:start w:val="1"/>
      <w:numFmt w:val="bullet"/>
      <w:lvlText w:val="o"/>
      <w:lvlJc w:val="left"/>
      <w:pPr>
        <w:ind w:left="7200" w:hanging="360"/>
      </w:pPr>
      <w:rPr>
        <w:rFonts w:ascii="Courier New" w:hAnsi="Courier New" w:cs="Courier New" w:hint="default"/>
      </w:rPr>
    </w:lvl>
    <w:lvl w:ilvl="8" w:tplc="282EE94A">
      <w:start w:val="1"/>
      <w:numFmt w:val="bullet"/>
      <w:lvlText w:val=""/>
      <w:lvlJc w:val="left"/>
      <w:pPr>
        <w:ind w:left="7920" w:hanging="360"/>
      </w:pPr>
      <w:rPr>
        <w:rFonts w:ascii="Wingdings" w:hAnsi="Wingdings" w:hint="default"/>
      </w:rPr>
    </w:lvl>
  </w:abstractNum>
  <w:abstractNum w:abstractNumId="13" w15:restartNumberingAfterBreak="0">
    <w:nsid w:val="6BF45036"/>
    <w:multiLevelType w:val="hybridMultilevel"/>
    <w:tmpl w:val="2A9E6A64"/>
    <w:lvl w:ilvl="0" w:tplc="C276C8A4">
      <w:start w:val="1"/>
      <w:numFmt w:val="bullet"/>
      <w:lvlText w:val=""/>
      <w:lvlJc w:val="left"/>
      <w:pPr>
        <w:ind w:left="720" w:hanging="360"/>
      </w:pPr>
      <w:rPr>
        <w:rFonts w:ascii="Symbol" w:hAnsi="Symbol" w:hint="default"/>
      </w:rPr>
    </w:lvl>
    <w:lvl w:ilvl="1" w:tplc="BFA6DCD6">
      <w:start w:val="1"/>
      <w:numFmt w:val="bullet"/>
      <w:lvlText w:val="o"/>
      <w:lvlJc w:val="left"/>
      <w:pPr>
        <w:ind w:left="1440" w:hanging="360"/>
      </w:pPr>
      <w:rPr>
        <w:rFonts w:ascii="Courier New" w:hAnsi="Courier New" w:cs="Courier New" w:hint="default"/>
      </w:rPr>
    </w:lvl>
    <w:lvl w:ilvl="2" w:tplc="BF4A34F8">
      <w:start w:val="1"/>
      <w:numFmt w:val="bullet"/>
      <w:lvlText w:val=""/>
      <w:lvlJc w:val="left"/>
      <w:pPr>
        <w:ind w:left="2160" w:hanging="360"/>
      </w:pPr>
      <w:rPr>
        <w:rFonts w:ascii="Wingdings" w:hAnsi="Wingdings" w:hint="default"/>
      </w:rPr>
    </w:lvl>
    <w:lvl w:ilvl="3" w:tplc="8D927BDC">
      <w:start w:val="1"/>
      <w:numFmt w:val="bullet"/>
      <w:lvlText w:val=""/>
      <w:lvlJc w:val="left"/>
      <w:pPr>
        <w:ind w:left="2880" w:hanging="360"/>
      </w:pPr>
      <w:rPr>
        <w:rFonts w:ascii="Symbol" w:hAnsi="Symbol" w:hint="default"/>
      </w:rPr>
    </w:lvl>
    <w:lvl w:ilvl="4" w:tplc="3990D4AA">
      <w:start w:val="1"/>
      <w:numFmt w:val="bullet"/>
      <w:lvlText w:val="o"/>
      <w:lvlJc w:val="left"/>
      <w:pPr>
        <w:ind w:left="3600" w:hanging="360"/>
      </w:pPr>
      <w:rPr>
        <w:rFonts w:ascii="Courier New" w:hAnsi="Courier New" w:cs="Courier New" w:hint="default"/>
      </w:rPr>
    </w:lvl>
    <w:lvl w:ilvl="5" w:tplc="0C82381E">
      <w:start w:val="1"/>
      <w:numFmt w:val="bullet"/>
      <w:lvlText w:val=""/>
      <w:lvlJc w:val="left"/>
      <w:pPr>
        <w:ind w:left="4320" w:hanging="360"/>
      </w:pPr>
      <w:rPr>
        <w:rFonts w:ascii="Wingdings" w:hAnsi="Wingdings" w:hint="default"/>
      </w:rPr>
    </w:lvl>
    <w:lvl w:ilvl="6" w:tplc="2C2E345A">
      <w:start w:val="1"/>
      <w:numFmt w:val="bullet"/>
      <w:lvlText w:val=""/>
      <w:lvlJc w:val="left"/>
      <w:pPr>
        <w:ind w:left="5040" w:hanging="360"/>
      </w:pPr>
      <w:rPr>
        <w:rFonts w:ascii="Symbol" w:hAnsi="Symbol" w:hint="default"/>
      </w:rPr>
    </w:lvl>
    <w:lvl w:ilvl="7" w:tplc="D9FE971C">
      <w:start w:val="1"/>
      <w:numFmt w:val="bullet"/>
      <w:lvlText w:val="o"/>
      <w:lvlJc w:val="left"/>
      <w:pPr>
        <w:ind w:left="5760" w:hanging="360"/>
      </w:pPr>
      <w:rPr>
        <w:rFonts w:ascii="Courier New" w:hAnsi="Courier New" w:cs="Courier New" w:hint="default"/>
      </w:rPr>
    </w:lvl>
    <w:lvl w:ilvl="8" w:tplc="7690137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2"/>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1"/>
    <w:docVar w:name="CJMNU" w:val="1"/>
    <w:docVar w:name="COMKEY" w:val="LIBE"/>
    <w:docVar w:name="CONTRIBUTIONMNU" w:val=" 1"/>
    <w:docVar w:name="CopyToNetwork" w:val="-1"/>
    <w:docVar w:name="DOCDT" w:val="10/02/2025"/>
    <w:docVar w:name="DOCMNU" w:val=" 1"/>
    <w:docVar w:name="EPOJMNU" w:val=" 1"/>
    <w:docVar w:name="EPSTATMNU" w:val=" 1"/>
    <w:docVar w:name="EPSTATPLURMNU" w:val=" 1"/>
    <w:docVar w:name="EVABUDGMNU" w:val=" 1"/>
    <w:docVar w:name="INSTITUTIONSMNU" w:val=" 1"/>
    <w:docVar w:name="JURI1MNU" w:val=" 1"/>
    <w:docVar w:name="JURI2MNU" w:val=" 1"/>
    <w:docVar w:name="LastEditedSection" w:val=" 1"/>
    <w:docVar w:name="NVAR1" w:val="0"/>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25737 HideTWBExt;}{\*\cs18 \additive \v\f1\fs20\cf15 _x000d__x000a_\spriority0 \styrsid5325737 HideTWBInt;}{\s19\ql \li0\ri0\sa120\nowidctlpar\wrapdefault\aspalpha\aspnum\faauto\adjustright\rin0\lin0\itap0 \rtlch\fcs1 \af0\afs20\alang1025 \ltrch\fcs0 \fs24\lang2057\langfe2057\cgrid\langnp2057\langfenp2057 _x000d__x000a_\sbasedon0 \snext19 \spriority0 \styrsid5325737 Normal6a;}{\s20\ql \li0\ri0\nowidctlpar\wrapdefault\aspalpha\aspnum\faauto\adjustright\rin0\lin0\itap0 \rtlch\fcs1 \af0\afs20\alang1025 \ltrch\fcs0 \b\fs24\lang2057\langfe2057\cgrid\langnp2057\langfenp2057 _x000d__x000a_\sbasedon0 \snext20 \spriority0 \styrsid5325737 NormalBold;}{\s21\ql \li0\ri0\sa240\nowidctlpar\wrapdefault\aspalpha\aspnum\faauto\adjustright\rin0\lin0\itap0 \rtlch\fcs1 \af0\afs20\alang1025 \ltrch\fcs0 _x000d__x000a_\i\fs24\lang2057\langfe2057\cgrid\langnp2057\langfenp2057 \sbasedon0 \snext21 \spriority0 \styrsid5325737 AmJustText;}{\s22\qc \li0\ri0\sb240\sa240\nowidctlpar\wrapdefault\aspalpha\aspnum\faauto\adjustright\rin0\lin0\itap0 \rtlch\fcs1 _x000d__x000a_\af0\afs20\alang1025 \ltrch\fcs0 \i\fs24\lang2057\langfe2057\cgrid\langnp2057\langfenp2057 \sbasedon0 \snext22 \spriority0 \styrsid5325737 AmCrossRef;}{_x000d__x000a_\s23\qc \li0\ri0\sb240\sa240\keepn\nowidctlpar\wrapdefault\aspalpha\aspnum\faauto\adjustright\rin0\lin0\itap0 \rtlch\fcs1 \af0\afs20\alang1025 \ltrch\fcs0 \i\fs24\lang2057\langfe2057\cgrid\langnp2057\langfenp2057 _x000d__x000a_\sbasedon0 \snext21 \spriority0 \styrsid5325737 AmJustTitle;}{\s24\qr \li0\ri0\sb240\sa240\nowidctlpar\wrapdefault\aspalpha\aspnum\faauto\adjustright\rin0\lin0\itap0 \rtlch\fcs1 \af0\afs20\alang1025 \ltrch\fcs0 _x000d__x000a_\fs24\lang2057\langfe2057\cgrid\langnp2057\langfenp2057 \sbasedon0 \snext24 \spriority0 \styrsid5325737 AmOrLang;}{\s25\qc \li0\ri0\sa240\nowidctlpar\wrapdefault\aspalpha\aspnum\faauto\adjustright\rin0\lin0\itap0 \rtlch\fcs1 \af0\afs20\alang1025 _x000d__x000a_\ltrch\fcs0 \i\fs24\lang2057\langfe2057\cgrid\langnp2057\langfenp2057 \sbasedon0 \snext25 \spriority0 \styrsid532573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25737 AmNumberTabs;}{\s27\ql \li0\ri0\sb240\nowidctlpar\wrapdefault\aspalpha\aspnum\faauto\adjustright\rin0\lin0\itap0 \rtlch\fcs1 _x000d__x000a_\af0\afs20\alang1025 \ltrch\fcs0 \b\fs24\lang2057\langfe2057\cgrid\langnp2057\langfenp2057 \sbasedon0 \snext27 \spriority0 \styrsid5325737 NormalBold12b;}}{\*\rsidtbl \rsid24658\rsid223860\rsid735077\rsid1718133\rsid2892074\rsid3565327\rsid3571077_x000d__x000a_\rsid4666813\rsid5325737\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5\mo1\dy28\hr10\min40}{\revtim\yr2025\mo1\dy28\hr10\min40}{\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2573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3571077 \chftnsep _x000d__x000a_\par }}{\*\ftnsepc \ltrpar \pard\plain \ltrpar\ql \li0\ri0\widctlpar\wrapdefault\aspalpha\aspnum\faauto\adjustright\rin0\lin0\itap0 \rtlch\fcs1 \af0\afs20\alang1025 \ltrch\fcs0 \fs24\lang2057\langfe2057\cgrid\langnp2057\langfenp2057 {\rtlch\fcs1 \af0 _x000d__x000a_\ltrch\fcs0 \insrsid3571077 \chftnsepc _x000d__x000a_\par }}{\*\aftnsep \ltrpar \pard\plain \ltrpar\ql \li0\ri0\widctlpar\wrapdefault\aspalpha\aspnum\faauto\adjustright\rin0\lin0\itap0 \rtlch\fcs1 \af0\afs20\alang1025 \ltrch\fcs0 \fs24\lang2057\langfe2057\cgrid\langnp2057\langfenp2057 {\rtlch\fcs1 \af0 _x000d__x000a_\ltrch\fcs0 \insrsid3571077 \chftnsep _x000d__x000a_\par }}{\*\aftnsepc \ltrpar \pard\plain \ltrpar\ql \li0\ri0\widctlpar\wrapdefault\aspalpha\aspnum\faauto\adjustright\rin0\lin0\itap0 \rtlch\fcs1 \af0\afs20\alang1025 \ltrch\fcs0 \fs24\lang2057\langfe2057\cgrid\langnp2057\langfenp2057 {\rtlch\fcs1 \af0 _x000d__x000a_\ltrch\fcs0 \insrsid35710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25737 \rtlch\fcs1 _x000d__x000a_\af0\afs20\alang1025 \ltrch\fcs0 \b\fs24\lang2057\langfe2057\cgrid\langnp2057\langfenp2057 {\rtlch\fcs1 \af0 \ltrch\fcs0 \cs17\b0\v\fs20\cf9\lang1024\langfe1024\loch\af1\hich\af1\dbch\af31501\noproof\insrsid5325737\charrsid5585170 {\*\bkmkstart restart}_x000d__x000a_\hich\af1\dbch\af31501\loch\f1 &lt;Amend&gt;}{\rtlch\fcs1 \af0 \ltrch\fcs0 \insrsid5325737\charrsid5585170 Amendment\tab \tab }{\rtlch\fcs1 \af0 \ltrch\fcs0 _x000d__x000a_\cs17\b0\v\fs20\cf9\lang1024\langfe1024\loch\af1\hich\af1\dbch\af31501\noproof\insrsid5325737\charrsid5585170 \hich\af1\dbch\af31501\loch\f1 &lt;NumAm&gt;}{\rtlch\fcs1 \af0 \ltrch\fcs0 \insrsid5325737\charrsid5585170 #}{\rtlch\fcs1 \af1 \ltrch\fcs0 _x000d__x000a_\cs18\v\f1\fs20\cf15\insrsid5325737\charrsid5585170 ENMIENDA@NRAM@}{\rtlch\fcs1 \af0 \ltrch\fcs0 \insrsid5325737\charrsid5585170 #}{\rtlch\fcs1 \af0 \ltrch\fcs0 _x000d__x000a_\cs17\b0\v\fs20\cf9\lang1024\langfe1024\loch\af1\hich\af1\dbch\af31501\noproof\insrsid5325737\charrsid5585170 \hich\af1\dbch\af31501\loch\f1 &lt;/NumAm&gt;}{\rtlch\fcs1 \af0 \ltrch\fcs0 \insrsid5325737\charrsid5585170 _x000d__x000a_\par }\pard\plain \ltrpar\s27\ql \li0\ri0\sb240\keepn\nowidctlpar\wrapdefault\aspalpha\aspnum\faauto\adjustright\rin0\lin0\itap0\pararsid5325737 \rtlch\fcs1 \af0\afs20\alang1025 \ltrch\fcs0 \b\fs24\lang2057\langfe2057\cgrid\langnp2057\langfenp2057 {_x000d__x000a_\rtlch\fcs1 \af0 \ltrch\fcs0 \cs17\b0\v\fs20\cf9\lang1024\langfe1024\loch\af1\hich\af1\dbch\af31501\noproof\insrsid5325737\charrsid5585170 \hich\af1\dbch\af31501\loch\f1 &lt;DocAmend&gt;}{\rtlch\fcs1 \af0 \ltrch\fcs0 \insrsid5325737\charrsid5585170 _x000d__x000a_Proposal for a #}{\rtlch\fcs1 \af1 \ltrch\fcs0 \cs18\v\f1\fs20\cf15\insrsid5325737\charrsid5585170 MNU[DOC1][DOC2][DOC3]@DOCMSG@DOCMNU}{\rtlch\fcs1 \af0 \ltrch\fcs0 \insrsid5325737\charrsid5585170 ##}{\rtlch\fcs1 \af1 \ltrch\fcs0 _x000d__x000a_\cs18\v\f1\fs20\cf15\insrsid5325737\charrsid5585170 MNU[AMACTYES][NOTAPP]@CHOICE@AMACTMNU}{\rtlch\fcs1 \af0 \ltrch\fcs0 \insrsid5325737\charrsid5585170 #}{\rtlch\fcs1 \af0 \ltrch\fcs0 _x000d__x000a_\cs17\b0\v\fs20\cf9\lang1024\langfe1024\loch\af1\hich\af1\dbch\af31501\noproof\insrsid5325737\charrsid5585170 \hich\af1\dbch\af31501\loch\f1 &lt;/DocAmend&gt;}{\rtlch\fcs1 \af0 \ltrch\fcs0 \insrsid5325737\charrsid5585170 _x000d__x000a_\par }\pard\plain \ltrpar\s20\ql \li0\ri0\keepn\nowidctlpar\wrapdefault\aspalpha\aspnum\faauto\adjustright\rin0\lin0\itap0\pararsid5325737 \rtlch\fcs1 \af0\afs20\alang1025 \ltrch\fcs0 \b\fs24\lang2057\langfe2057\cgrid\langnp2057\langfenp2057 {\rtlch\fcs1 \af0 _x000d__x000a_\ltrch\fcs0 \cs17\b0\v\fs20\cf9\lang1024\langfe1024\loch\af1\hich\af1\dbch\af31501\noproof\insrsid5325737\charrsid5585170 \hich\af1\dbch\af31501\loch\f1 &lt;Article&gt;}{\rtlch\fcs1 \af0 \ltrch\fcs0 \insrsid5325737\charrsid5585170 #}{\rtlch\fcs1 \af1 _x000d__x000a_\ltrch\fcs0 \cs18\v\f1\fs20\cf15\insrsid5325737\charrsid5585170 MNU[AMACTPARTYES][AMACTPARTNO]@CHOICE@AMACTMNU}{\rtlch\fcs1 \af0 \ltrch\fcs0 \insrsid5325737\charrsid5585170 #}{\rtlch\fcs1 \af0 \ltrch\fcs0 _x000d__x000a_\cs17\b0\v\fs20\cf9\lang1024\langfe1024\loch\af1\hich\af1\dbch\af31501\noproof\insrsid5325737\charrsid5585170 \hich\af1\dbch\af31501\loch\f1 &lt;/Article&gt;}{\rtlch\fcs1 \af0 \ltrch\fcs0 \insrsid5325737\charrsid5585170 _x000d__x000a_\par }\pard\plain \ltrpar\ql \li0\ri0\keepn\widctlpar\wrapdefault\aspalpha\aspnum\faauto\adjustright\rin0\lin0\itap0\pararsid5325737 \rtlch\fcs1 \af0\afs20\alang1025 \ltrch\fcs0 \fs24\lang2057\langfe2057\cgrid\langnp2057\langfenp2057 {\rtlch\fcs1 \af0 _x000d__x000a_\ltrch\fcs0 \cs17\v\fs20\cf9\lang1024\langfe1024\loch\af1\hich\af1\dbch\af31501\noproof\insrsid5325737\charrsid5585170 \hich\af1\dbch\af31501\loch\f1 &lt;DocAmend2&gt;&lt;OptDel&gt;}{\rtlch\fcs1 \af0 \ltrch\fcs0 \insrsid5325737\charrsid5585170 #}{\rtlch\fcs1 \af1 _x000d__x000a_\ltrch\fcs0 \cs18\v\f1\fs20\cf15\insrsid5325737\charrsid5585170 MNU[OPTNRACTYES][NOTAPP]@CHOICE@AMACTMNU}{\rtlch\fcs1 \af0 \ltrch\fcs0 \insrsid5325737\charrsid5585170 #}{\rtlch\fcs1 \af0 \ltrch\fcs0 _x000d__x000a_\cs17\v\fs20\cf9\lang1024\langfe1024\loch\af1\hich\af1\dbch\af31501\noproof\insrsid5325737\charrsid5585170 \hich\af1\dbch\af31501\loch\f1 &lt;/OptDel&gt;&lt;/DocAmend2&gt;}{\rtlch\fcs1 \af0 \ltrch\fcs0 \insrsid5325737\charrsid5585170 _x000d__x000a_\par }\pard \ltrpar\ql \li0\ri0\widctlpar\wrapdefault\aspalpha\aspnum\faauto\adjustright\rin0\lin0\itap0\pararsid5325737 {\rtlch\fcs1 \af0 \ltrch\fcs0 \cs17\v\fs20\cf9\lang1024\langfe1024\loch\af1\hich\af1\dbch\af31501\noproof\insrsid5325737\charrsid5585170 _x000d__x000a_\hich\af1\dbch\af31501\loch\f1 &lt;Article2&gt;&lt;OptDel&gt;}{\rtlch\fcs1 \af0 \ltrch\fcs0 \insrsid5325737\charrsid5585170 #}{\rtlch\fcs1 \af1 \ltrch\fcs0 \cs18\v\f1\fs20\cf15\insrsid5325737\charrsid5585170 MNU[OPTACTPARTYES][NOTAPP]@CHOICE@AMACTMNU}{\rtlch\fcs1 _x000d__x000a_\af0 \ltrch\fcs0 \insrsid5325737\charrsid5585170 #}{\rtlch\fcs1 \af0 \ltrch\fcs0 \cs17\v\fs20\cf9\lang1024\langfe1024\loch\af1\hich\af1\dbch\af31501\noproof\insrsid5325737\charrsid5585170 \hich\af1\dbch\af31501\loch\f1 &lt;/OptDel&gt;&lt;/Article2&gt;}{\rtlch\fcs1 _x000d__x000a_\af0 \ltrch\fcs0 \insrsid5325737\charrsid558517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5325737\charrsid5585170 \cell }\pard\plain \ltrpar\ql \li0\ri0\widctlpar\intbl\wrapdefault\aspalpha\aspnum\faauto\adjustright\rin0\lin0 \rtlch\fcs1 _x000d__x000a_\af0\afs20\alang1025 \ltrch\fcs0 \fs24\lang2057\langfe2057\cgrid\langnp2057\langfenp2057 {\rtlch\fcs1 \af0 \ltrch\fcs0 \insrsid5325737\charrsid558517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5325737\charrsid5585170 #}{\rtlch\fcs1 \af1 \ltrch\fcs0 \cs18\v\f1\fs20\cf15\insrsid5325737\charrsid5585170 MNU[OPTLEFTAMACT][LEFTPROP]@CHOICE@AMACTMNU}{\rtlch\fcs1 \af0 \ltrch\fcs0 \insrsid5325737\charrsid5585170 #\cell Amendment\cell _x000d__x000a_}\pard\plain \ltrpar\ql \li0\ri0\widctlpar\intbl\wrapdefault\aspalpha\aspnum\faauto\adjustright\rin0\lin0 \rtlch\fcs1 \af0\afs20\alang1025 \ltrch\fcs0 \fs24\lang2057\langfe2057\cgrid\langnp2057\langfenp2057 {\rtlch\fcs1 \af0 \ltrch\fcs0 _x000d__x000a_\insrsid5325737\charrsid5585170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5325737\charrsid5585170 ##\cell ##}{\rtlch\fcs1 \af0\afs24 \ltrch\fcs0 \insrsid5325737\charrsid5585170 \cell }\pard\plain \ltrpar\ql \li0\ri0\widctlpar\intbl\wrapdefault\aspalpha\aspnum\faauto\adjustright\rin0\lin0 \rtlch\fcs1 _x000d__x000a_\af0\afs20\alang1025 \ltrch\fcs0 \fs24\lang2057\langfe2057\cgrid\langnp2057\langfenp2057 {\rtlch\fcs1 \af0 \ltrch\fcs0 \insrsid5325737\charrsid558517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25737 \rtlch\fcs1 \af0\afs20\alang1025 \ltrch\fcs0 \fs24\lang2057\langfe2057\cgrid\langnp2057\langfenp2057 {\rtlch\fcs1 \af0 \ltrch\fcs0 _x000d__x000a_\insrsid5325737\charrsid5585170 Or. }{\rtlch\fcs1 \af0 \ltrch\fcs0 \cs17\v\fs20\cf9\lang1024\langfe1024\loch\af1\hich\af1\dbch\af31501\noproof\insrsid5325737\charrsid5585170 \hich\af1\dbch\af31501\loch\f1 &lt;Original&gt;}{\rtlch\fcs1 \af0 \ltrch\fcs0 _x000d__x000a_\insrsid5325737\charrsid5585170 #}{\rtlch\fcs1 \af1 \ltrch\fcs0 \cs18\v\f1\fs20\cf15\insrsid5325737\charrsid5585170 MNU[ORLANGONE][ORLANGMORE]@CHOICE@ORLANGMNU}{\rtlch\fcs1 \af0 \ltrch\fcs0 \insrsid5325737\charrsid5585170 #}{\rtlch\fcs1 \af0 \ltrch\fcs0 _x000d__x000a_\cs17\v\fs20\cf9\lang1024\langfe1024\loch\af1\hich\af1\dbch\af31501\noproof\insrsid5325737\charrsid5585170 \hich\af1\dbch\af31501\loch\f1 &lt;/Original&gt;}{\rtlch\fcs1 \af0 \ltrch\fcs0 \insrsid5325737\charrsid5585170 _x000d__x000a_\par }\pard\plain \ltrpar\s22\qc \li0\ri0\sb240\sa240\nowidctlpar\wrapdefault\aspalpha\aspnum\faauto\adjustright\rin0\lin0\itap0\pararsid5325737 \rtlch\fcs1 \af0\afs20\alang1025 \ltrch\fcs0 \i\fs24\lang2057\langfe2057\cgrid\langnp2057\langfenp2057 {_x000d__x000a_\rtlch\fcs1 \af0 \ltrch\fcs0 \cs17\i0\v\fs20\cf9\lang1024\langfe1024\loch\af1\hich\af1\dbch\af31501\noproof\insrsid5325737\charrsid5585170 \hich\af1\dbch\af31501\loch\f1 &lt;OptDel&gt;}{\rtlch\fcs1 \af0 \ltrch\fcs0 \insrsid5325737\charrsid5585170 #}{_x000d__x000a_\rtlch\fcs1 \af1 \ltrch\fcs0 \cs18\v\f1\fs20\cf15\insrsid5325737\charrsid5585170 MNU[CROSSREFNO][CROSSREFYES]@CHOICE@}{\rtlch\fcs1 \af0 \ltrch\fcs0 \insrsid5325737\charrsid5585170 #}{\rtlch\fcs1 \af0 \ltrch\fcs0 _x000d__x000a_\cs17\i0\v\fs20\cf9\lang1024\langfe1024\loch\af1\hich\af1\dbch\af31501\noproof\insrsid5325737\charrsid5585170 \hich\af1\dbch\af31501\loch\f1 &lt;/OptDel&gt;}{\rtlch\fcs1 \af0 \ltrch\fcs0 \insrsid5325737\charrsid5585170 _x000d__x000a_\par }\pard\plain \ltrpar\s23\qc \li0\ri0\sb240\sa240\keepn\nowidctlpar\wrapdefault\aspalpha\aspnum\faauto\adjustright\rin0\lin0\itap0\pararsid5325737 \rtlch\fcs1 \af0\afs20\alang1025 \ltrch\fcs0 \i\fs24\lang2057\langfe2057\cgrid\langnp2057\langfenp2057 {_x000d__x000a_\rtlch\fcs1 \af0 \ltrch\fcs0 \cs17\i0\v\fs20\cf9\lang1024\langfe1024\loch\af1\hich\af1\dbch\af31501\noproof\insrsid5325737\charrsid5585170 \hich\af1\dbch\af31501\loch\f1 &lt;TitreJust&gt;}{\rtlch\fcs1 \af0 \ltrch\fcs0 \insrsid5325737\charrsid5585170 _x000d__x000a_Justification}{\rtlch\fcs1 \af0 \ltrch\fcs0 \cs17\i0\v\fs20\cf9\lang1024\langfe1024\loch\af1\hich\af1\dbch\af31501\noproof\insrsid5325737\charrsid5585170 \hich\af1\dbch\af31501\loch\f1 &lt;/TitreJust&gt;}{\rtlch\fcs1 \af0 \ltrch\fcs0 _x000d__x000a_\insrsid5325737\charrsid5585170 _x000d__x000a_\par }\pard\plain \ltrpar\s21\ql \li0\ri0\sa240\nowidctlpar\wrapdefault\aspalpha\aspnum\faauto\adjustright\rin0\lin0\itap0\pararsid5325737 \rtlch\fcs1 \af0\afs20\alang1025 \ltrch\fcs0 \i\fs24\lang2057\langfe2057\cgrid\langnp2057\langfenp2057 {\rtlch\fcs1 \af0 _x000d__x000a_\ltrch\fcs0 \cs17\i0\v\fs20\cf9\lang1024\langfe1024\loch\af1\hich\af1\dbch\af31501\noproof\insrsid5325737\charrsid5585170 \hich\af1\dbch\af31501\loch\f1 &lt;OptDelPrev&gt;}{\rtlch\fcs1 \af0 \ltrch\fcs0 \insrsid5325737\charrsid5585170 #}{\rtlch\fcs1 \af1 _x000d__x000a_\ltrch\fcs0 \cs18\v\f1\fs20\cf15\insrsid5325737\charrsid5585170 MNU[TEXTJUSTYES][TEXTJUSTNO]@CHOICE@}{\rtlch\fcs1 \af0 \ltrch\fcs0 \insrsid5325737\charrsid5585170 #}{\rtlch\fcs1 \af0 \ltrch\fcs0 _x000d__x000a_\cs17\i0\v\fs20\cf9\lang1024\langfe1024\loch\af1\hich\af1\dbch\af31501\noproof\insrsid5325737\charrsid5585170 \hich\af1\dbch\af31501\loch\f1 &lt;/OptDelPrev&gt;}{\rtlch\fcs1 \af0 \ltrch\fcs0 \insrsid5325737\charrsid5585170 _x000d__x000a_\par }\pard\plain \ltrpar\ql \li0\ri0\widctlpar\wrapdefault\aspalpha\aspnum\faauto\adjustright\rin0\lin0\itap0\pararsid5325737 \rtlch\fcs1 \af0\afs20\alang1025 \ltrch\fcs0 \fs24\lang2057\langfe2057\cgrid\langnp2057\langfenp2057 {\rtlch\fcs1 \af0 \ltrch\fcs0 _x000d__x000a_\cs17\v\fs20\cf9\lang1024\langfe1024\loch\af1\hich\af1\dbch\af31501\noproof\insrsid5325737\charrsid558517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a_x000d__x000a_a6b0687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4"/>
    <w:docVar w:name="TXTLANGUE" w:val="EN"/>
    <w:docVar w:name="TXTLANGUEMIN" w:val="en"/>
    <w:docVar w:name="TXTNRC" w:val="0431/2023"/>
    <w:docVar w:name="TXTNRCOD" w:val="2023/0438"/>
    <w:docVar w:name="TXTNRCOM" w:val="(2023)0754"/>
    <w:docVar w:name="TXTNRFIRSTAM" w:val="1"/>
    <w:docVar w:name="TXTNRLASTAM" w:val="49"/>
    <w:docVar w:name="TXTNRPE" w:val="768.042"/>
    <w:docVar w:name="TXTPEorAP" w:val="PE"/>
    <w:docVar w:name="TXTROUTE" w:val="PR\1314087EN.docx"/>
    <w:docVar w:name="TXTTITLE" w:val="on enhancing police cooperation in relation to the prevention, detection and investigation of migrant smuggling and trafficking in human beings, and on enhancing Europol’s support to preventing and combating such crimes and amending Regulation (EU) 2016/794"/>
    <w:docVar w:name="TXTVERSION" w:val="01-00"/>
  </w:docVars>
  <w:rsids>
    <w:rsidRoot w:val="00553912"/>
    <w:rsid w:val="00006799"/>
    <w:rsid w:val="00011AAB"/>
    <w:rsid w:val="00012351"/>
    <w:rsid w:val="000139E5"/>
    <w:rsid w:val="00030833"/>
    <w:rsid w:val="00084DD2"/>
    <w:rsid w:val="00084E89"/>
    <w:rsid w:val="000B62B6"/>
    <w:rsid w:val="000B7489"/>
    <w:rsid w:val="000F1096"/>
    <w:rsid w:val="000F1F1B"/>
    <w:rsid w:val="00120948"/>
    <w:rsid w:val="00123DD5"/>
    <w:rsid w:val="001277AE"/>
    <w:rsid w:val="00135669"/>
    <w:rsid w:val="00136018"/>
    <w:rsid w:val="00142215"/>
    <w:rsid w:val="001767E2"/>
    <w:rsid w:val="0018078A"/>
    <w:rsid w:val="00187008"/>
    <w:rsid w:val="00190DFA"/>
    <w:rsid w:val="001B3829"/>
    <w:rsid w:val="001B6968"/>
    <w:rsid w:val="001C407A"/>
    <w:rsid w:val="001C5592"/>
    <w:rsid w:val="001C5B44"/>
    <w:rsid w:val="001C6FFC"/>
    <w:rsid w:val="001E6032"/>
    <w:rsid w:val="001F7C7C"/>
    <w:rsid w:val="002072DD"/>
    <w:rsid w:val="00212B84"/>
    <w:rsid w:val="002346B0"/>
    <w:rsid w:val="00254FEA"/>
    <w:rsid w:val="00265B16"/>
    <w:rsid w:val="002667C3"/>
    <w:rsid w:val="002669B6"/>
    <w:rsid w:val="00290BED"/>
    <w:rsid w:val="002C6AD4"/>
    <w:rsid w:val="002D13EE"/>
    <w:rsid w:val="002E33EE"/>
    <w:rsid w:val="002E4496"/>
    <w:rsid w:val="002F40BB"/>
    <w:rsid w:val="002F4B02"/>
    <w:rsid w:val="00305CD9"/>
    <w:rsid w:val="00306D10"/>
    <w:rsid w:val="00320B73"/>
    <w:rsid w:val="00323EF8"/>
    <w:rsid w:val="003316DD"/>
    <w:rsid w:val="0035010A"/>
    <w:rsid w:val="00366819"/>
    <w:rsid w:val="00366A46"/>
    <w:rsid w:val="00370AC3"/>
    <w:rsid w:val="003824EE"/>
    <w:rsid w:val="003B4689"/>
    <w:rsid w:val="003C2068"/>
    <w:rsid w:val="003C37CF"/>
    <w:rsid w:val="003C4EC2"/>
    <w:rsid w:val="004100B1"/>
    <w:rsid w:val="00426E47"/>
    <w:rsid w:val="00440502"/>
    <w:rsid w:val="00455743"/>
    <w:rsid w:val="00461601"/>
    <w:rsid w:val="00483C7E"/>
    <w:rsid w:val="004C0915"/>
    <w:rsid w:val="004D424E"/>
    <w:rsid w:val="004E42C8"/>
    <w:rsid w:val="004E733D"/>
    <w:rsid w:val="004F3FA5"/>
    <w:rsid w:val="0051271F"/>
    <w:rsid w:val="00520CE7"/>
    <w:rsid w:val="00521F46"/>
    <w:rsid w:val="00522F4E"/>
    <w:rsid w:val="00551111"/>
    <w:rsid w:val="00551123"/>
    <w:rsid w:val="00553912"/>
    <w:rsid w:val="00570A6A"/>
    <w:rsid w:val="00586E50"/>
    <w:rsid w:val="0059583D"/>
    <w:rsid w:val="005A42D9"/>
    <w:rsid w:val="005B18F7"/>
    <w:rsid w:val="005C1BF5"/>
    <w:rsid w:val="005C2937"/>
    <w:rsid w:val="005C2BEF"/>
    <w:rsid w:val="005C4959"/>
    <w:rsid w:val="005C59EC"/>
    <w:rsid w:val="005D1A99"/>
    <w:rsid w:val="005D7609"/>
    <w:rsid w:val="005D7EE8"/>
    <w:rsid w:val="005F4583"/>
    <w:rsid w:val="006020DB"/>
    <w:rsid w:val="00622FCA"/>
    <w:rsid w:val="00642325"/>
    <w:rsid w:val="006A2F5D"/>
    <w:rsid w:val="006E6891"/>
    <w:rsid w:val="006F30B1"/>
    <w:rsid w:val="006F7907"/>
    <w:rsid w:val="00703D79"/>
    <w:rsid w:val="00733DB4"/>
    <w:rsid w:val="00742F5F"/>
    <w:rsid w:val="00743189"/>
    <w:rsid w:val="00743D33"/>
    <w:rsid w:val="00756434"/>
    <w:rsid w:val="007932B3"/>
    <w:rsid w:val="00793EA9"/>
    <w:rsid w:val="007B763A"/>
    <w:rsid w:val="007D6F68"/>
    <w:rsid w:val="00823E6B"/>
    <w:rsid w:val="00826780"/>
    <w:rsid w:val="00837CCD"/>
    <w:rsid w:val="00851C5E"/>
    <w:rsid w:val="008633CC"/>
    <w:rsid w:val="00865190"/>
    <w:rsid w:val="008719B9"/>
    <w:rsid w:val="00894ECE"/>
    <w:rsid w:val="00896BB4"/>
    <w:rsid w:val="008A7FB8"/>
    <w:rsid w:val="008B091D"/>
    <w:rsid w:val="009022B8"/>
    <w:rsid w:val="00914537"/>
    <w:rsid w:val="00917CC4"/>
    <w:rsid w:val="009763DA"/>
    <w:rsid w:val="009845B8"/>
    <w:rsid w:val="009975B3"/>
    <w:rsid w:val="009A216D"/>
    <w:rsid w:val="009B30C5"/>
    <w:rsid w:val="009B4B93"/>
    <w:rsid w:val="009C4D0B"/>
    <w:rsid w:val="009E2129"/>
    <w:rsid w:val="009F24BE"/>
    <w:rsid w:val="009F6C2F"/>
    <w:rsid w:val="009F767A"/>
    <w:rsid w:val="00A0169F"/>
    <w:rsid w:val="00A22533"/>
    <w:rsid w:val="00A26F46"/>
    <w:rsid w:val="00A34FD3"/>
    <w:rsid w:val="00A36929"/>
    <w:rsid w:val="00A425C8"/>
    <w:rsid w:val="00A50548"/>
    <w:rsid w:val="00A60EE7"/>
    <w:rsid w:val="00A81BA5"/>
    <w:rsid w:val="00A910C9"/>
    <w:rsid w:val="00A9358C"/>
    <w:rsid w:val="00AA35B0"/>
    <w:rsid w:val="00AD18C8"/>
    <w:rsid w:val="00AD7FA6"/>
    <w:rsid w:val="00AE1055"/>
    <w:rsid w:val="00AE169E"/>
    <w:rsid w:val="00AE4643"/>
    <w:rsid w:val="00AF0416"/>
    <w:rsid w:val="00B10CB4"/>
    <w:rsid w:val="00B123AB"/>
    <w:rsid w:val="00B13D6F"/>
    <w:rsid w:val="00B23B72"/>
    <w:rsid w:val="00B42702"/>
    <w:rsid w:val="00B57B8B"/>
    <w:rsid w:val="00B85407"/>
    <w:rsid w:val="00B95702"/>
    <w:rsid w:val="00BC6489"/>
    <w:rsid w:val="00BD480C"/>
    <w:rsid w:val="00BE36FC"/>
    <w:rsid w:val="00C070E8"/>
    <w:rsid w:val="00C20954"/>
    <w:rsid w:val="00C23324"/>
    <w:rsid w:val="00C24129"/>
    <w:rsid w:val="00C42A41"/>
    <w:rsid w:val="00C47E74"/>
    <w:rsid w:val="00C57A72"/>
    <w:rsid w:val="00C73602"/>
    <w:rsid w:val="00CE4C07"/>
    <w:rsid w:val="00CF60C8"/>
    <w:rsid w:val="00D11284"/>
    <w:rsid w:val="00D143D2"/>
    <w:rsid w:val="00D30DE2"/>
    <w:rsid w:val="00D32924"/>
    <w:rsid w:val="00D503A3"/>
    <w:rsid w:val="00D519D6"/>
    <w:rsid w:val="00D539D9"/>
    <w:rsid w:val="00DA3A2C"/>
    <w:rsid w:val="00DA6ED0"/>
    <w:rsid w:val="00DC5011"/>
    <w:rsid w:val="00DE6ABE"/>
    <w:rsid w:val="00E151BD"/>
    <w:rsid w:val="00E171B6"/>
    <w:rsid w:val="00E2143E"/>
    <w:rsid w:val="00E72695"/>
    <w:rsid w:val="00E92785"/>
    <w:rsid w:val="00EB1753"/>
    <w:rsid w:val="00EB6CFF"/>
    <w:rsid w:val="00EE36FC"/>
    <w:rsid w:val="00EE3996"/>
    <w:rsid w:val="00F07062"/>
    <w:rsid w:val="00F23CFC"/>
    <w:rsid w:val="00F3635D"/>
    <w:rsid w:val="00F433E2"/>
    <w:rsid w:val="00F63025"/>
    <w:rsid w:val="00F904AE"/>
    <w:rsid w:val="00F934F8"/>
    <w:rsid w:val="00F94366"/>
    <w:rsid w:val="00FB3173"/>
    <w:rsid w:val="00FB52FE"/>
    <w:rsid w:val="00FC0A34"/>
    <w:rsid w:val="00FC7C21"/>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FC021"/>
  <w15:chartTrackingRefBased/>
  <w15:docId w15:val="{11B1809C-E1B2-431F-A94A-973D8CB36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742F5F"/>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9845B8"/>
    <w:pPr>
      <w:tabs>
        <w:tab w:val="right" w:pos="454"/>
        <w:tab w:val="left" w:pos="737"/>
      </w:tabs>
      <w:ind w:left="737" w:hanging="737"/>
    </w:pPr>
    <w:rPr>
      <w:snapToGrid w:val="0"/>
      <w:sz w:val="18"/>
      <w:lang w:eastAsia="en-US"/>
    </w:rPr>
  </w:style>
  <w:style w:type="paragraph" w:customStyle="1" w:styleId="Lgendetitre">
    <w:name w:val="Légende titre"/>
    <w:basedOn w:val="Normal"/>
    <w:rsid w:val="009845B8"/>
    <w:pPr>
      <w:spacing w:before="240" w:after="240"/>
    </w:pPr>
    <w:rPr>
      <w:b/>
      <w:i/>
      <w:snapToGrid w:val="0"/>
      <w:lang w:eastAsia="en-US"/>
    </w:rPr>
  </w:style>
  <w:style w:type="paragraph" w:customStyle="1" w:styleId="Lgendestandard">
    <w:name w:val="Légende standard"/>
    <w:basedOn w:val="Normal"/>
    <w:rsid w:val="009845B8"/>
    <w:rPr>
      <w:sz w:val="18"/>
    </w:rPr>
  </w:style>
  <w:style w:type="paragraph" w:styleId="FootnoteText">
    <w:name w:val="footnote text"/>
    <w:basedOn w:val="Normal"/>
    <w:link w:val="FootnoteTextChar"/>
    <w:uiPriority w:val="99"/>
    <w:rsid w:val="009845B8"/>
    <w:rPr>
      <w:sz w:val="20"/>
    </w:rPr>
  </w:style>
  <w:style w:type="character" w:customStyle="1" w:styleId="FootnoteTextChar">
    <w:name w:val="Footnote Text Char"/>
    <w:basedOn w:val="DefaultParagraphFont"/>
    <w:link w:val="FootnoteText"/>
    <w:uiPriority w:val="99"/>
    <w:rsid w:val="009845B8"/>
  </w:style>
  <w:style w:type="character" w:styleId="FootnoteReference">
    <w:name w:val="footnote reference"/>
    <w:basedOn w:val="DefaultParagraphFont"/>
    <w:uiPriority w:val="99"/>
    <w:rsid w:val="009845B8"/>
    <w:rPr>
      <w:vertAlign w:val="superscript"/>
    </w:rPr>
  </w:style>
  <w:style w:type="paragraph" w:styleId="BalloonText">
    <w:name w:val="Balloon Text"/>
    <w:basedOn w:val="Normal"/>
    <w:link w:val="BalloonTextChar"/>
    <w:semiHidden/>
    <w:unhideWhenUsed/>
    <w:rsid w:val="00520CE7"/>
    <w:rPr>
      <w:rFonts w:ascii="Segoe UI" w:hAnsi="Segoe UI" w:cs="Segoe UI"/>
      <w:sz w:val="18"/>
      <w:szCs w:val="18"/>
    </w:rPr>
  </w:style>
  <w:style w:type="character" w:customStyle="1" w:styleId="BalloonTextChar">
    <w:name w:val="Balloon Text Char"/>
    <w:basedOn w:val="DefaultParagraphFont"/>
    <w:link w:val="BalloonText"/>
    <w:semiHidden/>
    <w:rsid w:val="00520CE7"/>
    <w:rPr>
      <w:rFonts w:ascii="Segoe UI" w:hAnsi="Segoe UI" w:cs="Segoe UI"/>
      <w:sz w:val="18"/>
      <w:szCs w:val="18"/>
    </w:rPr>
  </w:style>
  <w:style w:type="paragraph" w:customStyle="1" w:styleId="Normal24a">
    <w:name w:val="Normal24a"/>
    <w:basedOn w:val="Normal"/>
    <w:rsid w:val="00D11284"/>
    <w:pPr>
      <w:spacing w:after="480"/>
    </w:pPr>
  </w:style>
  <w:style w:type="paragraph" w:customStyle="1" w:styleId="NormalBoldCenter">
    <w:name w:val="NormalBoldCenter"/>
    <w:basedOn w:val="Normal"/>
    <w:rsid w:val="00D11284"/>
    <w:pPr>
      <w:jc w:val="center"/>
    </w:pPr>
    <w:rPr>
      <w:b/>
    </w:rPr>
  </w:style>
  <w:style w:type="paragraph" w:customStyle="1" w:styleId="Footprint12b">
    <w:name w:val="Footprint12b"/>
    <w:basedOn w:val="Normal"/>
    <w:rsid w:val="00D11284"/>
    <w:pPr>
      <w:spacing w:before="240"/>
    </w:pPr>
    <w:rPr>
      <w:szCs w:val="24"/>
    </w:rPr>
  </w:style>
  <w:style w:type="paragraph" w:customStyle="1" w:styleId="NormalSingle">
    <w:name w:val="NormalSingle"/>
    <w:basedOn w:val="Normal"/>
    <w:qFormat/>
    <w:rsid w:val="00D11284"/>
    <w:rPr>
      <w:szCs w:val="24"/>
    </w:rPr>
  </w:style>
  <w:style w:type="character" w:styleId="Hyperlink">
    <w:name w:val="Hyperlink"/>
    <w:basedOn w:val="DefaultParagraphFont"/>
    <w:uiPriority w:val="99"/>
    <w:rsid w:val="00D11284"/>
    <w:rPr>
      <w:color w:val="0563C1" w:themeColor="hyperlink"/>
      <w:u w:val="single"/>
    </w:rPr>
  </w:style>
  <w:style w:type="paragraph" w:customStyle="1" w:styleId="EntPE">
    <w:name w:val="EntPE"/>
    <w:basedOn w:val="Normal12"/>
    <w:rsid w:val="00742F5F"/>
    <w:pPr>
      <w:jc w:val="center"/>
    </w:pPr>
    <w:rPr>
      <w:noProof w:val="0"/>
      <w:sz w:val="56"/>
    </w:rPr>
  </w:style>
  <w:style w:type="paragraph" w:customStyle="1" w:styleId="Normal12">
    <w:name w:val="Normal12"/>
    <w:basedOn w:val="Normal"/>
    <w:link w:val="Normal12Char"/>
    <w:rsid w:val="00742F5F"/>
    <w:pPr>
      <w:spacing w:after="240"/>
    </w:pPr>
    <w:rPr>
      <w:noProof/>
    </w:rPr>
  </w:style>
  <w:style w:type="character" w:customStyle="1" w:styleId="Normal12Char">
    <w:name w:val="Normal12 Char"/>
    <w:basedOn w:val="DefaultParagraphFont"/>
    <w:link w:val="Normal12"/>
    <w:locked/>
    <w:rsid w:val="00742F5F"/>
    <w:rPr>
      <w:noProof/>
      <w:sz w:val="24"/>
    </w:rPr>
  </w:style>
  <w:style w:type="paragraph" w:customStyle="1" w:styleId="Normal6">
    <w:name w:val="Normal6"/>
    <w:basedOn w:val="Normal"/>
    <w:link w:val="Normal6Char"/>
    <w:rsid w:val="00742F5F"/>
    <w:pPr>
      <w:spacing w:after="120"/>
    </w:pPr>
  </w:style>
  <w:style w:type="character" w:customStyle="1" w:styleId="Normal6Char">
    <w:name w:val="Normal6 Char"/>
    <w:basedOn w:val="DefaultParagraphFont"/>
    <w:link w:val="Normal6"/>
    <w:rsid w:val="00742F5F"/>
    <w:rPr>
      <w:sz w:val="24"/>
      <w:lang w:val="pl-PL"/>
    </w:rPr>
  </w:style>
  <w:style w:type="paragraph" w:customStyle="1" w:styleId="Normal12Italic">
    <w:name w:val="Normal12Italic"/>
    <w:basedOn w:val="Normal12"/>
    <w:rsid w:val="00742F5F"/>
    <w:rPr>
      <w:i/>
    </w:rPr>
  </w:style>
  <w:style w:type="character" w:customStyle="1" w:styleId="FooterChar">
    <w:name w:val="Footer Char"/>
    <w:basedOn w:val="DefaultParagraphFont"/>
    <w:link w:val="Footer"/>
    <w:rsid w:val="00742F5F"/>
    <w:rPr>
      <w:sz w:val="22"/>
    </w:rPr>
  </w:style>
  <w:style w:type="paragraph" w:styleId="Footer">
    <w:name w:val="footer"/>
    <w:link w:val="FooterChar"/>
    <w:rsid w:val="00742F5F"/>
    <w:pPr>
      <w:tabs>
        <w:tab w:val="center" w:pos="4536"/>
        <w:tab w:val="right" w:pos="9072"/>
      </w:tabs>
      <w:spacing w:before="240" w:after="240" w:line="221" w:lineRule="auto"/>
    </w:pPr>
    <w:rPr>
      <w:sz w:val="22"/>
    </w:rPr>
  </w:style>
  <w:style w:type="paragraph" w:customStyle="1" w:styleId="Footer2">
    <w:name w:val="Footer2"/>
    <w:basedOn w:val="Normal12"/>
    <w:rsid w:val="00742F5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742F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42F5F"/>
    <w:pPr>
      <w:spacing w:after="240"/>
      <w:jc w:val="center"/>
    </w:pPr>
    <w:rPr>
      <w:i/>
    </w:rPr>
  </w:style>
  <w:style w:type="paragraph" w:customStyle="1" w:styleId="Olang">
    <w:name w:val="Olang"/>
    <w:basedOn w:val="Normal"/>
    <w:rsid w:val="00742F5F"/>
    <w:pPr>
      <w:spacing w:before="240" w:after="240"/>
      <w:jc w:val="right"/>
    </w:pPr>
    <w:rPr>
      <w:noProof/>
      <w:szCs w:val="24"/>
    </w:rPr>
  </w:style>
  <w:style w:type="paragraph" w:customStyle="1" w:styleId="JustificationTitle">
    <w:name w:val="JustificationTitle"/>
    <w:basedOn w:val="Normal"/>
    <w:next w:val="Normal12"/>
    <w:rsid w:val="00742F5F"/>
    <w:pPr>
      <w:keepNext/>
      <w:spacing w:before="240" w:after="240"/>
      <w:jc w:val="center"/>
    </w:pPr>
    <w:rPr>
      <w:i/>
      <w:noProof/>
    </w:rPr>
  </w:style>
  <w:style w:type="character" w:styleId="FollowedHyperlink">
    <w:name w:val="FollowedHyperlink"/>
    <w:basedOn w:val="DefaultParagraphFont"/>
    <w:uiPriority w:val="99"/>
    <w:unhideWhenUsed/>
    <w:rsid w:val="0018078A"/>
    <w:rPr>
      <w:color w:val="954F72" w:themeColor="followedHyperlink"/>
      <w:u w:val="single"/>
    </w:rPr>
  </w:style>
  <w:style w:type="paragraph" w:customStyle="1" w:styleId="msonormal0">
    <w:name w:val="msonormal"/>
    <w:basedOn w:val="Normal"/>
    <w:rsid w:val="0018078A"/>
    <w:pPr>
      <w:widowControl/>
      <w:spacing w:before="100" w:beforeAutospacing="1" w:after="100" w:afterAutospacing="1"/>
    </w:pPr>
    <w:rPr>
      <w:szCs w:val="24"/>
    </w:rPr>
  </w:style>
  <w:style w:type="paragraph" w:customStyle="1" w:styleId="CommitteeAM">
    <w:name w:val="CommitteeAM"/>
    <w:basedOn w:val="Normal"/>
    <w:rsid w:val="0018078A"/>
    <w:pPr>
      <w:spacing w:before="240" w:after="600"/>
      <w:jc w:val="center"/>
    </w:pPr>
    <w:rPr>
      <w:i/>
    </w:rPr>
  </w:style>
  <w:style w:type="paragraph" w:customStyle="1" w:styleId="ZDateAM">
    <w:name w:val="ZDateAM"/>
    <w:basedOn w:val="Normal"/>
    <w:rsid w:val="0018078A"/>
    <w:pPr>
      <w:tabs>
        <w:tab w:val="right" w:pos="9356"/>
      </w:tabs>
      <w:spacing w:after="480"/>
    </w:pPr>
    <w:rPr>
      <w:noProof/>
    </w:rPr>
  </w:style>
  <w:style w:type="paragraph" w:customStyle="1" w:styleId="ProjRap">
    <w:name w:val="ProjRap"/>
    <w:basedOn w:val="Normal"/>
    <w:rsid w:val="0018078A"/>
    <w:pPr>
      <w:tabs>
        <w:tab w:val="right" w:pos="9356"/>
      </w:tabs>
    </w:pPr>
    <w:rPr>
      <w:b/>
      <w:noProof/>
    </w:rPr>
  </w:style>
  <w:style w:type="paragraph" w:customStyle="1" w:styleId="PELeft">
    <w:name w:val="PELeft"/>
    <w:basedOn w:val="Normal"/>
    <w:rsid w:val="0018078A"/>
    <w:pPr>
      <w:spacing w:before="40" w:after="40"/>
    </w:pPr>
    <w:rPr>
      <w:rFonts w:ascii="Arial" w:hAnsi="Arial" w:cs="Arial"/>
      <w:sz w:val="22"/>
      <w:szCs w:val="22"/>
    </w:rPr>
  </w:style>
  <w:style w:type="paragraph" w:customStyle="1" w:styleId="PERight">
    <w:name w:val="PERight"/>
    <w:basedOn w:val="Normal"/>
    <w:next w:val="Normal"/>
    <w:rsid w:val="0018078A"/>
    <w:pPr>
      <w:jc w:val="right"/>
    </w:pPr>
    <w:rPr>
      <w:rFonts w:ascii="Arial" w:hAnsi="Arial" w:cs="Arial"/>
      <w:sz w:val="22"/>
      <w:szCs w:val="22"/>
    </w:rPr>
  </w:style>
  <w:style w:type="paragraph" w:customStyle="1" w:styleId="CrossRef">
    <w:name w:val="CrossRef"/>
    <w:basedOn w:val="Normal"/>
    <w:rsid w:val="0018078A"/>
    <w:pPr>
      <w:spacing w:before="240"/>
      <w:jc w:val="center"/>
    </w:pPr>
    <w:rPr>
      <w:i/>
    </w:rPr>
  </w:style>
  <w:style w:type="character" w:customStyle="1" w:styleId="Footer2Middle">
    <w:name w:val="Footer2Middle"/>
    <w:rsid w:val="0018078A"/>
    <w:rPr>
      <w:rFonts w:ascii="Arial" w:hAnsi="Arial" w:cs="Arial" w:hint="default"/>
      <w:b w:val="0"/>
      <w:bCs w:val="0"/>
      <w:i/>
      <w:iCs w:val="0"/>
      <w:color w:val="C0C0C0"/>
      <w:sz w:val="22"/>
    </w:rPr>
  </w:style>
  <w:style w:type="paragraph" w:styleId="NoSpacing">
    <w:name w:val="No Spacing"/>
    <w:uiPriority w:val="1"/>
    <w:qFormat/>
    <w:rsid w:val="005C2937"/>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5C2937"/>
    <w:pPr>
      <w:widowControl/>
      <w:ind w:left="720"/>
      <w:contextualSpacing/>
      <w:jc w:val="both"/>
    </w:pPr>
    <w:rPr>
      <w:rFonts w:eastAsiaTheme="minorHAnsi"/>
      <w:szCs w:val="24"/>
      <w:lang w:eastAsia="en-US"/>
    </w:rPr>
  </w:style>
  <w:style w:type="character" w:styleId="CommentReference">
    <w:name w:val="annotation reference"/>
    <w:basedOn w:val="DefaultParagraphFont"/>
    <w:rsid w:val="00756434"/>
    <w:rPr>
      <w:sz w:val="16"/>
      <w:szCs w:val="16"/>
    </w:rPr>
  </w:style>
  <w:style w:type="paragraph" w:styleId="CommentText">
    <w:name w:val="annotation text"/>
    <w:basedOn w:val="Normal"/>
    <w:link w:val="CommentTextChar"/>
    <w:rsid w:val="00756434"/>
    <w:rPr>
      <w:sz w:val="20"/>
    </w:rPr>
  </w:style>
  <w:style w:type="character" w:customStyle="1" w:styleId="CommentTextChar">
    <w:name w:val="Comment Text Char"/>
    <w:basedOn w:val="DefaultParagraphFont"/>
    <w:link w:val="CommentText"/>
    <w:rsid w:val="00756434"/>
  </w:style>
  <w:style w:type="paragraph" w:styleId="CommentSubject">
    <w:name w:val="annotation subject"/>
    <w:basedOn w:val="CommentText"/>
    <w:next w:val="CommentText"/>
    <w:link w:val="CommentSubjectChar"/>
    <w:semiHidden/>
    <w:unhideWhenUsed/>
    <w:rsid w:val="00756434"/>
    <w:rPr>
      <w:b/>
      <w:bCs/>
    </w:rPr>
  </w:style>
  <w:style w:type="character" w:customStyle="1" w:styleId="CommentSubjectChar">
    <w:name w:val="Comment Subject Char"/>
    <w:basedOn w:val="CommentTextChar"/>
    <w:link w:val="CommentSubject"/>
    <w:semiHidden/>
    <w:rsid w:val="00756434"/>
    <w:rPr>
      <w:b/>
      <w:bCs/>
    </w:rPr>
  </w:style>
  <w:style w:type="character" w:styleId="Emphasis">
    <w:name w:val="Emphasis"/>
    <w:basedOn w:val="DefaultParagraphFont"/>
    <w:uiPriority w:val="20"/>
    <w:qFormat/>
    <w:rsid w:val="005C59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6F06C-202F-415C-8CDC-EFDC76386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49</Pages>
  <Words>10668</Words>
  <Characters>73722</Characters>
  <Application>Microsoft Office Word</Application>
  <DocSecurity>0</DocSecurity>
  <Lines>2730</Lines>
  <Paragraphs>811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WOJCIECHOWSKA Joanna</cp:lastModifiedBy>
  <cp:revision>2</cp:revision>
  <cp:lastPrinted>2025-02-06T09:31:00Z</cp:lastPrinted>
  <dcterms:created xsi:type="dcterms:W3CDTF">2025-02-25T11:56:00Z</dcterms:created>
  <dcterms:modified xsi:type="dcterms:W3CDTF">2025-02-25T11:56:00Z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1314087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10.0.0 Build [20241202]</vt:lpwstr>
  </property>
  <property fmtid="{D5CDD505-2E9C-101B-9397-08002B2CF9AE}" pid="9" name="FooterPath">
    <vt:lpwstr>PR\1314087PL.docx</vt:lpwstr>
  </property>
  <property fmtid="{D5CDD505-2E9C-101B-9397-08002B2CF9AE}" pid="10" name="LastEdited with">
    <vt:lpwstr>10.0.0 Build [20241202]</vt:lpwstr>
  </property>
  <property fmtid="{D5CDD505-2E9C-101B-9397-08002B2CF9AE}" pid="11" name="PE number">
    <vt:lpwstr>768.042</vt:lpwstr>
  </property>
  <property fmtid="{D5CDD505-2E9C-101B-9397-08002B2CF9AE}" pid="12" name="SDLStudio">
    <vt:lpwstr/>
  </property>
  <property fmtid="{D5CDD505-2E9C-101B-9397-08002B2CF9AE}" pid="13" name="SendToEpades">
    <vt:lpwstr>OK(AMNUM) - 2025/02/13 12:33</vt:lpwstr>
  </property>
  <property fmtid="{D5CDD505-2E9C-101B-9397-08002B2CF9AE}" pid="14" name="Bookout">
    <vt:lpwstr>OK - 2025/02/25 12:56</vt:lpwstr>
  </property>
</Properties>
</file>