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2F8A" w:rsidRPr="00CF18FC" w:rsidTr="005C4959">
        <w:trPr>
          <w:trHeight w:hRule="exact" w:val="1418"/>
        </w:trPr>
        <w:tc>
          <w:tcPr>
            <w:tcW w:w="6804" w:type="dxa"/>
            <w:shd w:val="clear" w:color="auto" w:fill="auto"/>
            <w:vAlign w:val="center"/>
          </w:tcPr>
          <w:p w:rsidR="00B13D6F" w:rsidRPr="00CF18FC" w:rsidRDefault="00CF18FC" w:rsidP="005C4959">
            <w:pPr>
              <w:pStyle w:val="EPName"/>
            </w:pPr>
            <w:r w:rsidRPr="00CF18FC">
              <w:t>Europaparlamentet</w:t>
            </w:r>
          </w:p>
          <w:p w:rsidR="00B13D6F" w:rsidRPr="00CF18FC" w:rsidRDefault="00CF18FC" w:rsidP="009845B8">
            <w:pPr>
              <w:pStyle w:val="EPTerm"/>
            </w:pPr>
            <w:r w:rsidRPr="00CF18FC">
              <w:t>2024-2029</w:t>
            </w:r>
          </w:p>
        </w:tc>
        <w:tc>
          <w:tcPr>
            <w:tcW w:w="2268" w:type="dxa"/>
            <w:shd w:val="clear" w:color="auto" w:fill="auto"/>
          </w:tcPr>
          <w:p w:rsidR="00B13D6F" w:rsidRPr="00CF18FC" w:rsidRDefault="00CF18FC" w:rsidP="005C4959">
            <w:pPr>
              <w:pStyle w:val="EPLogo"/>
            </w:pPr>
            <w:r w:rsidRPr="00CF18F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CF18FC" w:rsidRDefault="00461601" w:rsidP="00461601">
      <w:pPr>
        <w:pStyle w:val="LineTop"/>
      </w:pPr>
    </w:p>
    <w:p w:rsidR="00461601" w:rsidRPr="00CF18FC" w:rsidRDefault="00CF18FC" w:rsidP="00461601">
      <w:pPr>
        <w:pStyle w:val="EPBody"/>
      </w:pPr>
      <w:r w:rsidRPr="00CF18FC">
        <w:rPr>
          <w:rStyle w:val="HideTWBExt"/>
          <w:color w:val="auto"/>
        </w:rPr>
        <w:t>&lt;</w:t>
      </w:r>
      <w:r w:rsidRPr="00CF18FC">
        <w:rPr>
          <w:rStyle w:val="HideTWBExt"/>
          <w:i w:val="0"/>
          <w:color w:val="auto"/>
        </w:rPr>
        <w:t>Commission</w:t>
      </w:r>
      <w:r w:rsidRPr="00CF18FC">
        <w:rPr>
          <w:rStyle w:val="HideTWBExt"/>
          <w:color w:val="auto"/>
        </w:rPr>
        <w:t>&gt;</w:t>
      </w:r>
      <w:r w:rsidRPr="00CF18FC">
        <w:rPr>
          <w:rStyle w:val="HideTWBInt"/>
          <w:color w:val="auto"/>
        </w:rPr>
        <w:t>{LIBE}</w:t>
      </w:r>
      <w:r w:rsidRPr="00CF18FC">
        <w:t>Utskottet för medborgerliga fri- och rättigheter samt rättsliga och inrikes frågor</w:t>
      </w:r>
      <w:r w:rsidRPr="00CF18FC">
        <w:rPr>
          <w:rStyle w:val="HideTWBExt"/>
          <w:color w:val="auto"/>
        </w:rPr>
        <w:t>&lt;/</w:t>
      </w:r>
      <w:r w:rsidRPr="00CF18FC">
        <w:rPr>
          <w:rStyle w:val="HideTWBExt"/>
          <w:i w:val="0"/>
          <w:color w:val="auto"/>
        </w:rPr>
        <w:t>Commission</w:t>
      </w:r>
      <w:r w:rsidRPr="00CF18FC">
        <w:rPr>
          <w:rStyle w:val="HideTWBExt"/>
          <w:color w:val="auto"/>
        </w:rPr>
        <w:t>&gt;</w:t>
      </w:r>
    </w:p>
    <w:p w:rsidR="00461601" w:rsidRPr="00CF18FC" w:rsidRDefault="00461601" w:rsidP="00461601">
      <w:pPr>
        <w:pStyle w:val="LineBottom"/>
      </w:pPr>
    </w:p>
    <w:p w:rsidR="00793EA9" w:rsidRPr="00CF18FC" w:rsidRDefault="00CF18FC">
      <w:pPr>
        <w:pStyle w:val="CoverReference"/>
      </w:pPr>
      <w:r w:rsidRPr="00CF18FC">
        <w:rPr>
          <w:rStyle w:val="HideTWBExt"/>
          <w:b w:val="0"/>
          <w:color w:val="auto"/>
        </w:rPr>
        <w:t>&lt;RefProc&gt;</w:t>
      </w:r>
      <w:r w:rsidRPr="00CF18FC">
        <w:t>2023/0438</w:t>
      </w:r>
      <w:r w:rsidRPr="00CF18FC">
        <w:rPr>
          <w:rStyle w:val="HideTWBExt"/>
          <w:b w:val="0"/>
          <w:color w:val="auto"/>
        </w:rPr>
        <w:t>&lt;/RefProc&gt;&lt;RefTypeProc&gt;</w:t>
      </w:r>
      <w:r w:rsidRPr="00CF18FC">
        <w:t>(COD)</w:t>
      </w:r>
      <w:r w:rsidRPr="00CF18FC">
        <w:rPr>
          <w:rStyle w:val="HideTWBExt"/>
          <w:b w:val="0"/>
          <w:color w:val="auto"/>
        </w:rPr>
        <w:t>&lt;/RefTypeProc&gt;</w:t>
      </w:r>
    </w:p>
    <w:p w:rsidR="00793EA9" w:rsidRPr="00CF18FC" w:rsidRDefault="00CF18FC">
      <w:pPr>
        <w:pStyle w:val="CoverDate"/>
      </w:pPr>
      <w:r w:rsidRPr="00CF18FC">
        <w:rPr>
          <w:rStyle w:val="HideTWBExt"/>
          <w:color w:val="auto"/>
        </w:rPr>
        <w:t>&lt;Date&gt;</w:t>
      </w:r>
      <w:r w:rsidRPr="00CF18FC">
        <w:rPr>
          <w:rStyle w:val="HideTWBInt"/>
          <w:color w:val="auto"/>
        </w:rPr>
        <w:t>{13/02/2025}</w:t>
      </w:r>
      <w:r w:rsidRPr="00CF18FC">
        <w:t>13.2.2025</w:t>
      </w:r>
      <w:r w:rsidRPr="00CF18FC">
        <w:rPr>
          <w:rStyle w:val="HideTWBExt"/>
          <w:color w:val="auto"/>
        </w:rPr>
        <w:t>&lt;/Date&gt;</w:t>
      </w:r>
    </w:p>
    <w:p w:rsidR="00793EA9" w:rsidRPr="00CF18FC" w:rsidRDefault="00CF18FC">
      <w:pPr>
        <w:pStyle w:val="CoverDocType"/>
      </w:pPr>
      <w:r w:rsidRPr="00CF18FC">
        <w:rPr>
          <w:rStyle w:val="HideTWBExt"/>
          <w:b w:val="0"/>
          <w:color w:val="auto"/>
        </w:rPr>
        <w:t>&lt;RefProcLect&gt;</w:t>
      </w:r>
      <w:r w:rsidRPr="00CF18FC">
        <w:t>***I</w:t>
      </w:r>
      <w:r w:rsidRPr="00CF18FC">
        <w:rPr>
          <w:rStyle w:val="HideTWBExt"/>
          <w:b w:val="0"/>
          <w:color w:val="auto"/>
        </w:rPr>
        <w:t>&lt;/RefProcLect&gt;</w:t>
      </w:r>
    </w:p>
    <w:p w:rsidR="00793EA9" w:rsidRPr="00CF18FC" w:rsidRDefault="00CF18FC">
      <w:pPr>
        <w:pStyle w:val="CoverDocType24a"/>
      </w:pPr>
      <w:r w:rsidRPr="00CF18FC">
        <w:rPr>
          <w:rStyle w:val="HideTWBExt"/>
          <w:b w:val="0"/>
          <w:color w:val="auto"/>
        </w:rPr>
        <w:t>&lt;TitreType&gt;</w:t>
      </w:r>
      <w:r w:rsidRPr="00CF18FC">
        <w:t>BETÄNKANDE</w:t>
      </w:r>
      <w:bookmarkStart w:id="0" w:name="_GoBack"/>
      <w:bookmarkEnd w:id="0"/>
      <w:r w:rsidRPr="00CF18FC">
        <w:rPr>
          <w:rStyle w:val="HideTWBExt"/>
          <w:b w:val="0"/>
          <w:color w:val="auto"/>
        </w:rPr>
        <w:t>&lt;/TitreType&gt;</w:t>
      </w:r>
    </w:p>
    <w:p w:rsidR="00793EA9" w:rsidRPr="00CF18FC" w:rsidRDefault="00CF18FC">
      <w:pPr>
        <w:pStyle w:val="CoverNormal"/>
      </w:pPr>
      <w:r w:rsidRPr="00CF18FC">
        <w:rPr>
          <w:rStyle w:val="HideTWBExt"/>
          <w:color w:val="auto"/>
        </w:rPr>
        <w:t>&lt;Titre&gt;</w:t>
      </w:r>
      <w:r w:rsidRPr="00CF18FC">
        <w:t>om förslaget till Europaparlamentets och rådets förordning om förstärkning av polissamarbetet för att förebygga, upptäcka och utreda migrantsmuggling och människohandel och om förstärkning av Europols stöd till förebyggande och bekämpande av sådana brott samt om ändring av förordning (EU) 2016/794</w:t>
      </w:r>
      <w:r w:rsidRPr="00CF18FC">
        <w:rPr>
          <w:rStyle w:val="HideTWBExt"/>
          <w:color w:val="auto"/>
        </w:rPr>
        <w:t>&lt;/Titre&gt;</w:t>
      </w:r>
    </w:p>
    <w:p w:rsidR="00793EA9" w:rsidRPr="00CF18FC" w:rsidRDefault="00CF18FC">
      <w:pPr>
        <w:pStyle w:val="CoverNormal24a"/>
      </w:pPr>
      <w:r w:rsidRPr="00CF18FC">
        <w:rPr>
          <w:rStyle w:val="HideTWBExt"/>
          <w:color w:val="auto"/>
        </w:rPr>
        <w:t>&lt;DocRef&gt;</w:t>
      </w:r>
      <w:r w:rsidRPr="00CF18FC">
        <w:t>(COM(2023)0754 – C9</w:t>
      </w:r>
      <w:r w:rsidRPr="00CF18FC">
        <w:noBreakHyphen/>
        <w:t>0431/2023 – 2023/0438(COD))</w:t>
      </w:r>
      <w:r w:rsidRPr="00CF18FC">
        <w:rPr>
          <w:rStyle w:val="HideTWBExt"/>
          <w:color w:val="auto"/>
        </w:rPr>
        <w:t>&lt;/DocRef&gt;</w:t>
      </w:r>
    </w:p>
    <w:p w:rsidR="00793EA9" w:rsidRPr="00CF18FC" w:rsidRDefault="00CF18FC">
      <w:pPr>
        <w:pStyle w:val="CoverNormal24a"/>
      </w:pPr>
      <w:r w:rsidRPr="00CF18FC">
        <w:rPr>
          <w:rStyle w:val="HideTWBExt"/>
          <w:color w:val="auto"/>
        </w:rPr>
        <w:t>&lt;Commission&gt;</w:t>
      </w:r>
      <w:r w:rsidRPr="00CF18FC">
        <w:rPr>
          <w:rStyle w:val="HideTWBInt"/>
          <w:color w:val="auto"/>
        </w:rPr>
        <w:t>{LIBE}</w:t>
      </w:r>
      <w:r w:rsidRPr="00CF18FC">
        <w:t>Utskottet för medborgerliga fri- och rättigheter samt rättsliga och inrikes frågor</w:t>
      </w:r>
      <w:r w:rsidRPr="00CF18FC">
        <w:rPr>
          <w:rStyle w:val="HideTWBExt"/>
          <w:color w:val="auto"/>
        </w:rPr>
        <w:t>&lt;/Commission&gt;</w:t>
      </w:r>
    </w:p>
    <w:p w:rsidR="00793EA9" w:rsidRPr="00CF18FC" w:rsidRDefault="00CF18FC">
      <w:pPr>
        <w:pStyle w:val="CoverNormal24a"/>
      </w:pPr>
      <w:r w:rsidRPr="00CF18FC">
        <w:t xml:space="preserve">Föredragande: </w:t>
      </w:r>
      <w:r w:rsidRPr="00CF18FC">
        <w:rPr>
          <w:rStyle w:val="HideTWBExt"/>
          <w:color w:val="auto"/>
        </w:rPr>
        <w:t>&lt;Depute&gt;</w:t>
      </w:r>
      <w:r w:rsidRPr="00CF18FC">
        <w:t>Jeroen Lenaers</w:t>
      </w:r>
      <w:r w:rsidRPr="00CF18FC">
        <w:rPr>
          <w:rStyle w:val="HideTWBExt"/>
          <w:color w:val="auto"/>
        </w:rPr>
        <w:t>&lt;/Depute&gt;</w:t>
      </w:r>
    </w:p>
    <w:p w:rsidR="001C5B44" w:rsidRPr="00CF18FC" w:rsidRDefault="001C5B44" w:rsidP="001C5B44">
      <w:pPr>
        <w:pStyle w:val="CoverNormal"/>
      </w:pPr>
    </w:p>
    <w:p w:rsidR="009845B8" w:rsidRPr="00CF18FC" w:rsidRDefault="00CF18FC" w:rsidP="005C4959">
      <w:r w:rsidRPr="00CF18FC">
        <w:br w:type="page"/>
      </w:r>
      <w:fldSimple w:instr=" TITLE  \* MERGEFORMAT ">
        <w:r w:rsidR="003007C0">
          <w:t>PR_COD_1amCom</w:t>
        </w:r>
      </w:fldSimple>
    </w:p>
    <w:p w:rsidR="009845B8" w:rsidRPr="00CF18FC" w:rsidRDefault="009845B8" w:rsidP="005C4959"/>
    <w:p w:rsidR="009845B8" w:rsidRPr="00CF18FC" w:rsidRDefault="009845B8" w:rsidP="005C49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F18FC" w:rsidRPr="00CF18FC">
        <w:tc>
          <w:tcPr>
            <w:tcW w:w="5811" w:type="dxa"/>
          </w:tcPr>
          <w:p w:rsidR="009845B8" w:rsidRPr="00CF18FC" w:rsidRDefault="00CF18FC" w:rsidP="005C4959">
            <w:pPr>
              <w:pStyle w:val="Lgendetitre"/>
            </w:pPr>
            <w:r w:rsidRPr="00CF18FC">
              <w:t>Teckenförklaring</w:t>
            </w:r>
          </w:p>
        </w:tc>
      </w:tr>
      <w:tr w:rsidR="00DE2F8A" w:rsidRPr="00CF18FC" w:rsidTr="005C4959">
        <w:trPr>
          <w:cantSplit/>
          <w:trHeight w:val="1807"/>
        </w:trPr>
        <w:tc>
          <w:tcPr>
            <w:tcW w:w="5811" w:type="dxa"/>
            <w:tcBorders>
              <w:bottom w:val="single" w:sz="4" w:space="0" w:color="auto"/>
            </w:tcBorders>
          </w:tcPr>
          <w:p w:rsidR="009845B8" w:rsidRPr="00CF18FC" w:rsidRDefault="00CF18FC" w:rsidP="005C4959">
            <w:pPr>
              <w:pStyle w:val="Lgendesigne"/>
            </w:pPr>
            <w:r w:rsidRPr="00CF18FC">
              <w:tab/>
              <w:t>*</w:t>
            </w:r>
            <w:r w:rsidRPr="00CF18FC">
              <w:tab/>
              <w:t>Samrådsförfarande</w:t>
            </w:r>
          </w:p>
          <w:p w:rsidR="009845B8" w:rsidRPr="00CF18FC" w:rsidRDefault="00CF18FC" w:rsidP="005C4959">
            <w:pPr>
              <w:pStyle w:val="Lgendesigne"/>
            </w:pPr>
            <w:r w:rsidRPr="00CF18FC">
              <w:tab/>
              <w:t>***</w:t>
            </w:r>
            <w:r w:rsidRPr="00CF18FC">
              <w:tab/>
              <w:t>Godkännandeförfarande</w:t>
            </w:r>
          </w:p>
          <w:p w:rsidR="009845B8" w:rsidRPr="00CF18FC" w:rsidRDefault="00CF18FC" w:rsidP="005C4959">
            <w:pPr>
              <w:pStyle w:val="Lgendesigne"/>
            </w:pPr>
            <w:r w:rsidRPr="00CF18FC">
              <w:tab/>
              <w:t>***I</w:t>
            </w:r>
            <w:r w:rsidRPr="00CF18FC">
              <w:tab/>
              <w:t>Ordinarie lagstiftningsförfarande (första behandlingen)</w:t>
            </w:r>
          </w:p>
          <w:p w:rsidR="009845B8" w:rsidRPr="00CF18FC" w:rsidRDefault="00CF18FC" w:rsidP="005C4959">
            <w:pPr>
              <w:pStyle w:val="Lgendesigne"/>
            </w:pPr>
            <w:r w:rsidRPr="00CF18FC">
              <w:tab/>
              <w:t>***II</w:t>
            </w:r>
            <w:r w:rsidRPr="00CF18FC">
              <w:tab/>
              <w:t>Ordinarie lagstiftningsförfarande (andra behandlingen)</w:t>
            </w:r>
          </w:p>
          <w:p w:rsidR="009845B8" w:rsidRPr="00CF18FC" w:rsidRDefault="00CF18FC" w:rsidP="005C4959">
            <w:pPr>
              <w:pStyle w:val="Lgendesigne"/>
            </w:pPr>
            <w:r w:rsidRPr="00CF18FC">
              <w:tab/>
              <w:t>***III</w:t>
            </w:r>
            <w:r w:rsidRPr="00CF18FC">
              <w:tab/>
              <w:t>Ordinarie lagstiftningsförfarande (tredje behandlingen)</w:t>
            </w:r>
          </w:p>
          <w:p w:rsidR="009845B8" w:rsidRPr="00CF18FC" w:rsidRDefault="009845B8" w:rsidP="005C4959">
            <w:pPr>
              <w:pStyle w:val="Lgendestandard"/>
            </w:pPr>
          </w:p>
          <w:p w:rsidR="009845B8" w:rsidRPr="00CF18FC" w:rsidRDefault="00CF18FC" w:rsidP="005C4959">
            <w:pPr>
              <w:pStyle w:val="Lgendestandard"/>
            </w:pPr>
            <w:r w:rsidRPr="00CF18FC">
              <w:t>(Det angivna förfarandet baseras på den rättsliga grund som angetts i förslaget till akt.)</w:t>
            </w:r>
          </w:p>
          <w:p w:rsidR="009845B8" w:rsidRPr="00CF18FC" w:rsidRDefault="009845B8" w:rsidP="005C4959">
            <w:pPr>
              <w:pStyle w:val="Lgendestandard"/>
            </w:pPr>
          </w:p>
        </w:tc>
      </w:tr>
    </w:tbl>
    <w:p w:rsidR="009845B8" w:rsidRPr="00CF18FC" w:rsidRDefault="009845B8" w:rsidP="005C4959"/>
    <w:p w:rsidR="009845B8" w:rsidRPr="00CF18FC" w:rsidRDefault="009845B8" w:rsidP="005C4959"/>
    <w:p w:rsidR="009845B8" w:rsidRPr="00CF18FC" w:rsidRDefault="009845B8" w:rsidP="005C4959"/>
    <w:p w:rsidR="009845B8" w:rsidRPr="00CF18FC" w:rsidRDefault="009845B8" w:rsidP="005C4959"/>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F18FC" w:rsidRPr="00CF18FC">
        <w:tc>
          <w:tcPr>
            <w:tcW w:w="5811" w:type="dxa"/>
          </w:tcPr>
          <w:p w:rsidR="009845B8" w:rsidRPr="00CF18FC" w:rsidRDefault="00CF18FC" w:rsidP="005C4959">
            <w:pPr>
              <w:pStyle w:val="Lgendetitre"/>
            </w:pPr>
            <w:r w:rsidRPr="00CF18FC">
              <w:t>Ändringsförslag till ett förslag till akt</w:t>
            </w:r>
          </w:p>
        </w:tc>
      </w:tr>
      <w:tr w:rsidR="00DE2F8A" w:rsidRPr="00CF18FC" w:rsidTr="005C4959">
        <w:trPr>
          <w:trHeight w:val="4496"/>
        </w:trPr>
        <w:tc>
          <w:tcPr>
            <w:tcW w:w="5811" w:type="dxa"/>
          </w:tcPr>
          <w:p w:rsidR="009845B8" w:rsidRPr="00CF18FC" w:rsidRDefault="00CF18FC" w:rsidP="005C4959">
            <w:pPr>
              <w:pStyle w:val="Lgendestandard"/>
              <w:rPr>
                <w:szCs w:val="24"/>
              </w:rPr>
            </w:pPr>
            <w:r w:rsidRPr="00CF18FC">
              <w:rPr>
                <w:b/>
              </w:rPr>
              <w:t>När parlamentets ändringsförslag utformas i två spalter gäller följande:</w:t>
            </w:r>
          </w:p>
          <w:p w:rsidR="009845B8" w:rsidRPr="00CF18FC" w:rsidRDefault="009845B8" w:rsidP="005C4959">
            <w:pPr>
              <w:pStyle w:val="Lgendestandard"/>
              <w:rPr>
                <w:szCs w:val="24"/>
              </w:rPr>
            </w:pPr>
          </w:p>
          <w:p w:rsidR="009845B8" w:rsidRPr="00CF18FC" w:rsidRDefault="00CF18FC" w:rsidP="005C4959">
            <w:pPr>
              <w:pStyle w:val="Lgendestandard"/>
              <w:rPr>
                <w:szCs w:val="24"/>
              </w:rPr>
            </w:pPr>
            <w:r w:rsidRPr="00CF18FC">
              <w:t xml:space="preserve">Text som utgår markeras med </w:t>
            </w:r>
            <w:r w:rsidRPr="00CF18FC">
              <w:rPr>
                <w:b/>
                <w:i/>
              </w:rPr>
              <w:t>fetkursiv stil</w:t>
            </w:r>
            <w:r w:rsidRPr="00CF18FC">
              <w:t xml:space="preserve"> i vänsterspalten. Text som ersätts markeras med </w:t>
            </w:r>
            <w:r w:rsidRPr="00CF18FC">
              <w:rPr>
                <w:b/>
                <w:i/>
              </w:rPr>
              <w:t>fetkursiv stil</w:t>
            </w:r>
            <w:r w:rsidRPr="00CF18FC">
              <w:t xml:space="preserve"> i båda spalterna. Ny text markeras med </w:t>
            </w:r>
            <w:r w:rsidRPr="00CF18FC">
              <w:rPr>
                <w:b/>
                <w:i/>
              </w:rPr>
              <w:t>fetkursiv stil</w:t>
            </w:r>
            <w:r w:rsidRPr="00CF18FC">
              <w:t xml:space="preserve"> i högerspalten.</w:t>
            </w:r>
          </w:p>
          <w:p w:rsidR="009845B8" w:rsidRPr="00CF18FC" w:rsidRDefault="009845B8" w:rsidP="005C4959">
            <w:pPr>
              <w:pStyle w:val="Lgendestandard"/>
              <w:rPr>
                <w:szCs w:val="24"/>
              </w:rPr>
            </w:pPr>
          </w:p>
          <w:p w:rsidR="009845B8" w:rsidRPr="00CF18FC" w:rsidRDefault="00CF18FC" w:rsidP="005C4959">
            <w:pPr>
              <w:pStyle w:val="Lgendestandard"/>
              <w:rPr>
                <w:szCs w:val="24"/>
              </w:rPr>
            </w:pPr>
            <w:r w:rsidRPr="00CF18FC">
              <w:t>De två första raderna i hänvisningen ovanför varje ändringsförslag anger vilket textavsnitt som avses i det förslag till akt som behandlas. Om ett ändringsförslag avser en befintlig akt som förslaget till akt är avsett att ändra innehåller hänvisningen även en tredje och en fjärde rad. Den tredje raden anger den befintliga akten och den fjärde vilken bestämmelse i denna akt som ändringsförslaget avser.</w:t>
            </w:r>
          </w:p>
          <w:p w:rsidR="009845B8" w:rsidRPr="00CF18FC" w:rsidRDefault="009845B8" w:rsidP="005C4959">
            <w:pPr>
              <w:pStyle w:val="Lgendestandard"/>
              <w:rPr>
                <w:szCs w:val="24"/>
              </w:rPr>
            </w:pPr>
          </w:p>
          <w:p w:rsidR="009845B8" w:rsidRPr="00CF18FC" w:rsidRDefault="00CF18FC" w:rsidP="005C4959">
            <w:pPr>
              <w:pStyle w:val="Lgendestandard"/>
              <w:rPr>
                <w:b/>
                <w:szCs w:val="24"/>
              </w:rPr>
            </w:pPr>
            <w:r w:rsidRPr="00CF18FC">
              <w:rPr>
                <w:b/>
              </w:rPr>
              <w:t>När parlamentets ändringsförslag utformas som en konsoliderad text gäller följande:</w:t>
            </w:r>
          </w:p>
          <w:p w:rsidR="009845B8" w:rsidRPr="00CF18FC" w:rsidRDefault="009845B8" w:rsidP="005C4959">
            <w:pPr>
              <w:pStyle w:val="Lgendestandard"/>
              <w:rPr>
                <w:szCs w:val="24"/>
              </w:rPr>
            </w:pPr>
          </w:p>
          <w:p w:rsidR="009845B8" w:rsidRPr="00CF18FC" w:rsidRDefault="00CF18FC" w:rsidP="005C4959">
            <w:pPr>
              <w:pStyle w:val="Lgendestandard"/>
              <w:rPr>
                <w:szCs w:val="24"/>
              </w:rPr>
            </w:pPr>
            <w:r w:rsidRPr="00CF18FC">
              <w:t xml:space="preserve">Nya textdelar markeras med </w:t>
            </w:r>
            <w:r w:rsidRPr="00CF18FC">
              <w:rPr>
                <w:b/>
                <w:i/>
              </w:rPr>
              <w:t>fetkursiv stil</w:t>
            </w:r>
            <w:r w:rsidRPr="00CF18FC">
              <w:t xml:space="preserve">. Textdelar som utgår markeras med symbolen ▌eller med genomstrykning. Textdelar som ersätts anges genom att ny text markeras med </w:t>
            </w:r>
            <w:r w:rsidRPr="00CF18FC">
              <w:rPr>
                <w:b/>
                <w:i/>
              </w:rPr>
              <w:t>fetkursiv stil</w:t>
            </w:r>
            <w:r w:rsidRPr="00CF18FC">
              <w:t xml:space="preserve"> och text som utgår stryks eller markeras med genomstrykning. </w:t>
            </w:r>
          </w:p>
          <w:p w:rsidR="009845B8" w:rsidRPr="00CF18FC" w:rsidRDefault="00CF18FC" w:rsidP="005C4959">
            <w:pPr>
              <w:pStyle w:val="Lgendestandard"/>
            </w:pPr>
            <w:r w:rsidRPr="00CF18FC">
              <w:t>Sådana ändringar som endast är tekniska och som gjorts av de berörda avdelningarna vid färdigställandet av den slutliga texten markeras däremot inte.</w:t>
            </w:r>
          </w:p>
          <w:p w:rsidR="009845B8" w:rsidRPr="00CF18FC" w:rsidRDefault="009845B8" w:rsidP="005C4959">
            <w:pPr>
              <w:pStyle w:val="Lgendestandard"/>
            </w:pPr>
          </w:p>
        </w:tc>
      </w:tr>
    </w:tbl>
    <w:p w:rsidR="009845B8" w:rsidRPr="00CF18FC" w:rsidRDefault="009845B8" w:rsidP="005C4959"/>
    <w:p w:rsidR="00793EA9" w:rsidRPr="00CF18FC" w:rsidRDefault="00793EA9" w:rsidP="00012351">
      <w:pPr>
        <w:widowControl/>
        <w:tabs>
          <w:tab w:val="center" w:pos="4677"/>
        </w:tabs>
      </w:pPr>
    </w:p>
    <w:p w:rsidR="00793EA9" w:rsidRPr="00CF18FC" w:rsidRDefault="00CF18FC">
      <w:pPr>
        <w:pStyle w:val="TOCHeading"/>
      </w:pPr>
      <w:r w:rsidRPr="00CF18FC">
        <w:br w:type="page"/>
      </w:r>
      <w:r w:rsidRPr="00CF18FC">
        <w:lastRenderedPageBreak/>
        <w:t>INNEHÅLL</w:t>
      </w:r>
    </w:p>
    <w:p w:rsidR="00793EA9" w:rsidRPr="00CF18FC" w:rsidRDefault="00CF18FC">
      <w:pPr>
        <w:pStyle w:val="TOCPage"/>
      </w:pPr>
      <w:r w:rsidRPr="00CF18FC">
        <w:t>Sida</w:t>
      </w:r>
    </w:p>
    <w:p w:rsidR="003007C0" w:rsidRDefault="00CF18FC">
      <w:pPr>
        <w:pStyle w:val="TOC1"/>
        <w:tabs>
          <w:tab w:val="right" w:leader="dot" w:pos="9060"/>
        </w:tabs>
        <w:rPr>
          <w:rFonts w:asciiTheme="minorHAnsi" w:eastAsiaTheme="minorEastAsia" w:hAnsiTheme="minorHAnsi" w:cstheme="minorBidi"/>
          <w:noProof/>
          <w:sz w:val="22"/>
          <w:szCs w:val="22"/>
          <w:lang w:val="en-GB"/>
        </w:rPr>
      </w:pPr>
      <w:r w:rsidRPr="00CF18FC">
        <w:rPr>
          <w:b/>
        </w:rPr>
        <w:fldChar w:fldCharType="begin"/>
      </w:r>
      <w:r w:rsidRPr="00CF18FC">
        <w:rPr>
          <w:b/>
        </w:rPr>
        <w:instrText xml:space="preserve"> TOC \t "PageHeading</w:instrText>
      </w:r>
      <w:r w:rsidR="00A0169F" w:rsidRPr="00CF18FC">
        <w:rPr>
          <w:b/>
        </w:rPr>
        <w:instrText>;</w:instrText>
      </w:r>
      <w:r w:rsidRPr="00CF18FC">
        <w:rPr>
          <w:b/>
        </w:rPr>
        <w:instrText xml:space="preserve">1" </w:instrText>
      </w:r>
      <w:r w:rsidRPr="00CF18FC">
        <w:rPr>
          <w:b/>
        </w:rPr>
        <w:fldChar w:fldCharType="separate"/>
      </w:r>
      <w:r w:rsidR="003007C0">
        <w:rPr>
          <w:noProof/>
        </w:rPr>
        <w:t>FÖRSLAG TILL EUROPAPARLAMENTETS LAGSTIFTNINGSRESOLUTION</w:t>
      </w:r>
      <w:r w:rsidR="003007C0">
        <w:rPr>
          <w:noProof/>
        </w:rPr>
        <w:tab/>
      </w:r>
      <w:r w:rsidR="003007C0">
        <w:rPr>
          <w:noProof/>
        </w:rPr>
        <w:fldChar w:fldCharType="begin"/>
      </w:r>
      <w:r w:rsidR="003007C0">
        <w:rPr>
          <w:noProof/>
        </w:rPr>
        <w:instrText xml:space="preserve"> PAGEREF _Toc191538328 \h </w:instrText>
      </w:r>
      <w:r w:rsidR="003007C0">
        <w:rPr>
          <w:noProof/>
        </w:rPr>
      </w:r>
      <w:r w:rsidR="003007C0">
        <w:rPr>
          <w:noProof/>
        </w:rPr>
        <w:fldChar w:fldCharType="separate"/>
      </w:r>
      <w:r w:rsidR="003007C0">
        <w:rPr>
          <w:noProof/>
        </w:rPr>
        <w:t>5</w:t>
      </w:r>
      <w:r w:rsidR="003007C0">
        <w:rPr>
          <w:noProof/>
        </w:rPr>
        <w:fldChar w:fldCharType="end"/>
      </w:r>
    </w:p>
    <w:p w:rsidR="003007C0" w:rsidRDefault="003007C0">
      <w:pPr>
        <w:pStyle w:val="TOC1"/>
        <w:tabs>
          <w:tab w:val="right" w:leader="dot" w:pos="9060"/>
        </w:tabs>
        <w:rPr>
          <w:rFonts w:asciiTheme="minorHAnsi" w:eastAsiaTheme="minorEastAsia" w:hAnsiTheme="minorHAnsi" w:cstheme="minorBidi"/>
          <w:noProof/>
          <w:sz w:val="22"/>
          <w:szCs w:val="22"/>
          <w:lang w:val="en-GB"/>
        </w:rPr>
      </w:pPr>
      <w:r>
        <w:rPr>
          <w:noProof/>
        </w:rPr>
        <w:t>MOTIVERING</w:t>
      </w:r>
      <w:r>
        <w:rPr>
          <w:noProof/>
        </w:rPr>
        <w:tab/>
      </w:r>
      <w:r>
        <w:rPr>
          <w:noProof/>
        </w:rPr>
        <w:fldChar w:fldCharType="begin"/>
      </w:r>
      <w:r>
        <w:rPr>
          <w:noProof/>
        </w:rPr>
        <w:instrText xml:space="preserve"> PAGEREF _Toc191538329 \h </w:instrText>
      </w:r>
      <w:r>
        <w:rPr>
          <w:noProof/>
        </w:rPr>
      </w:r>
      <w:r>
        <w:rPr>
          <w:noProof/>
        </w:rPr>
        <w:fldChar w:fldCharType="separate"/>
      </w:r>
      <w:r>
        <w:rPr>
          <w:noProof/>
        </w:rPr>
        <w:t>45</w:t>
      </w:r>
      <w:r>
        <w:rPr>
          <w:noProof/>
        </w:rPr>
        <w:fldChar w:fldCharType="end"/>
      </w:r>
    </w:p>
    <w:p w:rsidR="003007C0" w:rsidRDefault="003007C0">
      <w:pPr>
        <w:pStyle w:val="TOC1"/>
        <w:tabs>
          <w:tab w:val="right" w:leader="dot" w:pos="9060"/>
        </w:tabs>
        <w:rPr>
          <w:rFonts w:asciiTheme="minorHAnsi" w:eastAsiaTheme="minorEastAsia" w:hAnsiTheme="minorHAnsi" w:cstheme="minorBidi"/>
          <w:noProof/>
          <w:sz w:val="22"/>
          <w:szCs w:val="22"/>
          <w:lang w:val="en-GB"/>
        </w:rPr>
      </w:pPr>
      <w:r>
        <w:rPr>
          <w:noProof/>
        </w:rPr>
        <w:t>BILAGA: ENHETER ELLER PERSONER SOM FÖREDRAGANDEN HAR MOTTAGIT SYNPUNKTER FRÅN</w:t>
      </w:r>
      <w:r>
        <w:rPr>
          <w:noProof/>
        </w:rPr>
        <w:tab/>
      </w:r>
      <w:r>
        <w:rPr>
          <w:noProof/>
        </w:rPr>
        <w:fldChar w:fldCharType="begin"/>
      </w:r>
      <w:r>
        <w:rPr>
          <w:noProof/>
        </w:rPr>
        <w:instrText xml:space="preserve"> PAGEREF _Toc191538330 \h </w:instrText>
      </w:r>
      <w:r>
        <w:rPr>
          <w:noProof/>
        </w:rPr>
      </w:r>
      <w:r>
        <w:rPr>
          <w:noProof/>
        </w:rPr>
        <w:fldChar w:fldCharType="separate"/>
      </w:r>
      <w:r>
        <w:rPr>
          <w:noProof/>
        </w:rPr>
        <w:t>48</w:t>
      </w:r>
      <w:r>
        <w:rPr>
          <w:noProof/>
        </w:rPr>
        <w:fldChar w:fldCharType="end"/>
      </w:r>
    </w:p>
    <w:p w:rsidR="002346B0" w:rsidRPr="00CF18FC" w:rsidRDefault="00CF18FC" w:rsidP="00C23324">
      <w:r w:rsidRPr="00CF18FC">
        <w:rPr>
          <w:b/>
        </w:rPr>
        <w:fldChar w:fldCharType="end"/>
      </w:r>
    </w:p>
    <w:p w:rsidR="00793EA9" w:rsidRPr="00CF18FC" w:rsidRDefault="00CF18FC">
      <w:pPr>
        <w:pStyle w:val="PageHeading"/>
      </w:pPr>
      <w:r w:rsidRPr="00CF18FC">
        <w:br w:type="page"/>
      </w:r>
      <w:r w:rsidRPr="00CF18FC">
        <w:lastRenderedPageBreak/>
        <w:br w:type="page"/>
      </w:r>
      <w:bookmarkStart w:id="1" w:name="_Toc191538328"/>
      <w:r w:rsidRPr="00CF18FC">
        <w:lastRenderedPageBreak/>
        <w:t>FÖRSLAG TILL EUROPAPARLAMENTETS LAGSTIFTNINGSRESOLUTION</w:t>
      </w:r>
      <w:bookmarkEnd w:id="1"/>
    </w:p>
    <w:p w:rsidR="00793EA9" w:rsidRPr="00CF18FC" w:rsidRDefault="00CF18FC">
      <w:pPr>
        <w:pStyle w:val="NormalBold"/>
      </w:pPr>
      <w:r w:rsidRPr="00CF18FC">
        <w:t>om förslaget till Europaparlamentets och rådets förordning om förstärkning av polissamarbetet för att förebygga, upptäcka och utreda migrantsmuggling och människohandel och om förstärkning av Europols stöd till förebyggande och bekämpande av sådana brott samt om ändring av förordning (EU) 2016/794</w:t>
      </w:r>
    </w:p>
    <w:p w:rsidR="00793EA9" w:rsidRPr="00CF18FC" w:rsidRDefault="00CF18FC">
      <w:pPr>
        <w:pStyle w:val="NormalBold12a"/>
      </w:pPr>
      <w:r w:rsidRPr="00CF18FC">
        <w:t>(COM(2023)0754 – C9</w:t>
      </w:r>
      <w:r w:rsidRPr="00CF18FC">
        <w:noBreakHyphen/>
        <w:t>0431/2023 – 2023/0438(COD))</w:t>
      </w:r>
    </w:p>
    <w:p w:rsidR="00793EA9" w:rsidRPr="00CF18FC" w:rsidRDefault="00CF18FC" w:rsidP="00A910C9">
      <w:pPr>
        <w:pStyle w:val="NormalBold"/>
      </w:pPr>
      <w:r w:rsidRPr="00CF18FC">
        <w:t>(Ordinarie lagstiftningsförfarande: första behandlingen)</w:t>
      </w:r>
    </w:p>
    <w:p w:rsidR="00793EA9" w:rsidRPr="00CF18FC" w:rsidRDefault="00CF18FC" w:rsidP="00A910C9">
      <w:pPr>
        <w:pStyle w:val="EPComma"/>
      </w:pPr>
      <w:r w:rsidRPr="00CF18FC">
        <w:rPr>
          <w:i/>
        </w:rPr>
        <w:t>Europaparlamentet utfärdar denna resolution</w:t>
      </w:r>
    </w:p>
    <w:p w:rsidR="00793EA9" w:rsidRPr="00CF18FC" w:rsidRDefault="00CF18FC">
      <w:pPr>
        <w:pStyle w:val="NormalHanging12a"/>
      </w:pPr>
      <w:r w:rsidRPr="00CF18FC">
        <w:t>–</w:t>
      </w:r>
      <w:r w:rsidRPr="00CF18FC">
        <w:tab/>
        <w:t>med beaktande av kommissionens förslag till Europaparlamentet och rådet (COM(2023)0754),</w:t>
      </w:r>
    </w:p>
    <w:p w:rsidR="00793EA9" w:rsidRPr="00CF18FC" w:rsidRDefault="00CF18FC">
      <w:pPr>
        <w:pStyle w:val="NormalHanging12a"/>
      </w:pPr>
      <w:r w:rsidRPr="00CF18FC">
        <w:t>–</w:t>
      </w:r>
      <w:r w:rsidRPr="00CF18FC">
        <w:tab/>
        <w:t>med beaktande av artiklarna 294.2, 85.1, 87. 2 och 88.2 i fördraget om Europeiska</w:t>
      </w:r>
      <w:r w:rsidR="003007C0">
        <w:t> </w:t>
      </w:r>
      <w:r w:rsidRPr="00CF18FC">
        <w:t>unionens funktionssätt, i enlighet med vilka kommissionen har lagt fram sitt förslag för parlamentet (C9</w:t>
      </w:r>
      <w:r w:rsidRPr="00CF18FC">
        <w:noBreakHyphen/>
        <w:t>0431/2023),</w:t>
      </w:r>
    </w:p>
    <w:p w:rsidR="00A26F46" w:rsidRPr="00CF18FC" w:rsidRDefault="00CF18FC" w:rsidP="00A26F46">
      <w:pPr>
        <w:pStyle w:val="NormalHanging12a"/>
      </w:pPr>
      <w:r w:rsidRPr="00CF18FC">
        <w:t>–</w:t>
      </w:r>
      <w:r w:rsidRPr="00CF18FC">
        <w:tab/>
        <w:t>med beaktande av artikel 294.3 i fördraget om Europeiska unionens funktionssätt,</w:t>
      </w:r>
    </w:p>
    <w:p w:rsidR="00522F4E" w:rsidRPr="00CF18FC" w:rsidRDefault="00CF18FC" w:rsidP="00A26F46">
      <w:pPr>
        <w:pStyle w:val="NormalHanging12a"/>
      </w:pPr>
      <w:r w:rsidRPr="00CF18FC">
        <w:t>–</w:t>
      </w:r>
      <w:r w:rsidRPr="00CF18FC">
        <w:tab/>
        <w:t>med beaktande av budgetbedömningen från budgetutskottet,</w:t>
      </w:r>
    </w:p>
    <w:p w:rsidR="00FB3173" w:rsidRPr="00CF18FC" w:rsidRDefault="00CF18FC" w:rsidP="00851C5E">
      <w:pPr>
        <w:pStyle w:val="NormalHanging12a"/>
      </w:pPr>
      <w:r w:rsidRPr="00CF18FC">
        <w:t>–</w:t>
      </w:r>
      <w:r w:rsidRPr="00CF18FC">
        <w:tab/>
        <w:t>med beaktande av det motiverade yttrande från Sveriges riksdag som lagts fram i enlighet med protokoll nr 2 om tillämpning av subsidiaritets- och proportionalitetsprinciperna, och enligt vilket utkastet till lagstiftningsakt inte är förenligt med subsidiaritetsprincipen,</w:t>
      </w:r>
    </w:p>
    <w:p w:rsidR="00FB3173" w:rsidRPr="00CF18FC" w:rsidRDefault="00CF18FC" w:rsidP="002E4496">
      <w:pPr>
        <w:pStyle w:val="NormalHanging12a"/>
      </w:pPr>
      <w:r w:rsidRPr="00CF18FC">
        <w:t>–</w:t>
      </w:r>
      <w:r w:rsidRPr="00CF18FC">
        <w:tab/>
        <w:t>med beaktande av yttrandet från Europeiska ekonomiska och sociala kommittén av den</w:t>
      </w:r>
      <w:r w:rsidR="003007C0">
        <w:t> </w:t>
      </w:r>
      <w:r w:rsidRPr="00CF18FC">
        <w:t>10 juli 2024</w:t>
      </w:r>
      <w:r w:rsidRPr="00CF18FC">
        <w:rPr>
          <w:rStyle w:val="FootnoteReference"/>
        </w:rPr>
        <w:footnoteReference w:id="1"/>
      </w:r>
      <w:r w:rsidRPr="00CF18FC">
        <w:t>,</w:t>
      </w:r>
    </w:p>
    <w:p w:rsidR="00520CE7" w:rsidRPr="00CF18FC" w:rsidRDefault="00CF18FC" w:rsidP="006020DB">
      <w:pPr>
        <w:pStyle w:val="NormalHanging12a"/>
      </w:pPr>
      <w:r w:rsidRPr="00CF18FC">
        <w:t>–</w:t>
      </w:r>
      <w:r w:rsidRPr="00CF18FC">
        <w:tab/>
        <w:t>med beaktande av artiklarna 60 och 58 i arbetsordningen,</w:t>
      </w:r>
    </w:p>
    <w:p w:rsidR="00851C5E" w:rsidRPr="00CF18FC" w:rsidRDefault="00851C5E" w:rsidP="00520CE7">
      <w:pPr>
        <w:pStyle w:val="NormalHanging12a"/>
        <w:rPr>
          <w:rFonts w:ascii="Arial" w:hAnsi="Arial"/>
          <w:noProof/>
          <w:vanish/>
          <w:sz w:val="20"/>
        </w:rPr>
      </w:pPr>
    </w:p>
    <w:p w:rsidR="006A2F5D" w:rsidRPr="00CF18FC" w:rsidRDefault="00CF18FC" w:rsidP="006A2F5D">
      <w:pPr>
        <w:pStyle w:val="NormalHanging12a"/>
      </w:pPr>
      <w:r w:rsidRPr="00CF18FC">
        <w:t>–</w:t>
      </w:r>
      <w:r w:rsidRPr="00CF18FC">
        <w:tab/>
        <w:t>med beaktande av betänkandet från utskottet för medborgerliga fri- och rättigheter samt rättsliga och inrikes frågor (A10</w:t>
      </w:r>
      <w:r w:rsidRPr="00CF18FC">
        <w:noBreakHyphen/>
        <w:t>0000/2025).</w:t>
      </w:r>
    </w:p>
    <w:p w:rsidR="009F6C2F" w:rsidRPr="00CF18FC" w:rsidRDefault="00CF18FC" w:rsidP="009F6C2F">
      <w:pPr>
        <w:pStyle w:val="NormalHanging12a"/>
      </w:pPr>
      <w:r w:rsidRPr="00CF18FC">
        <w:t>1.</w:t>
      </w:r>
      <w:r w:rsidRPr="00CF18FC">
        <w:tab/>
        <w:t>Europaparlamentet antar nedanstående ståndpunkt vid första behandlingen.</w:t>
      </w:r>
    </w:p>
    <w:p w:rsidR="009F6C2F" w:rsidRPr="00CF18FC" w:rsidRDefault="00CF18FC" w:rsidP="009F6C2F">
      <w:pPr>
        <w:pStyle w:val="NormalHanging12a"/>
      </w:pPr>
      <w:r w:rsidRPr="00CF18FC">
        <w:t>2.</w:t>
      </w:r>
      <w:r w:rsidRPr="00CF18FC">
        <w:tab/>
        <w:t xml:space="preserve">Europaparlamentet uppmanar kommissionen att på nytt lägga fram ärendet för parlamentet om den ersätter, väsentligt ändrar eller har för avsikt att väsentligt ändra sitt förslag. </w:t>
      </w:r>
    </w:p>
    <w:p w:rsidR="009F6C2F" w:rsidRPr="00CF18FC" w:rsidRDefault="00CF18FC" w:rsidP="009F6C2F">
      <w:pPr>
        <w:pStyle w:val="NormalHanging12a"/>
      </w:pPr>
      <w:r w:rsidRPr="00CF18FC">
        <w:t>3.</w:t>
      </w:r>
      <w:r w:rsidRPr="00CF18FC">
        <w:tab/>
        <w:t>Europaparlamentet uppdrar åt talmannen att översända parlamentets ståndpunkt till rådet, kommissionen och de nationella parlamenten.</w:t>
      </w:r>
    </w:p>
    <w:p w:rsidR="00742F5F" w:rsidRPr="00CF18FC" w:rsidRDefault="00742F5F" w:rsidP="00D30DE2"/>
    <w:p w:rsidR="0018078A" w:rsidRPr="00CF18FC" w:rsidRDefault="00CF18FC" w:rsidP="0018078A">
      <w:pPr>
        <w:pStyle w:val="AMNumberTabs0"/>
        <w:keepNext/>
      </w:pPr>
      <w:r w:rsidRPr="00CF18FC">
        <w:rPr>
          <w:rStyle w:val="HideTWBExt"/>
          <w:b w:val="0"/>
          <w:color w:val="auto"/>
        </w:rPr>
        <w:lastRenderedPageBreak/>
        <w:t>&lt;RepeatBlock-Amend&gt;&lt;Amend&gt;</w:t>
      </w:r>
      <w:r w:rsidRPr="00CF18FC">
        <w:t>Ändringsförslag</w:t>
      </w:r>
      <w:r w:rsidRPr="00CF18FC">
        <w:tab/>
      </w:r>
      <w:r w:rsidRPr="00CF18FC">
        <w:tab/>
      </w:r>
      <w:r w:rsidRPr="00CF18FC">
        <w:rPr>
          <w:rStyle w:val="HideTWBExt"/>
          <w:b w:val="0"/>
          <w:color w:val="auto"/>
        </w:rPr>
        <w:t>&lt;NumAm&gt;</w:t>
      </w:r>
      <w:r w:rsidRPr="00CF18FC">
        <w:t>1</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Titel</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Förslag till</w:t>
            </w:r>
          </w:p>
        </w:tc>
        <w:tc>
          <w:tcPr>
            <w:tcW w:w="4876" w:type="dxa"/>
            <w:hideMark/>
          </w:tcPr>
          <w:p w:rsidR="0018078A" w:rsidRPr="00CF18FC" w:rsidRDefault="00CF18FC">
            <w:pPr>
              <w:pStyle w:val="Normal6"/>
              <w:rPr>
                <w:szCs w:val="24"/>
              </w:rPr>
            </w:pPr>
            <w:r w:rsidRPr="00CF18FC">
              <w:t>Förslag till</w:t>
            </w:r>
          </w:p>
        </w:tc>
      </w:tr>
      <w:tr w:rsidR="00CF18FC" w:rsidRPr="00CF18FC" w:rsidTr="0018078A">
        <w:trPr>
          <w:jc w:val="center"/>
        </w:trPr>
        <w:tc>
          <w:tcPr>
            <w:tcW w:w="4876" w:type="dxa"/>
            <w:hideMark/>
          </w:tcPr>
          <w:p w:rsidR="0018078A" w:rsidRPr="00CF18FC" w:rsidRDefault="00CF18FC">
            <w:pPr>
              <w:pStyle w:val="Normal6"/>
            </w:pPr>
            <w:r w:rsidRPr="00CF18FC">
              <w:t>EUROPAPARLAMENTETS OCH RÅDETS FÖRORDNING</w:t>
            </w:r>
          </w:p>
        </w:tc>
        <w:tc>
          <w:tcPr>
            <w:tcW w:w="4876" w:type="dxa"/>
            <w:hideMark/>
          </w:tcPr>
          <w:p w:rsidR="0018078A" w:rsidRPr="00CF18FC" w:rsidRDefault="00CF18FC">
            <w:pPr>
              <w:pStyle w:val="Normal6"/>
              <w:rPr>
                <w:szCs w:val="24"/>
              </w:rPr>
            </w:pPr>
            <w:r w:rsidRPr="00CF18FC">
              <w:t>EUROPAPARLAMENTETS OCH RÅDETS FÖRORDNING</w:t>
            </w:r>
          </w:p>
        </w:tc>
      </w:tr>
      <w:tr w:rsidR="00CF18FC" w:rsidRPr="00CF18FC" w:rsidTr="0018078A">
        <w:trPr>
          <w:jc w:val="center"/>
        </w:trPr>
        <w:tc>
          <w:tcPr>
            <w:tcW w:w="4876" w:type="dxa"/>
            <w:hideMark/>
          </w:tcPr>
          <w:p w:rsidR="0018078A" w:rsidRPr="00CF18FC" w:rsidRDefault="00CF18FC">
            <w:pPr>
              <w:pStyle w:val="Normal6"/>
            </w:pPr>
            <w:r w:rsidRPr="00CF18FC">
              <w:t>om förstärkning av polissamarbetet för att förebygga</w:t>
            </w:r>
            <w:r w:rsidRPr="00CF18FC">
              <w:rPr>
                <w:b/>
                <w:i/>
              </w:rPr>
              <w:t>, upptäcka</w:t>
            </w:r>
            <w:r w:rsidRPr="00CF18FC">
              <w:t xml:space="preserve"> och </w:t>
            </w:r>
            <w:r w:rsidRPr="00CF18FC">
              <w:rPr>
                <w:b/>
                <w:i/>
              </w:rPr>
              <w:t>utreda</w:t>
            </w:r>
            <w:r w:rsidRPr="00CF18FC">
              <w:t xml:space="preserve"> migrantsmuggling och människohandel </w:t>
            </w:r>
            <w:r w:rsidRPr="00CF18FC">
              <w:rPr>
                <w:b/>
                <w:i/>
              </w:rPr>
              <w:t>och om förstärkning av Europols stöd till förebyggande och bekämpande av sådana brott samt om ändring av förordning (EU) 2016/794</w:t>
            </w:r>
          </w:p>
        </w:tc>
        <w:tc>
          <w:tcPr>
            <w:tcW w:w="4876" w:type="dxa"/>
            <w:hideMark/>
          </w:tcPr>
          <w:p w:rsidR="0018078A" w:rsidRPr="00CF18FC" w:rsidRDefault="00CF18FC">
            <w:pPr>
              <w:pStyle w:val="Normal6"/>
              <w:rPr>
                <w:szCs w:val="24"/>
              </w:rPr>
            </w:pPr>
            <w:r w:rsidRPr="00CF18FC">
              <w:t xml:space="preserve">om </w:t>
            </w:r>
            <w:r w:rsidRPr="00CF18FC">
              <w:rPr>
                <w:b/>
                <w:i/>
              </w:rPr>
              <w:t>ändring av förordning (EU) 2016/794 vad gäller förstärkning av Europols stöd, och</w:t>
            </w:r>
            <w:r w:rsidRPr="00CF18FC">
              <w:t xml:space="preserve"> förstärkning av polissamarbetet för att förebygga och </w:t>
            </w:r>
            <w:r w:rsidRPr="00CF18FC">
              <w:rPr>
                <w:b/>
                <w:i/>
              </w:rPr>
              <w:t>bekämpa</w:t>
            </w:r>
            <w:r w:rsidRPr="00CF18FC">
              <w:t xml:space="preserve"> migrantsmuggling och människohandel</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6</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rPr>
                <w:b/>
                <w:i/>
              </w:rPr>
              <w:t>(6)</w:t>
            </w:r>
            <w:r w:rsidRPr="00CF18FC">
              <w:rPr>
                <w:b/>
                <w:i/>
              </w:rPr>
              <w:tab/>
              <w:t xml:space="preserve">Till stöd för dess strategiska analys av förebyggande och bekämpning av migrantsmuggling och människohandel bör Europeiska centrumet mot migrantsmuggling för sina strategiska uppgifter stödjas av en samarbetsram bestående av personal från Europol och involvera företrädare för kommissionen, medlemsstaternas specialiserade avdelningar, Europeiska unionens byrå för straffrättsligt samarbete (Eurojust) och Europeiska gräns- och kustbevakningsbyrån. Europeiska centrumet mot migrantsmuggling bör hålla ett möte mellan de enheter som är företrädda vid centrumet minst två gånger om året för att säkerställa en effektiv styrning och samordning på unionsnivå. För att centrumet ska kunna utföra sina </w:t>
            </w:r>
            <w:r w:rsidRPr="00CF18FC">
              <w:rPr>
                <w:b/>
                <w:i/>
              </w:rPr>
              <w:lastRenderedPageBreak/>
              <w:t>uppgifter bör andra relevanta interna strukturer inom Europol ge det allt nödvändigt stöd. För att Europeiska centrumet mot migrantsmuggling ska vara så verkningsfullt som möjligt bör Europol kunna bjuda in i synnerhet huvudaktörerna inom Europeiska sektorsövergripande plattformen mot brottshot (Empact) och vid behov andra relevanta unionsorgan eller unionsbyråer.</w:t>
            </w:r>
          </w:p>
        </w:tc>
        <w:tc>
          <w:tcPr>
            <w:tcW w:w="4876" w:type="dxa"/>
            <w:hideMark/>
          </w:tcPr>
          <w:p w:rsidR="0018078A" w:rsidRPr="00CF18FC" w:rsidRDefault="00CF18FC">
            <w:pPr>
              <w:pStyle w:val="Normal6"/>
              <w:rPr>
                <w:szCs w:val="24"/>
              </w:rPr>
            </w:pPr>
            <w:r w:rsidRPr="00CF18FC">
              <w:rPr>
                <w:b/>
                <w:i/>
              </w:rPr>
              <w:lastRenderedPageBreak/>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7a (nytt)</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(7a)</w:t>
            </w:r>
            <w:r w:rsidRPr="00CF18FC">
              <w:rPr>
                <w:b/>
                <w:i/>
              </w:rPr>
              <w:tab/>
              <w:t>I syfte att stärka det operativa och tekniska stödet till förebyggande och bekämpning av migrantsmuggling och människohandel bör Europeiska centrumet mot migrantsmuggling involvera företrädare för medlemsstaternas specialiserade avdelningar, Eurojust samt Europeiska gräns- och kustbevakningsbyrån för att säkerställa en effektiv och systematisk samordning och delning av information utan dröjsmål när det gäller bekämpning av migrantsmuggling och människohandel på unionsnivå samt ett starkare samarbete mellan byråerna inom ramen för deras respektive befogenheter liksom med medlemsstaterna. För detta ändamål bör ständiga företrädare för Eurojust och Europeiska gräns- och kustbevakningsbyrån utses.</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lastRenderedPageBreak/>
        <w:t>&lt;Amend&gt;</w:t>
      </w:r>
      <w:r w:rsidRPr="00CF18FC">
        <w:t>Ändringsförslag</w:t>
      </w:r>
      <w:r w:rsidRPr="00CF18FC">
        <w:tab/>
      </w:r>
      <w:r w:rsidRPr="00CF18FC">
        <w:tab/>
      </w:r>
      <w:r w:rsidRPr="00CF18FC">
        <w:rPr>
          <w:rStyle w:val="HideTWBExt"/>
          <w:b w:val="0"/>
          <w:color w:val="auto"/>
        </w:rPr>
        <w:t>&lt;NumAm&gt;</w:t>
      </w:r>
      <w:r w:rsidRPr="00CF18FC">
        <w:t>4</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7b (nytt)</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320B73">
            <w:pPr>
              <w:pStyle w:val="Normal6"/>
              <w:rPr>
                <w:szCs w:val="24"/>
              </w:rPr>
            </w:pPr>
            <w:r w:rsidRPr="00CF18FC">
              <w:rPr>
                <w:b/>
                <w:i/>
              </w:rPr>
              <w:t>(7b)</w:t>
            </w:r>
            <w:r w:rsidRPr="00CF18FC">
              <w:rPr>
                <w:b/>
                <w:i/>
              </w:rPr>
              <w:tab/>
              <w:t>För att göra Europeiska centrumet mot migrantsmuggling så effektivt som möjligt bör Europol kunna bjuda in andra deltagare att vara delaktiga i centrumets verksamhet. Detta kan särskilt innefatta kommissionen och huvudaktörerna i Europeiska sektorsövergripande plattformen mot brottshot (Empact) samt andra relevanta unionsorgan eller unionsbyråer, när deras befogenheter tillåter detta. Europeiska centrumet mot migrantsmuggling bör också kunna samarbeta med Europeiska utrikestjänsten samt med uppdrag och insatser inom ramen för den gemensamma säkerhets- och försvarspolitiken, när så är lämpligt och relevant, i enlighet med deras respektive mandat och befogenheter och i enlighet med Europols mandat. Europol bör säkerställa att Europeiska centrumet mot migrantsmuggling har tillräckliga resurser för att fullgöra sina uppgifter och att andra relevanta interna strukturer inom Europol förser det med allt stöd som behövs.</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5</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7c (nytt)</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440502">
            <w:pPr>
              <w:pStyle w:val="Normal6"/>
              <w:rPr>
                <w:szCs w:val="24"/>
              </w:rPr>
            </w:pPr>
            <w:r w:rsidRPr="00CF18FC">
              <w:rPr>
                <w:b/>
                <w:i/>
              </w:rPr>
              <w:t>(7c)</w:t>
            </w:r>
            <w:r w:rsidRPr="00CF18FC">
              <w:rPr>
                <w:b/>
                <w:i/>
              </w:rPr>
              <w:tab/>
              <w:t xml:space="preserve">För att säkerställa att uppgifterna och styrningen för Europeiska centrumet mot migrantsmuggling fortsätter att vara tillräckligt flexibla bör styrelsen, på </w:t>
            </w:r>
            <w:r w:rsidRPr="00CF18FC">
              <w:rPr>
                <w:b/>
                <w:i/>
              </w:rPr>
              <w:lastRenderedPageBreak/>
              <w:t xml:space="preserve">förslag från den verkställande direktören, ges befogenhet att anta genomförandebestämmelser, bland annat för de olika slags operativa och strategiska uppgifter som ska utföras och arrangemangen för deltagande företrädare och inbjudna deltagare. </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6</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9</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rPr>
                <w:b/>
                <w:i/>
              </w:rPr>
              <w:t>(9)</w:t>
            </w:r>
            <w:r w:rsidRPr="00CF18FC">
              <w:rPr>
                <w:b/>
                <w:i/>
              </w:rPr>
              <w:tab/>
              <w:t>I syfte att stärka det operativa och tekniska stödet till förebyggande och bekämpning av migrantsmuggling och människohandel bör Europeiska centrumet mot migrantsmuggling i fråga om operativa uppgifter involvera sambandsmän från medlemsstaterna, Eurojust och Europeiska gräns- och kustbevakningsbyrån för att säkerställa en effektiv och systematisk samordning och delning av information i rätt tid när det gäller bekämpning av migrantsmuggling och människohandel på unionsnivå samt säkerställa ett starkare samarbete mellan byråerna inom ramen för deras respektive befogenheter och med medlemsstaterna. Andra relevanta interna strukturer inom Europol bör också ge allt nödvändigt stöd. Sambandsmän från Eurojust och Europeiska gräns- och kustbevakningsbyrån bör utplaceras som ständiga representanter vid Europol för detta ändamål. Europol bör i tillämpliga fall kunna involvera andra relevanta unionsorgan eller unionsbyråer för att utnyttja den sakkunskap som omfattas av deras befogenheter.</w:t>
            </w:r>
          </w:p>
        </w:tc>
        <w:tc>
          <w:tcPr>
            <w:tcW w:w="4876" w:type="dxa"/>
            <w:hideMark/>
          </w:tcPr>
          <w:p w:rsidR="0018078A" w:rsidRPr="00CF18FC" w:rsidRDefault="00CF18FC">
            <w:pPr>
              <w:pStyle w:val="Normal6"/>
              <w:rPr>
                <w:szCs w:val="24"/>
              </w:rPr>
            </w:pPr>
            <w:r w:rsidRPr="00CF18FC">
              <w:rPr>
                <w:b/>
                <w:i/>
              </w:rPr>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lastRenderedPageBreak/>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7</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11a (nytt)</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(11a)</w:t>
            </w:r>
            <w:r w:rsidRPr="00CF18FC">
              <w:rPr>
                <w:b/>
                <w:i/>
              </w:rPr>
              <w:tab/>
              <w:t>Med beaktande av den utvärdering som planeras i enlighet med artikel 23 i Europaparlamentets och rådets förordning (EU) 2021/784</w:t>
            </w:r>
            <w:r w:rsidRPr="00CF18FC">
              <w:rPr>
                <w:b/>
                <w:i/>
                <w:vertAlign w:val="superscript"/>
              </w:rPr>
              <w:t>1a</w:t>
            </w:r>
            <w:r w:rsidRPr="00CF18FC">
              <w:rPr>
                <w:b/>
                <w:i/>
              </w:rPr>
              <w:t>, och med tanke på det mer vidsträckta problemet med olagligt innehåll online, bör man utvärdera behovet av att bredda avlägsnandebeslutens omfattning så att de även inrymmer onlinedimensionen av migrantsmuggling och människohandel, inbegripet underlättande eller offentlig anstiftan online.</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__________________</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vertAlign w:val="superscript"/>
              </w:rPr>
              <w:t>1a</w:t>
            </w:r>
            <w:r w:rsidRPr="00CF18FC">
              <w:t xml:space="preserve"> </w:t>
            </w:r>
            <w:r w:rsidRPr="00CF18FC">
              <w:rPr>
                <w:b/>
                <w:i/>
              </w:rPr>
              <w:t>Europaparlamentets och rådets förordning (EU) 2021/784 av den 29 april 2021 om åtgärder mot spridning av terrorisminnehåll online (EUT L 172, 17.5.2021, s. 79, ELI: http://data.europa.eu/eli/reg/2021/784/oj).</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8</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13</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(13)</w:t>
            </w:r>
            <w:r w:rsidRPr="00CF18FC">
              <w:tab/>
              <w:t xml:space="preserve">Medlemsstaternas aktiva engagemang och informationsutbyte med Europol är avgörande för att säkerställa en övergripande och samordnad unionshållning till bekämpningen av migrantsmuggling. För att stärka sin kapacitet bör medlemsstaterna utse specialiserade avdelningar för </w:t>
            </w:r>
            <w:r w:rsidRPr="00CF18FC">
              <w:lastRenderedPageBreak/>
              <w:t>bekämpningen av migrantsmuggling och säkerställa att de har de resurser som behövs för att förebygga och bekämpa migrantsmuggling och kan utbyta information om brottsutredningar med Europol på ett effektivt och ändamålsenligt sätt. För att harmonisera och underlätta informationsutbytet mellan medlemsstaterna och Europol om migrantsmuggling bör medlemsstaterna säkerställa att deras avdelningar som utsetts för bekämpning av migrantsmuggling är direktanslutna till Siena. Detta är i linje med Europaparlamentets och rådets direktiv (EU) 2023/977 av den 10 maj 2023 om informationsutbyte mellan medlemsstaternas brottsbekämpande myndigheter och om upphävande av rådets rambeslut 2006/960/RIF. Medlemsstaternas sambandsmän för invandring som är utstationerade i tredjeländer bör också utbyta information med Europol och för detta syfte vara anslutna till Siena så att det säkerställs att de kan utbyta information som avses i punkt 1 på ett effektivt och ändamålsenligt sätt.</w:t>
            </w:r>
          </w:p>
        </w:tc>
        <w:tc>
          <w:tcPr>
            <w:tcW w:w="4876" w:type="dxa"/>
            <w:hideMark/>
          </w:tcPr>
          <w:p w:rsidR="0018078A" w:rsidRPr="00CF18FC" w:rsidRDefault="00CF18FC">
            <w:pPr>
              <w:pStyle w:val="Normal6"/>
              <w:rPr>
                <w:szCs w:val="24"/>
              </w:rPr>
            </w:pPr>
            <w:r w:rsidRPr="00CF18FC">
              <w:lastRenderedPageBreak/>
              <w:t>(13)</w:t>
            </w:r>
            <w:r w:rsidRPr="00CF18FC">
              <w:tab/>
              <w:t xml:space="preserve">Medlemsstaternas aktiva engagemang och informationsutbyte med Europol är avgörande för att säkerställa en övergripande och samordnad unionshållning till bekämpningen av migrantsmuggling. För att stärka sin kapacitet bör medlemsstaterna utse specialiserade avdelningar för </w:t>
            </w:r>
            <w:r w:rsidRPr="00CF18FC">
              <w:lastRenderedPageBreak/>
              <w:t>bekämpningen av migrantsmuggling och säkerställa att de har de resurser som behövs för att förebygga och bekämpa migrantsmuggling och kan utbyta information om brottsutredningar med Europol på ett effektivt och ändamålsenligt sätt.</w:t>
            </w:r>
            <w:r w:rsidRPr="00CF18FC">
              <w:rPr>
                <w:b/>
                <w:i/>
              </w:rPr>
              <w:t xml:space="preserve"> Medlemsstaterna får utse befintliga avdelningar för detta ändamål.</w:t>
            </w:r>
            <w:r w:rsidRPr="00CF18FC">
              <w:t xml:space="preserve"> För att harmonisera och underlätta informationsutbytet mellan medlemsstaterna och Europol om migrantsmuggling bör medlemsstaterna säkerställa att deras avdelningar som utsetts för bekämpning av migrantsmuggling är direktanslutna till Siena. Detta är i linje med Europaparlamentets och rådets direktiv (EU) 2023/977 av den 10 maj 2023 om informationsutbyte mellan medlemsstaternas brottsbekämpande myndigheter och om upphävande av rådets rambeslut 2006/960/RIF. Medlemsstaternas sambandsmän för invandring som är utstationerade i tredjeländer bör också utbyta information med Europol och för detta syfte vara anslutna till Siena så att det säkerställs att de kan utbyta information som avses i punkt 1 på ett effektivt och ändamålsenligt sätt.</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För att klargöra att inga ytterligare strukturer behöver inrättas om de redan finns.</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9</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14a (nytt)</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(14a)</w:t>
            </w:r>
            <w:r w:rsidRPr="00CF18FC">
              <w:rPr>
                <w:b/>
                <w:i/>
              </w:rPr>
              <w:tab/>
              <w:t xml:space="preserve">En effektiv och ändamålsenlig delning, jämförelse och analys av biometriska uppgifter kommer att göra det </w:t>
            </w:r>
            <w:r w:rsidRPr="00CF18FC">
              <w:rPr>
                <w:b/>
                <w:i/>
              </w:rPr>
              <w:lastRenderedPageBreak/>
              <w:t>lättare att upptäcka identitetsbedrägerier samt förebygga och bekämpa brottslighet. Därför bör det säkerställas att behandling av biometriska uppgifter tydligare ingår i Europols uppgifter i samband med dess stöd till medlemsstaterna.</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10</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15</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(15)</w:t>
            </w:r>
            <w:r w:rsidRPr="00CF18FC">
              <w:tab/>
              <w:t>För att förebygga, upptäcka och utreda gränsöverskridande grov organiserad brottslighet och terrorism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 men även enskilda kriminella aktörer, såsom personer vars brottsliga verksamhet tillhör de former av brottslighet som omfattas av Europols behörighet och vilka utgör en hög säkerhetsrisk. 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w:t>
            </w:r>
            <w:r w:rsidRPr="00CF18FC">
              <w:rPr>
                <w:b/>
                <w:i/>
              </w:rPr>
              <w:t>,</w:t>
            </w:r>
            <w:r w:rsidRPr="00CF18FC">
              <w:t xml:space="preserve"> </w:t>
            </w:r>
            <w:r w:rsidRPr="00CF18FC">
              <w:lastRenderedPageBreak/>
              <w:t xml:space="preserve">och Europol bör </w:t>
            </w:r>
            <w:r w:rsidRPr="00CF18FC">
              <w:rPr>
                <w:b/>
                <w:i/>
              </w:rPr>
              <w:t>kunna</w:t>
            </w:r>
            <w:r w:rsidRPr="00CF18FC">
              <w:t xml:space="preserve"> göra sitt avancerade analytiska, operativa, tekniska, kriminaltekniska och ekonomiska stöd tillgängligt för dessa medlemsstater. Tredjeländer bör kunna delta i eller stödja en operativ arbetsgrupp.</w:t>
            </w:r>
          </w:p>
        </w:tc>
        <w:tc>
          <w:tcPr>
            <w:tcW w:w="4876" w:type="dxa"/>
            <w:hideMark/>
          </w:tcPr>
          <w:p w:rsidR="0018078A" w:rsidRPr="00CF18FC" w:rsidRDefault="00CF18FC" w:rsidP="00440502">
            <w:pPr>
              <w:pStyle w:val="Normal6"/>
              <w:rPr>
                <w:szCs w:val="24"/>
              </w:rPr>
            </w:pPr>
            <w:r w:rsidRPr="00CF18FC">
              <w:lastRenderedPageBreak/>
              <w:t>(15)</w:t>
            </w:r>
            <w:r w:rsidRPr="00CF18FC">
              <w:tab/>
              <w:t xml:space="preserve">För att förebygga, upptäcka och utreda gränsöverskridande grov organiserad brottslighet och terrorism krävs samordning och gemensamma åtgärder. Utöver medlemsstaternas möjlighet att inrätta en gemensam utredningsgrupp i enlighet med rådets rambeslut av den 13 juni 2002 bör medlemsstaterna kunna inrätta en operativ arbetsgrupp för att stärka det brottsbekämpande samarbetet med stöd av Europol. Denna mekanism för samordning mellan medlemsstaternas polismyndigheter och andra brottsbekämpande organ bör, med Europols stöd, göra det möjligt för dem att göra gemensamma, samordnade och prioriterade kriminalunderrättelseinsatser och utredningar när det gäller kriminella nätverk och kriminella grupper men även enskilda kriminella aktörer, såsom personer vars brottsliga verksamhet tillhör de former av brottslighet som omfattas av Europols behörighet och vilka utgör en hög säkerhetsrisk. </w:t>
            </w:r>
            <w:r w:rsidRPr="00CF18FC">
              <w:rPr>
                <w:b/>
                <w:i/>
              </w:rPr>
              <w:t xml:space="preserve">Det är viktigt att säkerställa att den operativa arbetsgruppen är en flexibel och effektiv operativ mekanism. Därför bör utförliga bestämmelser om deras genomförande antas av styrelsen efter ett förslag från den verkställande direktören. Dessa operativa arbetsgrupper </w:t>
            </w:r>
            <w:r w:rsidRPr="00CF18FC">
              <w:rPr>
                <w:b/>
                <w:i/>
              </w:rPr>
              <w:lastRenderedPageBreak/>
              <w:t>kan ta initiativ till vissa särskilda kriminalunderrättelser och brottsutredningar, eller parallella ekonomiska utredningar, i enlighet med nationell rätt och unionsrätten, för att identifiera och beslagta tillgångar som härrör från brott.</w:t>
            </w:r>
            <w:r w:rsidRPr="00CF18FC">
              <w:t xml:space="preserve"> För att säkerställa att mekanismen fungerar väl och effektivt bör medlemsstater som inrättar, deltar i eller stöder en operativ arbetsgrupp kunna tillgodose en minimiuppsättning krav för deras aktiva deltagande i rätt tid, såsom att lämna all relevant information till Europol och </w:t>
            </w:r>
            <w:r w:rsidRPr="00CF18FC">
              <w:rPr>
                <w:b/>
                <w:i/>
              </w:rPr>
              <w:t>andra deltagande medlemsstater.</w:t>
            </w:r>
            <w:r w:rsidRPr="00CF18FC">
              <w:t xml:space="preserve"> Europol bör göra sitt avancerade analytiska, operativa, tekniska, kriminaltekniska och ekonomiska stöd tillgängligt för dessa medlemsstater. Tredjeländer bör kunna delta i eller stödja en operativ arbetsgrupp.</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11</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17</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(17)</w:t>
            </w:r>
            <w:r w:rsidRPr="00CF18FC">
              <w:tab/>
              <w:t xml:space="preserve">Europol bör på en medlemsstats begäran kunna utplacera personal, även utstationerade nationella experter i enlighet med förordning (EU) 2016/794, på den medlemsstatens territorium för att tillhandahålla analytiskt, operativt, tekniskt och kriminaltekniskt stöd i samverkan och samförstånd med medlemsstatens behöriga myndigheter. Dessa utplaceringar bör särskilt ske i samband med komplexa, storskaliga och uppmärksammade utredningar, även inom ramen för gemensamma utredningsgrupper, i samverkan med Eurojust när så är lämpligt, eller operativa arbetsgrupper. Dessa utplaceringar bör också stödja ytterligare säkerhetskontroller mot Europoldatabaser </w:t>
            </w:r>
            <w:r w:rsidRPr="00CF18FC">
              <w:lastRenderedPageBreak/>
              <w:t>eller nationella databaser för att underlätta snabbt informationsutbyte i syfte att stärka kontrollerna av unionens yttre gränser (sekundära säkerhetskontroller) eller stödenheter för migrationshantering i enlighet med Europaparlamentets och rådets förordning (EU) 2019/1896</w:t>
            </w:r>
            <w:r w:rsidRPr="00CF18FC">
              <w:rPr>
                <w:vertAlign w:val="superscript"/>
              </w:rPr>
              <w:t>2</w:t>
            </w:r>
            <w:r w:rsidRPr="00CF18FC">
              <w:t>. Europol bör också utnyttja dessa utplaceringar för att stödja medlemsstaterna i samband med större internationella evenemang.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c>
          <w:tcPr>
            <w:tcW w:w="4876" w:type="dxa"/>
            <w:hideMark/>
          </w:tcPr>
          <w:p w:rsidR="0018078A" w:rsidRPr="00CF18FC" w:rsidRDefault="00CF18FC">
            <w:pPr>
              <w:pStyle w:val="Normal6"/>
              <w:rPr>
                <w:szCs w:val="24"/>
              </w:rPr>
            </w:pPr>
            <w:r w:rsidRPr="00CF18FC">
              <w:lastRenderedPageBreak/>
              <w:t>(17)</w:t>
            </w:r>
            <w:r w:rsidRPr="00CF18FC">
              <w:tab/>
              <w:t>Europol bör på en medlemsstats</w:t>
            </w:r>
            <w:r w:rsidRPr="00CF18FC">
              <w:rPr>
                <w:b/>
                <w:i/>
              </w:rPr>
              <w:t xml:space="preserve"> eller ett tredjelands</w:t>
            </w:r>
            <w:r w:rsidRPr="00CF18FC">
              <w:t xml:space="preserve"> begäran kunna utplacera personal, även utstationerade nationella experter i enlighet med förordning (EU) 2016/794, på den medlemsstatens</w:t>
            </w:r>
            <w:r w:rsidRPr="00CF18FC">
              <w:rPr>
                <w:b/>
                <w:i/>
              </w:rPr>
              <w:t xml:space="preserve"> eller det tredjelandets</w:t>
            </w:r>
            <w:r w:rsidRPr="00CF18FC">
              <w:t xml:space="preserve"> territorium för att tillhandahålla analytiskt, operativt, tekniskt och kriminaltekniskt stöd i samverkan och samförstånd med medlemsstatens </w:t>
            </w:r>
            <w:r w:rsidRPr="00CF18FC">
              <w:rPr>
                <w:b/>
                <w:i/>
              </w:rPr>
              <w:t>eller tredjelandets</w:t>
            </w:r>
            <w:r w:rsidRPr="00CF18FC">
              <w:t xml:space="preserve"> behöriga myndigheter. Dessa utplaceringar bör </w:t>
            </w:r>
            <w:r w:rsidRPr="00CF18FC">
              <w:rPr>
                <w:b/>
                <w:i/>
              </w:rPr>
              <w:t>fortsatt vara ett flexibelt verktyg och</w:t>
            </w:r>
            <w:r w:rsidRPr="00CF18FC">
              <w:t xml:space="preserve"> särskilt ske i samband med komplexa, storskaliga och uppmärksammade utredningar, även inom ramen för gemensamma utredningsgrupper, i samverkan med Eurojust när så är lämpligt, </w:t>
            </w:r>
            <w:r w:rsidRPr="00CF18FC">
              <w:lastRenderedPageBreak/>
              <w:t>eller operativa arbetsgrupper. Dessa utplaceringar bör också stödja ytterligare säkerhetskontroller mot Europoldatabaser eller nationella databaser för att underlätta snabbt informationsutbyte i syfte att stärka kontrollerna av unionens yttre gränser (sekundära säkerhetskontroller) eller stödenheter för migrationshantering i enlighet med Europaparlamentets och rådets förordning (EU) 2019/1896</w:t>
            </w:r>
            <w:r w:rsidRPr="00CF18FC">
              <w:rPr>
                <w:vertAlign w:val="superscript"/>
              </w:rPr>
              <w:t>2</w:t>
            </w:r>
            <w:r w:rsidRPr="00CF18FC">
              <w:t>. Europol bör också utnyttja dessa utplaceringar för att stödja medlemsstaterna i samband med större internationella evenemang. Europol bör också kunna utplacera personal och utstationerade nationella experter i tredjeländer med vilka byrån samarbetar på grundval av ett beslut om adekvat skyddsnivå, ett internationellt avtal som ingåtts mellan unionen och det tredjelandet i enlighet med artikel 218 i EUF-fördraget eller ett samarbetsavtal som ingåtts mellan Europol och det tredjelandet före den 1 maj 2017.</w:t>
            </w:r>
          </w:p>
        </w:tc>
      </w:tr>
      <w:tr w:rsidR="00CF18FC" w:rsidRPr="00CF18FC" w:rsidTr="0018078A">
        <w:trPr>
          <w:jc w:val="center"/>
        </w:trPr>
        <w:tc>
          <w:tcPr>
            <w:tcW w:w="4876" w:type="dxa"/>
            <w:hideMark/>
          </w:tcPr>
          <w:p w:rsidR="0018078A" w:rsidRPr="00CF18FC" w:rsidRDefault="00CF18FC">
            <w:pPr>
              <w:pStyle w:val="Normal6"/>
            </w:pPr>
            <w:r w:rsidRPr="00CF18FC">
              <w:t>__________________</w:t>
            </w:r>
          </w:p>
        </w:tc>
        <w:tc>
          <w:tcPr>
            <w:tcW w:w="4876" w:type="dxa"/>
            <w:hideMark/>
          </w:tcPr>
          <w:p w:rsidR="0018078A" w:rsidRPr="00CF18FC" w:rsidRDefault="00CF18FC">
            <w:pPr>
              <w:pStyle w:val="Normal6"/>
              <w:rPr>
                <w:szCs w:val="24"/>
              </w:rPr>
            </w:pPr>
            <w:r w:rsidRPr="00CF18FC">
              <w:t>__________________</w:t>
            </w:r>
          </w:p>
        </w:tc>
      </w:tr>
      <w:tr w:rsidR="00CF18FC" w:rsidRPr="00CF18FC" w:rsidTr="0018078A">
        <w:trPr>
          <w:jc w:val="center"/>
        </w:trPr>
        <w:tc>
          <w:tcPr>
            <w:tcW w:w="4876" w:type="dxa"/>
            <w:hideMark/>
          </w:tcPr>
          <w:p w:rsidR="0018078A" w:rsidRPr="00CF18FC" w:rsidRDefault="00CF18FC">
            <w:pPr>
              <w:pStyle w:val="Normal6"/>
            </w:pPr>
            <w:r w:rsidRPr="00CF18FC">
              <w:rPr>
                <w:vertAlign w:val="superscript"/>
              </w:rPr>
              <w:t>2</w:t>
            </w:r>
            <w:r w:rsidRPr="00CF18FC">
              <w:t xml:space="preserve"> Europaparlamentets och rådets förordning (EU) 2019/1896 av den 13 november 2019 om den europeiska gräns- och kustbevakningen och om upphävande av förordningarna (EU) nr 1052/2013 och (EU) 2016/1624 (EUT L 295, 14.11.2019, s. 1, ELI: http://data.europa.eu/eli/reg/2019/1896/oj).</w:t>
            </w:r>
          </w:p>
        </w:tc>
        <w:tc>
          <w:tcPr>
            <w:tcW w:w="4876" w:type="dxa"/>
            <w:hideMark/>
          </w:tcPr>
          <w:p w:rsidR="0018078A" w:rsidRPr="00CF18FC" w:rsidRDefault="00CF18FC">
            <w:pPr>
              <w:pStyle w:val="Normal6"/>
              <w:rPr>
                <w:szCs w:val="24"/>
              </w:rPr>
            </w:pPr>
            <w:r w:rsidRPr="00CF18FC">
              <w:rPr>
                <w:vertAlign w:val="superscript"/>
              </w:rPr>
              <w:t>2</w:t>
            </w:r>
            <w:r w:rsidRPr="00CF18FC">
              <w:t xml:space="preserve"> Europaparlamentets och rådets förordning (EU) 2019/1896 av den 13 november 2019 om den europeiska gräns- och kustbevakningen och om upphävande av förordningarna (EU) nr 1052/2013 och (EU) 2016/1624 (EUT L 295, 14.11.2019, s. 1, ELI: http://data.europa.eu/eli/reg/2019/1896/oj).</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12</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19</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(19)</w:t>
            </w:r>
            <w:r w:rsidRPr="00CF18FC">
              <w:tab/>
              <w:t xml:space="preserve">Dessutom bör Europol inom ramen för sina utplaceringar för operativt stöd inrätta en reserv av medlemsstaternas högt </w:t>
            </w:r>
            <w:r w:rsidRPr="00CF18FC">
              <w:lastRenderedPageBreak/>
              <w:t xml:space="preserve">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säkerställa att deras experter är tillgängliga för att som utstationerade nationella experter delta i utplaceringar från Europol för operativt stöd, på begäran av Europol. </w:t>
            </w:r>
            <w:r w:rsidRPr="00CF18FC">
              <w:rPr>
                <w:b/>
                <w:i/>
              </w:rPr>
              <w:t>Denna skyldighet</w:t>
            </w:r>
            <w:r w:rsidRPr="00CF18FC">
              <w:t xml:space="preserve"> bör inte gälla för tredjeländer där Europol utplacerar personal och utstationerade nationella experter för operativt stöd.</w:t>
            </w:r>
          </w:p>
        </w:tc>
        <w:tc>
          <w:tcPr>
            <w:tcW w:w="4876" w:type="dxa"/>
            <w:hideMark/>
          </w:tcPr>
          <w:p w:rsidR="0018078A" w:rsidRPr="00CF18FC" w:rsidRDefault="00CF18FC">
            <w:pPr>
              <w:pStyle w:val="Normal6"/>
              <w:rPr>
                <w:szCs w:val="24"/>
              </w:rPr>
            </w:pPr>
            <w:r w:rsidRPr="00CF18FC">
              <w:lastRenderedPageBreak/>
              <w:t>(19)</w:t>
            </w:r>
            <w:r w:rsidRPr="00CF18FC">
              <w:tab/>
              <w:t xml:space="preserve">Dessutom bör Europol inom ramen för sina utplaceringar för operativt stöd inrätta en reserv av medlemsstaternas högt </w:t>
            </w:r>
            <w:r w:rsidRPr="00CF18FC">
              <w:lastRenderedPageBreak/>
              <w:t xml:space="preserve">kvalificerade experter på brottsbekämpning med specialiserade profiler som kan ställas till Europols omedelbara förfogande för operativ utplacering för att tillhandahålla specialiserat stöd. Reserven av experter bör omfatta specialister på brottsanalys, kriminalteknik, utredning, språk och samordning. Medlemsstaterna bör </w:t>
            </w:r>
            <w:r w:rsidRPr="00CF18FC">
              <w:rPr>
                <w:b/>
                <w:i/>
              </w:rPr>
              <w:t>därför</w:t>
            </w:r>
            <w:r w:rsidRPr="00CF18FC">
              <w:t xml:space="preserve"> säkerställa att deras experter är tillgängliga för att som utstationerade nationella experter delta i utplaceringar från Europol för operativt stöd, på begäran av Europol</w:t>
            </w:r>
            <w:r w:rsidRPr="00CF18FC">
              <w:rPr>
                <w:b/>
                <w:i/>
              </w:rPr>
              <w:t>, samtidigt som hänsyn tas till de tillgängliga resurserna hos medlemsstaternas behöriga myndigheter</w:t>
            </w:r>
            <w:r w:rsidRPr="00CF18FC">
              <w:t xml:space="preserve">. </w:t>
            </w:r>
            <w:r w:rsidRPr="00CF18FC">
              <w:rPr>
                <w:b/>
                <w:i/>
              </w:rPr>
              <w:t>För att få till stånd en geografiskt balanserad och proportionell sammansättning av reserven bör medlemsstaterna också säkerställa att deras behöriga myndigheter har tillräckliga resurser för att bidra med sin skäliga andel av bidragen till reserven, i proportion till deras kapacitet och operativa behov. Dessa skyldigheter</w:t>
            </w:r>
            <w:r w:rsidRPr="00CF18FC">
              <w:t xml:space="preserve"> bör inte gälla för tredjeländer där Europol utplacerar personal och utstationerade nationella experter för operativt stöd.</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13</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19a (nytt)</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(19a)</w:t>
            </w:r>
            <w:r w:rsidRPr="00CF18FC">
              <w:rPr>
                <w:b/>
                <w:i/>
              </w:rPr>
              <w:tab/>
              <w:t xml:space="preserve">Som en del av sina uppgifter kan Europol stödja och stärka åtgärder som vidtas av medlemsstaternas behöriga myndigheter. Sådant stöd omfattar samordning, organisation och genomförande av utredningsåtgärder och operativa åtgärder, operativ analys samt annat analytiskt, kriminaltekniskt eller tekniskt stöd. Om det krävs för nationella straffrättsliga förfaranden och tillåts </w:t>
            </w:r>
            <w:r w:rsidRPr="00CF18FC">
              <w:rPr>
                <w:b/>
                <w:i/>
              </w:rPr>
              <w:lastRenderedPageBreak/>
              <w:t>enligt nationell rätt bör Europols personal kunna kallas som vittnen för att avlägga vittnesmål i sådana förfaranden, i enlighet med protokoll nr 7 om Europeiska unionens immunitet och privilegier samt med den diskretions- och tystnadsplikt som åläggs Europols personal enligt tjänsteföreskrifterna för tjänstemän i Europeiska unionen (tjänsteföreskrifterna) och anställningsvillkoren för övriga anställda i Europeiska unionen (anställningsvillkoren för övriga anställda), som fastställs i rådets förordning (EEG, Euratom, EKSG) nr 259/68</w:t>
            </w:r>
            <w:r w:rsidRPr="00CF18FC">
              <w:rPr>
                <w:b/>
                <w:i/>
                <w:vertAlign w:val="superscript"/>
              </w:rPr>
              <w:t>1a</w:t>
            </w:r>
            <w:r w:rsidRPr="00CF18FC">
              <w:rPr>
                <w:b/>
                <w:i/>
              </w:rPr>
              <w:t>.</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__________________</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vertAlign w:val="superscript"/>
              </w:rPr>
              <w:t>1a</w:t>
            </w:r>
            <w:r w:rsidRPr="00CF18FC">
              <w:t xml:space="preserve"> </w:t>
            </w:r>
            <w:r w:rsidRPr="00CF18FC">
              <w:rPr>
                <w:b/>
                <w:i/>
              </w:rPr>
              <w:t>EGT L 56, 4.3.1968, s. 1, ELI: https://eur-lex.europa.eu/eli/reg/1968/259(1)/oj?locale=sv</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14</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19b (nytt)</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(19b)</w:t>
            </w:r>
            <w:r w:rsidRPr="00CF18FC">
              <w:rPr>
                <w:b/>
                <w:i/>
              </w:rPr>
              <w:tab/>
              <w:t>Europol omfattas av de allmänna regler om inom- och utomobligatoriskt ansvar som är tillämpliga på unionens institutioner, byråer, kontor och organ. Europol bör också omfattas av ansvar för obehörig eller felaktig behandling av uppgifter.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Harmoniserar tillämpliga ansvarsregler med andra EU-byråer, t.ex. Eurojust.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lastRenderedPageBreak/>
        <w:t>&lt;Amend&gt;</w:t>
      </w:r>
      <w:r w:rsidRPr="00CF18FC">
        <w:t>Ändringsförslag</w:t>
      </w:r>
      <w:r w:rsidRPr="00CF18FC">
        <w:tab/>
      </w:r>
      <w:r w:rsidRPr="00CF18FC">
        <w:tab/>
      </w:r>
      <w:r w:rsidRPr="00CF18FC">
        <w:rPr>
          <w:rStyle w:val="HideTWBExt"/>
          <w:b w:val="0"/>
          <w:color w:val="auto"/>
        </w:rPr>
        <w:t>&lt;NumAm&gt;</w:t>
      </w:r>
      <w:r w:rsidRPr="00CF18FC">
        <w:t>15</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19c (nytt)</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(19c)</w:t>
            </w:r>
            <w:r w:rsidRPr="00CF18FC">
              <w:rPr>
                <w:b/>
                <w:i/>
              </w:rPr>
              <w:tab/>
              <w:t>Med hänvisning till skäl 59 i förordning (EU) 2016/794 bör rotationsprincipen kodifieras med en högsta avtalstid på tio år för visstidsanställning under den totala tjänstgöringstiden vid Europol, oberoende av hur många avtal som ingåtts för sådana tjänster i tjänsteförteckningen som endast kan tillsättas av personal från medlemsstaternas behöriga myndigheter. Denna kodifiering kommer att skapa social trygghet för de anställda genom att de får möjlighet att behålla en minimumpensionsrätt som en följd av deras tjänstgöring vid Europol och underlätta deras återintegrering i tjänstgöring på nationell nivå. Motsvarande övergångsbestämmelser kommer att göra det möjligt att förlänga avtal till den högsta avtalstiden på tio år när det gäller visstidsanställningar för personal som är inne på sitt nionde tjänstgöringsår vid Europol och där avtalen ingåtts innan denna förordning trädde i kraft.</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16</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22</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rPr>
                <w:b/>
                <w:i/>
              </w:rPr>
              <w:t>(22)</w:t>
            </w:r>
            <w:r w:rsidRPr="00CF18FC">
              <w:rPr>
                <w:b/>
                <w:i/>
              </w:rPr>
              <w:tab/>
              <w:t xml:space="preserve">I enlighet med artiklarna 1 och 2 i protokoll nr 21 om Förenade kungarikets och Irlands ställning med avseende på området med frihet, säkerhet och rättvisa, fogat till fördraget om Europeiska </w:t>
            </w:r>
            <w:r w:rsidRPr="00CF18FC">
              <w:rPr>
                <w:b/>
                <w:i/>
              </w:rPr>
              <w:lastRenderedPageBreak/>
              <w:t>unionen och fördraget om Europeiska unionens funktionssätt, och utan att det påverkar tillämpningen av artikel 4 i det protokollet, deltar Irland inte i antagandet av detta beslut, som inte är bindande för eller tillämpligt på Irland.</w:t>
            </w:r>
          </w:p>
        </w:tc>
        <w:tc>
          <w:tcPr>
            <w:tcW w:w="4876" w:type="dxa"/>
            <w:hideMark/>
          </w:tcPr>
          <w:p w:rsidR="0018078A" w:rsidRPr="00CF18FC" w:rsidRDefault="00CF18FC">
            <w:pPr>
              <w:pStyle w:val="Normal6"/>
              <w:rPr>
                <w:szCs w:val="24"/>
              </w:rPr>
            </w:pPr>
            <w:r w:rsidRPr="00CF18FC">
              <w:rPr>
                <w:b/>
                <w:i/>
              </w:rPr>
              <w:lastRenderedPageBreak/>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Texten utgår i enlighet med Irlands tillkännagivna avsikt att delta i denna förordning.</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17</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Skäl 24</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(24)</w:t>
            </w:r>
            <w:r w:rsidRPr="00CF18FC">
              <w:tab/>
              <w:t>[Europeiska datatillsynsmannen har hörts i enlighet med artikel 42.1 i Europaparlamentets och rådets förordning (EU) 2018/1725</w:t>
            </w:r>
            <w:r w:rsidRPr="00CF18FC">
              <w:rPr>
                <w:vertAlign w:val="superscript"/>
              </w:rPr>
              <w:t>3</w:t>
            </w:r>
            <w:r w:rsidRPr="00CF18FC">
              <w:t xml:space="preserve"> och avgav ett yttrande den </w:t>
            </w:r>
            <w:r w:rsidRPr="00CF18FC">
              <w:rPr>
                <w:b/>
                <w:i/>
              </w:rPr>
              <w:t>[…]</w:t>
            </w:r>
            <w:r w:rsidRPr="00CF18FC">
              <w:rPr>
                <w:b/>
                <w:i/>
                <w:vertAlign w:val="superscript"/>
              </w:rPr>
              <w:t>4</w:t>
            </w:r>
            <w:r w:rsidRPr="00CF18FC">
              <w:t>.</w:t>
            </w:r>
          </w:p>
        </w:tc>
        <w:tc>
          <w:tcPr>
            <w:tcW w:w="4876" w:type="dxa"/>
            <w:hideMark/>
          </w:tcPr>
          <w:p w:rsidR="0018078A" w:rsidRPr="00CF18FC" w:rsidRDefault="00CF18FC" w:rsidP="00622FCA">
            <w:pPr>
              <w:pStyle w:val="Normal6"/>
              <w:rPr>
                <w:szCs w:val="24"/>
              </w:rPr>
            </w:pPr>
            <w:r w:rsidRPr="00CF18FC">
              <w:t>(24)</w:t>
            </w:r>
            <w:r w:rsidRPr="00CF18FC">
              <w:tab/>
              <w:t>[Europeiska datatillsynsmannen har hörts i enlighet med artikel 42.1 i Europaparlamentets och rådets förordning (EU) 2018/1725</w:t>
            </w:r>
            <w:r w:rsidRPr="00CF18FC">
              <w:rPr>
                <w:vertAlign w:val="superscript"/>
              </w:rPr>
              <w:t>3</w:t>
            </w:r>
            <w:r w:rsidRPr="00CF18FC">
              <w:t xml:space="preserve"> och avgav ett yttrande den </w:t>
            </w:r>
            <w:r w:rsidRPr="00CF18FC">
              <w:rPr>
                <w:b/>
                <w:i/>
              </w:rPr>
              <w:t>23 januari 2024</w:t>
            </w:r>
            <w:r w:rsidRPr="00CF18FC">
              <w:rPr>
                <w:b/>
                <w:i/>
                <w:vertAlign w:val="superscript"/>
              </w:rPr>
              <w:t>4</w:t>
            </w:r>
            <w:r w:rsidRPr="00CF18FC">
              <w:t>.</w:t>
            </w:r>
          </w:p>
        </w:tc>
      </w:tr>
      <w:tr w:rsidR="00CF18FC" w:rsidRPr="00CF18FC" w:rsidTr="0018078A">
        <w:trPr>
          <w:jc w:val="center"/>
        </w:trPr>
        <w:tc>
          <w:tcPr>
            <w:tcW w:w="4876" w:type="dxa"/>
            <w:hideMark/>
          </w:tcPr>
          <w:p w:rsidR="0018078A" w:rsidRPr="00CF18FC" w:rsidRDefault="00CF18FC">
            <w:pPr>
              <w:pStyle w:val="Normal6"/>
            </w:pPr>
            <w:r w:rsidRPr="00CF18FC">
              <w:t>__________________</w:t>
            </w:r>
          </w:p>
        </w:tc>
        <w:tc>
          <w:tcPr>
            <w:tcW w:w="4876" w:type="dxa"/>
            <w:hideMark/>
          </w:tcPr>
          <w:p w:rsidR="0018078A" w:rsidRPr="00CF18FC" w:rsidRDefault="00CF18FC">
            <w:pPr>
              <w:pStyle w:val="Normal6"/>
              <w:rPr>
                <w:szCs w:val="24"/>
              </w:rPr>
            </w:pPr>
            <w:r w:rsidRPr="00CF18FC">
              <w:t>__________________</w:t>
            </w:r>
          </w:p>
        </w:tc>
      </w:tr>
      <w:tr w:rsidR="00CF18FC" w:rsidRPr="00CF18FC" w:rsidTr="0018078A">
        <w:trPr>
          <w:jc w:val="center"/>
        </w:trPr>
        <w:tc>
          <w:tcPr>
            <w:tcW w:w="4876" w:type="dxa"/>
            <w:hideMark/>
          </w:tcPr>
          <w:p w:rsidR="0018078A" w:rsidRPr="00CF18FC" w:rsidRDefault="00CF18FC">
            <w:pPr>
              <w:pStyle w:val="Normal6"/>
            </w:pPr>
            <w:r w:rsidRPr="00CF18FC">
              <w:rPr>
                <w:vertAlign w:val="superscript"/>
              </w:rPr>
              <w:t>3</w:t>
            </w:r>
            <w:r w:rsidRPr="00CF18FC">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http://data.europa.eu/eli/reg/2018/1725/oj).</w:t>
            </w:r>
          </w:p>
        </w:tc>
        <w:tc>
          <w:tcPr>
            <w:tcW w:w="4876" w:type="dxa"/>
            <w:hideMark/>
          </w:tcPr>
          <w:p w:rsidR="0018078A" w:rsidRPr="00CF18FC" w:rsidRDefault="00CF18FC">
            <w:pPr>
              <w:pStyle w:val="Normal6"/>
              <w:rPr>
                <w:szCs w:val="24"/>
              </w:rPr>
            </w:pPr>
            <w:r w:rsidRPr="00CF18FC">
              <w:rPr>
                <w:vertAlign w:val="superscript"/>
              </w:rPr>
              <w:t>3</w:t>
            </w:r>
            <w:r w:rsidRPr="00CF18FC">
              <w:t xml:space="preserve">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 ELI: http://data.europa.eu/eli/reg/2018/1725/oj).</w:t>
            </w:r>
          </w:p>
        </w:tc>
      </w:tr>
      <w:tr w:rsidR="00CF18FC" w:rsidRPr="00CF18FC" w:rsidTr="0018078A">
        <w:trPr>
          <w:jc w:val="center"/>
        </w:trPr>
        <w:tc>
          <w:tcPr>
            <w:tcW w:w="4876" w:type="dxa"/>
            <w:hideMark/>
          </w:tcPr>
          <w:p w:rsidR="0018078A" w:rsidRPr="00CF18FC" w:rsidRDefault="00CF18FC">
            <w:pPr>
              <w:pStyle w:val="Normal6"/>
            </w:pPr>
            <w:r w:rsidRPr="00CF18FC">
              <w:rPr>
                <w:vertAlign w:val="superscript"/>
              </w:rPr>
              <w:t>4</w:t>
            </w:r>
            <w:r w:rsidRPr="00CF18FC">
              <w:t xml:space="preserve"> </w:t>
            </w:r>
            <w:r w:rsidRPr="00CF18FC">
              <w:rPr>
                <w:b/>
                <w:i/>
              </w:rPr>
              <w:t>EUT C …</w:t>
            </w:r>
          </w:p>
        </w:tc>
        <w:tc>
          <w:tcPr>
            <w:tcW w:w="4876" w:type="dxa"/>
            <w:hideMark/>
          </w:tcPr>
          <w:p w:rsidR="0018078A" w:rsidRPr="00CF18FC" w:rsidRDefault="00CF18FC">
            <w:pPr>
              <w:pStyle w:val="Normal6"/>
              <w:rPr>
                <w:szCs w:val="24"/>
              </w:rPr>
            </w:pPr>
            <w:r w:rsidRPr="00CF18FC">
              <w:rPr>
                <w:vertAlign w:val="superscript"/>
              </w:rPr>
              <w:t>4</w:t>
            </w:r>
            <w:r w:rsidRPr="00CF18FC">
              <w:t xml:space="preserve"> </w:t>
            </w:r>
            <w:r w:rsidRPr="00CF18FC">
              <w:rPr>
                <w:b/>
                <w:i/>
              </w:rPr>
              <w:t>Europeiska datatillsynsmannens yttrande 4/2024, https://www.edps.europa.eu/system/files/2024-01/2023-1247_d0187_opinion_en.pdf</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lastRenderedPageBreak/>
        <w:t>&lt;Amend&gt;</w:t>
      </w:r>
      <w:r w:rsidRPr="00CF18FC">
        <w:t>Ändringsförslag</w:t>
      </w:r>
      <w:r w:rsidRPr="00CF18FC">
        <w:tab/>
      </w:r>
      <w:r w:rsidRPr="00CF18FC">
        <w:tab/>
      </w:r>
      <w:r w:rsidRPr="00CF18FC">
        <w:rPr>
          <w:rStyle w:val="HideTWBExt"/>
          <w:b w:val="0"/>
          <w:color w:val="auto"/>
        </w:rPr>
        <w:t>&lt;NumAm&gt;</w:t>
      </w:r>
      <w:r w:rsidRPr="00CF18FC">
        <w:t>18</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Kapitel I</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756434" w:rsidRPr="00CF18FC" w:rsidRDefault="00CF18FC">
            <w:pPr>
              <w:pStyle w:val="Normal6"/>
              <w:rPr>
                <w:b/>
                <w:i/>
              </w:rPr>
            </w:pPr>
            <w:r w:rsidRPr="00CF18FC">
              <w:rPr>
                <w:b/>
                <w:i/>
              </w:rPr>
              <w:t>Kapitel I</w:t>
            </w:r>
          </w:p>
        </w:tc>
        <w:tc>
          <w:tcPr>
            <w:tcW w:w="4876" w:type="dxa"/>
          </w:tcPr>
          <w:p w:rsidR="00756434" w:rsidRPr="00CF18FC" w:rsidRDefault="00CF18FC">
            <w:pPr>
              <w:pStyle w:val="Normal6"/>
              <w:rPr>
                <w:b/>
                <w:i/>
              </w:rPr>
            </w:pPr>
            <w:r w:rsidRPr="00CF18FC">
              <w:rPr>
                <w:b/>
                <w:i/>
              </w:rPr>
              <w:t>utgår</w:t>
            </w:r>
          </w:p>
        </w:tc>
      </w:tr>
      <w:tr w:rsidR="00CF18FC" w:rsidRPr="00CF18FC" w:rsidTr="0018078A">
        <w:trPr>
          <w:jc w:val="center"/>
        </w:trPr>
        <w:tc>
          <w:tcPr>
            <w:tcW w:w="4876" w:type="dxa"/>
            <w:hideMark/>
          </w:tcPr>
          <w:p w:rsidR="0018078A" w:rsidRPr="00CF18FC" w:rsidRDefault="00CF18FC">
            <w:pPr>
              <w:pStyle w:val="Normal6"/>
            </w:pPr>
            <w:r w:rsidRPr="00CF18FC">
              <w:rPr>
                <w:b/>
                <w:i/>
              </w:rPr>
              <w:t>ALLMÄNNA BESTÄMMELSER</w:t>
            </w:r>
          </w:p>
        </w:tc>
        <w:tc>
          <w:tcPr>
            <w:tcW w:w="4876" w:type="dxa"/>
            <w:hideMark/>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rsidP="00756434">
            <w:pPr>
              <w:pStyle w:val="Normal6"/>
            </w:pPr>
            <w:r w:rsidRPr="00CF18FC">
              <w:rPr>
                <w:b/>
                <w:i/>
              </w:rPr>
              <w:t>Artikel 1</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tcPr>
          <w:p w:rsidR="00756434" w:rsidRPr="00CF18FC" w:rsidRDefault="00CF18FC">
            <w:pPr>
              <w:pStyle w:val="Normal6"/>
              <w:rPr>
                <w:b/>
                <w:i/>
              </w:rPr>
            </w:pPr>
            <w:r w:rsidRPr="00CF18FC">
              <w:rPr>
                <w:b/>
                <w:i/>
              </w:rPr>
              <w:t>Innehåll och tillämpningsområde</w:t>
            </w:r>
          </w:p>
        </w:tc>
        <w:tc>
          <w:tcPr>
            <w:tcW w:w="4876" w:type="dxa"/>
          </w:tcPr>
          <w:p w:rsidR="00756434" w:rsidRPr="00CF18FC" w:rsidRDefault="00756434">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I denna förordning fastställs regler för att förstärka polissamarbetet och stödet från Europeiska unionens byrå för samarbete inom brottsbekämpning (Europol) när det gäller att förebygga och bekämpa migrantsmuggling och människohandel genom att</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a)</w:t>
            </w:r>
            <w:r w:rsidRPr="00CF18FC">
              <w:rPr>
                <w:b/>
                <w:i/>
              </w:rPr>
              <w:tab/>
              <w:t>inrätta ett europeiskt centrum mot migrantsmuggling inom Europol och en styrningsram för att reglera och stödja dess verksamhet,</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b)</w:t>
            </w:r>
            <w:r w:rsidRPr="00CF18FC">
              <w:rPr>
                <w:b/>
                <w:i/>
              </w:rPr>
              <w:tab/>
              <w:t>öka samarbetet och samordningen mellan medlemsstaterna, Europol och andra unionsbyråer,</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c)</w:t>
            </w:r>
            <w:r w:rsidRPr="00CF18FC">
              <w:rPr>
                <w:b/>
                <w:i/>
              </w:rPr>
              <w:tab/>
              <w:t>stärka informationsutbytet mellan medlemsstaterna och med Europol,</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d)</w:t>
            </w:r>
            <w:r w:rsidRPr="00CF18FC">
              <w:rPr>
                <w:b/>
                <w:i/>
              </w:rPr>
              <w:tab/>
              <w:t>ge Europol de verktyg som krävs för att stödja och stärka medlemsstaternas behöriga myndigheters åtgärder och deras ömsesidiga samarbete för att förebygga och bekämpa brott som omfattas av Europols mål,</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e)</w:t>
            </w:r>
            <w:r w:rsidRPr="00CF18FC">
              <w:rPr>
                <w:b/>
                <w:i/>
              </w:rPr>
              <w:tab/>
              <w:t>förstärka samarbetet mellan Europol och tredjeländer.</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rsidP="00756434">
            <w:pPr>
              <w:pStyle w:val="Normal6"/>
            </w:pPr>
            <w:r w:rsidRPr="00CF18FC">
              <w:rPr>
                <w:b/>
                <w:i/>
              </w:rPr>
              <w:t>Artikel 2</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tcPr>
          <w:p w:rsidR="00756434" w:rsidRPr="00CF18FC" w:rsidRDefault="00CF18FC">
            <w:pPr>
              <w:pStyle w:val="Normal6"/>
              <w:rPr>
                <w:b/>
                <w:i/>
              </w:rPr>
            </w:pPr>
            <w:r w:rsidRPr="00CF18FC">
              <w:rPr>
                <w:b/>
                <w:i/>
              </w:rPr>
              <w:t>Definitioner</w:t>
            </w:r>
          </w:p>
        </w:tc>
        <w:tc>
          <w:tcPr>
            <w:tcW w:w="4876" w:type="dxa"/>
          </w:tcPr>
          <w:p w:rsidR="00756434" w:rsidRPr="00CF18FC" w:rsidRDefault="00756434">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I denna förordning gäller följande definitioner:</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(1)</w:t>
            </w:r>
            <w:r w:rsidRPr="00CF18FC">
              <w:rPr>
                <w:b/>
                <w:i/>
              </w:rPr>
              <w:tab/>
              <w:t xml:space="preserve">migrantsmuggling: någon av de handlingar som avses i artiklarna 3, 4 och 5 i direktiv [XXX] [om fastställande av minimiregler för att förebygga och </w:t>
            </w:r>
            <w:r w:rsidRPr="00CF18FC">
              <w:rPr>
                <w:b/>
                <w:i/>
              </w:rPr>
              <w:lastRenderedPageBreak/>
              <w:t>motverka hjälp till olovlig inresa, transitering och vistelse i unionen samt om ersättande av rådets direktiv 2002/90/EG och rådets rambeslut 2002/946 RIF]</w:t>
            </w:r>
            <w:r w:rsidRPr="00CF18FC">
              <w:rPr>
                <w:b/>
                <w:i/>
                <w:vertAlign w:val="superscript"/>
              </w:rPr>
              <w:t>5</w:t>
            </w:r>
            <w:r w:rsidRPr="00CF18FC">
              <w:rPr>
                <w:b/>
                <w:i/>
              </w:rPr>
              <w:t>.</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(2)</w:t>
            </w:r>
            <w:r w:rsidRPr="00CF18FC">
              <w:rPr>
                <w:b/>
                <w:i/>
              </w:rPr>
              <w:tab/>
              <w:t>människohandel: någon av de handlingar som avses i artiklarna 2 och 3 i Europaparlamentets och rådets direktiv 2011/36/EU</w:t>
            </w:r>
            <w:r w:rsidRPr="00CF18FC">
              <w:rPr>
                <w:b/>
                <w:i/>
                <w:vertAlign w:val="superscript"/>
              </w:rPr>
              <w:t>6</w:t>
            </w:r>
            <w:r w:rsidRPr="00CF18FC">
              <w:rPr>
                <w:b/>
                <w:i/>
              </w:rPr>
              <w:t>.</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(3)</w:t>
            </w:r>
            <w:r w:rsidRPr="00CF18FC">
              <w:rPr>
                <w:b/>
                <w:i/>
              </w:rPr>
              <w:tab/>
              <w:t>medlemsstaternas behöriga myndigheter enligt definitionen i artikel 2 a i förordning (EU) 2016/794. sambandsman för invandring:</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(4)</w:t>
            </w:r>
            <w:r w:rsidRPr="00CF18FC">
              <w:rPr>
                <w:b/>
                <w:i/>
              </w:rPr>
              <w:tab/>
              <w:t>en sambandsman som utplacerats i ett tredjeland av de behöriga myndigheterna i en medlemsstat, i enlighet med dess nationella rätt, för att hantera invandringsrelaterade frågor, även när dessa frågor endast utgör en del av sambandsmannens uppgifter.</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__________________</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vertAlign w:val="superscript"/>
              </w:rPr>
              <w:t>5</w:t>
            </w:r>
            <w:r w:rsidRPr="00CF18FC">
              <w:t xml:space="preserve"> </w:t>
            </w:r>
            <w:r w:rsidRPr="00CF18FC">
              <w:rPr>
                <w:b/>
                <w:i/>
              </w:rPr>
              <w:t>[lägg till titel och publikationsreferens]</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vertAlign w:val="superscript"/>
              </w:rPr>
              <w:t>6</w:t>
            </w:r>
            <w:r w:rsidRPr="00CF18FC">
              <w:t xml:space="preserve"> </w:t>
            </w:r>
            <w:r w:rsidRPr="00CF18FC">
              <w:rPr>
                <w:b/>
                <w:i/>
              </w:rPr>
              <w:t>Europaparlamentets och rådets direktiv 2011/36/EU av den 5 april 2011 om förebyggande och bekämpande av människohandel, om skydd av dess offer och om ersättande av rådets rambeslut 2002/629/RIF (EUT L 101, 15.4.2011, s. 1, ELI: http://data.europa.eu/eli/dir/2011/36/oj).</w:t>
            </w:r>
          </w:p>
        </w:tc>
        <w:tc>
          <w:tcPr>
            <w:tcW w:w="4876" w:type="dxa"/>
          </w:tcPr>
          <w:p w:rsidR="0018078A" w:rsidRPr="00CF18FC" w:rsidRDefault="0018078A">
            <w:pPr>
              <w:pStyle w:val="Normal6"/>
              <w:rPr>
                <w:szCs w:val="24"/>
              </w:rPr>
            </w:pP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Den fristående förordningen stryks. Vissa av bestämmelserna har omplacerats som ändringar av den befintliga Europolförordningen.</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19</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3</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jc w:val="center"/>
            </w:pPr>
            <w:r w:rsidRPr="00CF18FC">
              <w:rPr>
                <w:b/>
                <w:i/>
              </w:rPr>
              <w:t>Artikel 3</w:t>
            </w:r>
          </w:p>
        </w:tc>
        <w:tc>
          <w:tcPr>
            <w:tcW w:w="4876" w:type="dxa"/>
            <w:hideMark/>
          </w:tcPr>
          <w:p w:rsidR="0018078A" w:rsidRPr="00CF18FC" w:rsidRDefault="00CF18FC">
            <w:pPr>
              <w:pStyle w:val="Normal6"/>
              <w:rPr>
                <w:szCs w:val="24"/>
              </w:rPr>
            </w:pPr>
            <w:r w:rsidRPr="00CF18FC">
              <w:rPr>
                <w:b/>
                <w:i/>
              </w:rPr>
              <w:t>utgår</w:t>
            </w:r>
          </w:p>
        </w:tc>
      </w:tr>
      <w:tr w:rsidR="00CF18FC" w:rsidRPr="00CF18FC" w:rsidTr="0018078A">
        <w:trPr>
          <w:jc w:val="center"/>
        </w:trPr>
        <w:tc>
          <w:tcPr>
            <w:tcW w:w="4876" w:type="dxa"/>
            <w:hideMark/>
          </w:tcPr>
          <w:p w:rsidR="0018078A" w:rsidRPr="00CF18FC" w:rsidRDefault="00CF18FC">
            <w:pPr>
              <w:pStyle w:val="Normal6"/>
              <w:jc w:val="center"/>
            </w:pPr>
            <w:r w:rsidRPr="00CF18FC">
              <w:rPr>
                <w:b/>
                <w:i/>
              </w:rPr>
              <w:t>Europeiska centrumet mot migrantsmuggling</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Europeiska centrumet mot migrantsmuggling inrättas inom Europol som ett unionscentrum med specialkunskap i den mening som avses i artikel 4.1 l i förordning (EU) 2016/794. Det ska stödja medlemsstaterna i arbetet med att förebygga och bekämpa migrantsmuggling och människohandel och ska utföra de uppgifter som anges i artiklarna 5 och 6.</w:t>
            </w:r>
          </w:p>
        </w:tc>
        <w:tc>
          <w:tcPr>
            <w:tcW w:w="4876" w:type="dxa"/>
          </w:tcPr>
          <w:p w:rsidR="0018078A" w:rsidRPr="00CF18FC" w:rsidRDefault="0018078A">
            <w:pPr>
              <w:pStyle w:val="Normal6"/>
              <w:rPr>
                <w:szCs w:val="24"/>
              </w:rPr>
            </w:pP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Den fristående förordningen stryks. Vissa av bestämmelserna har omplacerats som ändringar av den befintliga Europolförordningen.</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20</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4</w:t>
      </w:r>
      <w:r w:rsidRPr="00CF18FC">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D519D6">
        <w:trPr>
          <w:jc w:val="center"/>
        </w:trPr>
        <w:tc>
          <w:tcPr>
            <w:tcW w:w="9752" w:type="dxa"/>
            <w:gridSpan w:val="2"/>
          </w:tcPr>
          <w:p w:rsidR="0018078A" w:rsidRPr="00CF18FC" w:rsidRDefault="0018078A">
            <w:pPr>
              <w:keepNext/>
            </w:pPr>
          </w:p>
        </w:tc>
      </w:tr>
      <w:tr w:rsidR="00CF18FC" w:rsidRPr="00CF18FC" w:rsidTr="00D519D6">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D519D6">
        <w:trPr>
          <w:jc w:val="center"/>
        </w:trPr>
        <w:tc>
          <w:tcPr>
            <w:tcW w:w="4876" w:type="dxa"/>
            <w:hideMark/>
          </w:tcPr>
          <w:p w:rsidR="0018078A" w:rsidRPr="00CF18FC" w:rsidRDefault="00CF18FC" w:rsidP="00D519D6">
            <w:pPr>
              <w:pStyle w:val="Normal6"/>
              <w:jc w:val="center"/>
              <w:rPr>
                <w:b/>
                <w:i/>
              </w:rPr>
            </w:pPr>
            <w:r w:rsidRPr="00CF18FC">
              <w:rPr>
                <w:b/>
                <w:i/>
              </w:rPr>
              <w:t>[…]</w:t>
            </w:r>
          </w:p>
        </w:tc>
        <w:tc>
          <w:tcPr>
            <w:tcW w:w="4876" w:type="dxa"/>
            <w:hideMark/>
          </w:tcPr>
          <w:p w:rsidR="0018078A" w:rsidRPr="00CF18FC" w:rsidRDefault="00CF18FC">
            <w:pPr>
              <w:pStyle w:val="Normal6"/>
              <w:rPr>
                <w:szCs w:val="24"/>
              </w:rPr>
            </w:pPr>
            <w:r w:rsidRPr="00CF18FC">
              <w:rPr>
                <w:b/>
                <w:i/>
              </w:rPr>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Den fristående förordningen stryks. Vissa av bestämmelserna har omplacerats som ändringar av den befintliga Europolförordningen.</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21</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5</w:t>
      </w:r>
      <w:r w:rsidRPr="00CF18FC">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D519D6">
        <w:trPr>
          <w:jc w:val="center"/>
        </w:trPr>
        <w:tc>
          <w:tcPr>
            <w:tcW w:w="9752" w:type="dxa"/>
            <w:gridSpan w:val="2"/>
          </w:tcPr>
          <w:p w:rsidR="0018078A" w:rsidRPr="00CF18FC" w:rsidRDefault="0018078A">
            <w:pPr>
              <w:keepNext/>
            </w:pPr>
          </w:p>
        </w:tc>
      </w:tr>
      <w:tr w:rsidR="00CF18FC" w:rsidRPr="00CF18FC" w:rsidTr="00D519D6">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D519D6">
        <w:trPr>
          <w:jc w:val="center"/>
        </w:trPr>
        <w:tc>
          <w:tcPr>
            <w:tcW w:w="4876" w:type="dxa"/>
            <w:hideMark/>
          </w:tcPr>
          <w:p w:rsidR="0018078A" w:rsidRPr="00CF18FC" w:rsidRDefault="00CF18FC">
            <w:pPr>
              <w:pStyle w:val="Normal6"/>
              <w:jc w:val="center"/>
              <w:rPr>
                <w:b/>
                <w:i/>
              </w:rPr>
            </w:pPr>
            <w:r w:rsidRPr="00CF18FC">
              <w:rPr>
                <w:b/>
                <w:i/>
              </w:rPr>
              <w:t>[…]</w:t>
            </w:r>
          </w:p>
        </w:tc>
        <w:tc>
          <w:tcPr>
            <w:tcW w:w="4876" w:type="dxa"/>
            <w:hideMark/>
          </w:tcPr>
          <w:p w:rsidR="0018078A" w:rsidRPr="00CF18FC" w:rsidRDefault="00CF18FC">
            <w:pPr>
              <w:pStyle w:val="Normal6"/>
              <w:rPr>
                <w:szCs w:val="24"/>
              </w:rPr>
            </w:pPr>
            <w:r w:rsidRPr="00CF18FC">
              <w:rPr>
                <w:b/>
                <w:i/>
              </w:rPr>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Den fristående förordningen stryks. Vissa av bestämmelserna har omplacerats som ändringar av den befintliga Europolförordningen.</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22</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6</w:t>
      </w:r>
      <w:r w:rsidRPr="00CF18FC">
        <w:rPr>
          <w:rStyle w:val="HideTWBExt"/>
          <w:b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D519D6">
        <w:trPr>
          <w:jc w:val="center"/>
        </w:trPr>
        <w:tc>
          <w:tcPr>
            <w:tcW w:w="9752" w:type="dxa"/>
            <w:gridSpan w:val="2"/>
          </w:tcPr>
          <w:p w:rsidR="0018078A" w:rsidRPr="00CF18FC" w:rsidRDefault="0018078A">
            <w:pPr>
              <w:keepNext/>
            </w:pPr>
          </w:p>
        </w:tc>
      </w:tr>
      <w:tr w:rsidR="00CF18FC" w:rsidRPr="00CF18FC" w:rsidTr="00D519D6">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D519D6">
        <w:trPr>
          <w:jc w:val="center"/>
        </w:trPr>
        <w:tc>
          <w:tcPr>
            <w:tcW w:w="4876" w:type="dxa"/>
            <w:hideMark/>
          </w:tcPr>
          <w:p w:rsidR="0018078A" w:rsidRPr="00CF18FC" w:rsidRDefault="00CF18FC">
            <w:pPr>
              <w:pStyle w:val="Normal6"/>
              <w:jc w:val="center"/>
              <w:rPr>
                <w:b/>
                <w:i/>
              </w:rPr>
            </w:pPr>
            <w:r w:rsidRPr="00CF18FC">
              <w:rPr>
                <w:b/>
                <w:i/>
              </w:rPr>
              <w:t>[…]</w:t>
            </w:r>
          </w:p>
        </w:tc>
        <w:tc>
          <w:tcPr>
            <w:tcW w:w="4876" w:type="dxa"/>
            <w:hideMark/>
          </w:tcPr>
          <w:p w:rsidR="0018078A" w:rsidRPr="00CF18FC" w:rsidRDefault="00CF18FC">
            <w:pPr>
              <w:pStyle w:val="Normal6"/>
              <w:rPr>
                <w:b/>
                <w:i/>
              </w:rPr>
            </w:pPr>
            <w:r w:rsidRPr="00CF18FC">
              <w:rPr>
                <w:b/>
                <w:i/>
              </w:rPr>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Den fristående förordningen stryks. Vissa av bestämmelserna har omplacerats som ändringar av den befintliga Europolförordningen.</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23</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7</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jc w:val="center"/>
            </w:pPr>
            <w:r w:rsidRPr="00CF18FC">
              <w:rPr>
                <w:b/>
                <w:i/>
              </w:rPr>
              <w:t>Artikel 7</w:t>
            </w:r>
          </w:p>
        </w:tc>
        <w:tc>
          <w:tcPr>
            <w:tcW w:w="4876" w:type="dxa"/>
            <w:hideMark/>
          </w:tcPr>
          <w:p w:rsidR="0018078A" w:rsidRPr="00CF18FC" w:rsidRDefault="00CF18FC">
            <w:pPr>
              <w:pStyle w:val="Normal6"/>
              <w:rPr>
                <w:szCs w:val="24"/>
              </w:rPr>
            </w:pPr>
            <w:r w:rsidRPr="00CF18FC">
              <w:rPr>
                <w:b/>
                <w:i/>
              </w:rPr>
              <w:t>utgår</w:t>
            </w:r>
          </w:p>
        </w:tc>
      </w:tr>
      <w:tr w:rsidR="00CF18FC" w:rsidRPr="00CF18FC" w:rsidTr="0018078A">
        <w:trPr>
          <w:jc w:val="center"/>
        </w:trPr>
        <w:tc>
          <w:tcPr>
            <w:tcW w:w="4876" w:type="dxa"/>
            <w:hideMark/>
          </w:tcPr>
          <w:p w:rsidR="0018078A" w:rsidRPr="00CF18FC" w:rsidRDefault="00CF18FC">
            <w:pPr>
              <w:pStyle w:val="Normal6"/>
              <w:jc w:val="center"/>
            </w:pPr>
            <w:r w:rsidRPr="00CF18FC">
              <w:rPr>
                <w:b/>
                <w:i/>
              </w:rPr>
              <w:t>Nationella specialiserade avdelningar för att förebygga och bekämpa migrantsmuggling och människohandel</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1.</w:t>
            </w:r>
            <w:r w:rsidRPr="00CF18FC">
              <w:rPr>
                <w:b/>
                <w:i/>
              </w:rPr>
              <w:tab/>
              <w:t xml:space="preserve">Varje medlemsstat ska senast ett år efter denna förordnings ikraftträdande utse en eller flera specialiserade avdelningar inom sina behöriga myndigheter, i enlighet med nationell rätt, för att förebygga och bekämpa </w:t>
            </w:r>
            <w:r w:rsidRPr="00CF18FC">
              <w:rPr>
                <w:b/>
                <w:i/>
              </w:rPr>
              <w:lastRenderedPageBreak/>
              <w:t>migrantsmuggling och människohandel, inbegripet genom brottsutredningar. Varje medlemsstat ska omedelbart efter att ha utsett dessa avdelningar informera kommissionen om detta.</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2.</w:t>
            </w:r>
            <w:r w:rsidRPr="00CF18FC">
              <w:rPr>
                <w:b/>
                <w:i/>
              </w:rPr>
              <w:tab/>
              <w:t>Varje medlemsstat ska säkerställa att dess specialiserade avdelningar som utsetts i enlighet med punkt 1 i denna artikel samlar in all relevant information som rör och som härrör från brottsutredningar av migrantsmuggling och människohandel och så snart som möjligt delar sådan information med Europol och andra medlemsstater i enlighet med artikel 8.</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3.</w:t>
            </w:r>
            <w:r w:rsidRPr="00CF18FC">
              <w:rPr>
                <w:b/>
                <w:i/>
              </w:rPr>
              <w:tab/>
              <w:t>Varje medlemsstat ska senast ett år efter denna förordnings ikraftträdande ansluta sina specialiserade avdelningar som utsetts i enlighet med punkt 1 i denna artikel direkt till Europols nätapplikation för säkert informationsutbyte (Siena) som avses i artikel 2 w i förordning (EU) 2016/794. Varje medlemsstat ska omedelbart efter anslutningen informera kommissionen om detta.</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4.</w:t>
            </w:r>
            <w:r w:rsidRPr="00CF18FC">
              <w:rPr>
                <w:b/>
                <w:i/>
              </w:rPr>
              <w:tab/>
              <w:t>Varje medlemsstat ska tillhandahålla de specialiserade avdelningar som de utsett i enlighet med punkt 1 tillräckliga resurser för att säkerställa att avdelningarna är utrustade för att verkningsfullt förebygga och bekämpa migrantsmuggling och människohandel samt för att samla in och dela information i enlighet med punkt 2 på ett ändamålsenligt och effektivt sätt.</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5.</w:t>
            </w:r>
            <w:r w:rsidRPr="00CF18FC">
              <w:rPr>
                <w:b/>
                <w:i/>
              </w:rPr>
              <w:tab/>
              <w:t>Varje medlemsstat ska ställa ett lämpligt antal anställda vid de specialiserade avdelningar som utsetts i enlighet med punkt 1 i denna artikel till förfogande för den reserv som avses i artikel 5b.6 i förordning (EU) 2016/794, så att dessa anställda kan delta i utplaceringar från Europol för operativt stöd som utstationerade nationella experter.</w:t>
            </w:r>
          </w:p>
        </w:tc>
        <w:tc>
          <w:tcPr>
            <w:tcW w:w="4876" w:type="dxa"/>
          </w:tcPr>
          <w:p w:rsidR="0018078A" w:rsidRPr="00CF18FC" w:rsidRDefault="0018078A">
            <w:pPr>
              <w:pStyle w:val="Normal6"/>
              <w:rPr>
                <w:szCs w:val="24"/>
              </w:rPr>
            </w:pP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lastRenderedPageBreak/>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Den fristående förordningen stryks. Vissa av bestämmelserna har omplacerats som ändringar av den befintliga Europolförordningen.</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24</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8</w:t>
      </w:r>
      <w:r w:rsidRPr="00CF18FC">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jc w:val="center"/>
            </w:pPr>
            <w:r w:rsidRPr="00CF18FC">
              <w:rPr>
                <w:b/>
                <w:i/>
              </w:rPr>
              <w:t>Artikel 8</w:t>
            </w:r>
          </w:p>
        </w:tc>
        <w:tc>
          <w:tcPr>
            <w:tcW w:w="4876" w:type="dxa"/>
            <w:hideMark/>
          </w:tcPr>
          <w:p w:rsidR="0018078A" w:rsidRPr="00CF18FC" w:rsidRDefault="00CF18FC">
            <w:pPr>
              <w:pStyle w:val="Normal6"/>
              <w:rPr>
                <w:szCs w:val="24"/>
              </w:rPr>
            </w:pPr>
            <w:r w:rsidRPr="00CF18FC">
              <w:rPr>
                <w:b/>
                <w:i/>
              </w:rPr>
              <w:t>utgår</w:t>
            </w:r>
          </w:p>
        </w:tc>
      </w:tr>
      <w:tr w:rsidR="00CF18FC" w:rsidRPr="00CF18FC" w:rsidTr="0018078A">
        <w:trPr>
          <w:jc w:val="center"/>
        </w:trPr>
        <w:tc>
          <w:tcPr>
            <w:tcW w:w="4876" w:type="dxa"/>
            <w:hideMark/>
          </w:tcPr>
          <w:p w:rsidR="0018078A" w:rsidRPr="00CF18FC" w:rsidRDefault="00CF18FC">
            <w:pPr>
              <w:pStyle w:val="Normal6"/>
              <w:jc w:val="center"/>
            </w:pPr>
            <w:r w:rsidRPr="00CF18FC">
              <w:rPr>
                <w:b/>
                <w:i/>
              </w:rPr>
              <w:t>Tillhandahållande av information om brott avseende migrantsmuggling och människohandel till Europol och medlemsstaterna</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1.</w:t>
            </w:r>
            <w:r w:rsidRPr="00CF18FC">
              <w:rPr>
                <w:b/>
                <w:i/>
              </w:rPr>
              <w:tab/>
              <w:t>Varje medlemsstat ska i enlighet med förordning (EU) 2016/794 tillhandahålla Europol information som innehas av dess behöriga myndigheter och som rör brott avseende migrantsmuggling och människohandel.</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2.</w:t>
            </w:r>
            <w:r w:rsidRPr="00CF18FC">
              <w:rPr>
                <w:b/>
                <w:i/>
              </w:rPr>
              <w:tab/>
              <w:t>Varje medlemsstat ska inom rimlig tid tillhandahålla Europol den information som avses i punkt 1 i denna artikel.</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3.</w:t>
            </w:r>
            <w:r w:rsidRPr="00CF18FC">
              <w:rPr>
                <w:b/>
                <w:i/>
              </w:rPr>
              <w:tab/>
              <w:t>Varje medlemsstat ska tillhandahålla andra medlemsstater och samtidigt Europol information som innehas av dess behöriga myndigheter och som rör brott avseende migrantsmuggling och människohandel om det finns objektiva skäl att anta att sådan information kan vara relevant för dessa andra medlemsstater i syfte att förebygga, upptäcka eller utreda sådana brott i dessa medlemsstater.</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4.</w:t>
            </w:r>
            <w:r w:rsidRPr="00CF18FC">
              <w:rPr>
                <w:b/>
                <w:i/>
              </w:rPr>
              <w:tab/>
              <w:t>Varje medlemsstat ska använda Siena för att tillhandahålla den information som avses i punkt 3 i denna artikel till andra medlemsstater och Europol, i enlighet med artiklarna 8.4 och 18.2 d i förordning (EU) 2016/794.</w:t>
            </w:r>
          </w:p>
        </w:tc>
        <w:tc>
          <w:tcPr>
            <w:tcW w:w="4876" w:type="dxa"/>
          </w:tcPr>
          <w:p w:rsidR="0018078A" w:rsidRPr="00CF18FC" w:rsidRDefault="0018078A">
            <w:pPr>
              <w:pStyle w:val="Normal6"/>
              <w:rPr>
                <w:szCs w:val="24"/>
              </w:rPr>
            </w:pPr>
          </w:p>
        </w:tc>
      </w:tr>
      <w:tr w:rsidR="00CF18FC" w:rsidRPr="00CF18FC" w:rsidTr="0018078A">
        <w:trPr>
          <w:jc w:val="center"/>
        </w:trPr>
        <w:tc>
          <w:tcPr>
            <w:tcW w:w="4876" w:type="dxa"/>
            <w:hideMark/>
          </w:tcPr>
          <w:p w:rsidR="0018078A" w:rsidRPr="00CF18FC" w:rsidRDefault="00CF18FC">
            <w:pPr>
              <w:pStyle w:val="Normal6"/>
            </w:pPr>
            <w:r w:rsidRPr="00CF18FC">
              <w:rPr>
                <w:b/>
                <w:i/>
              </w:rPr>
              <w:t>5.</w:t>
            </w:r>
            <w:r w:rsidRPr="00CF18FC">
              <w:rPr>
                <w:b/>
                <w:i/>
              </w:rPr>
              <w:tab/>
              <w:t>Varje medlemsstat ska ansluta sina sambandsmän för invandring till Siena. Om det inte är möjligt att ansluta en sambandsman för invandring till Siena på grund av tvingande tekniska skäl som rör situationen i det tredjeland där vederbörande är utplacerad ska den sambandsmannen för invandring lämna den information som avses i punkt 1 till en nationell behörig myndighet via andra säkra kanaler. Den behöriga myndigheten ska lämna informationen till Europol, direkt eller genom Europols nationella enhet, med hjälp av Siena.</w:t>
            </w:r>
          </w:p>
        </w:tc>
        <w:tc>
          <w:tcPr>
            <w:tcW w:w="4876" w:type="dxa"/>
          </w:tcPr>
          <w:p w:rsidR="0018078A" w:rsidRPr="00CF18FC" w:rsidRDefault="0018078A">
            <w:pPr>
              <w:pStyle w:val="Normal6"/>
              <w:rPr>
                <w:szCs w:val="24"/>
              </w:rPr>
            </w:pP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Den fristående förordningen stryks. Vissa av bestämmelserna har omplacerats som ändringar av den befintliga Europolförordningen.</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25</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1</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2 – stycke 1 – led y</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y)</w:t>
            </w:r>
            <w:r w:rsidRPr="00CF18FC">
              <w:tab/>
              <w:t>utplacering från Europol för operativt stöd: utplacering av Europolpersonal eller utstationerade nationella experter på en medlemsstats territorium, på den medlemsstatens begäran, för att tillhandahålla analytiskt, operativt, tekniskt och kriminaltekniskt stöd i samverkan och samförstånd med medlemsstatens behöriga myndigheter.</w:t>
            </w:r>
          </w:p>
        </w:tc>
        <w:tc>
          <w:tcPr>
            <w:tcW w:w="4876" w:type="dxa"/>
            <w:hideMark/>
          </w:tcPr>
          <w:p w:rsidR="0018078A" w:rsidRPr="00CF18FC" w:rsidRDefault="00CF18FC">
            <w:pPr>
              <w:pStyle w:val="Normal6"/>
              <w:rPr>
                <w:szCs w:val="24"/>
              </w:rPr>
            </w:pPr>
            <w:r w:rsidRPr="00CF18FC">
              <w:t>y)</w:t>
            </w:r>
            <w:r w:rsidRPr="00CF18FC">
              <w:tab/>
              <w:t xml:space="preserve">utplacering från Europol för operativt stöd: utplacering av Europolpersonal eller utstationerade nationella experter på en medlemsstats </w:t>
            </w:r>
            <w:r w:rsidRPr="00CF18FC">
              <w:rPr>
                <w:b/>
                <w:i/>
              </w:rPr>
              <w:t>eller ett tredjelands</w:t>
            </w:r>
            <w:r w:rsidRPr="00CF18FC">
              <w:t xml:space="preserve"> territorium, på den medlemsstatens </w:t>
            </w:r>
            <w:r w:rsidRPr="00CF18FC">
              <w:rPr>
                <w:b/>
                <w:i/>
              </w:rPr>
              <w:t>eller det tredjelandets</w:t>
            </w:r>
            <w:r w:rsidRPr="00CF18FC">
              <w:t xml:space="preserve"> begäran, </w:t>
            </w:r>
            <w:r w:rsidRPr="00CF18FC">
              <w:rPr>
                <w:b/>
                <w:i/>
              </w:rPr>
              <w:t>eller på förslag från den verkställande direktören,</w:t>
            </w:r>
            <w:r w:rsidRPr="00CF18FC">
              <w:t xml:space="preserve"> för att tillhandahålla analytiskt, operativt, tekniskt och kriminaltekniskt stöd i samverkan och samförstånd med medlemsstatens </w:t>
            </w:r>
            <w:r w:rsidRPr="00CF18FC">
              <w:rPr>
                <w:b/>
                <w:i/>
              </w:rPr>
              <w:t>eller tredjelandets</w:t>
            </w:r>
            <w:r w:rsidRPr="00CF18FC">
              <w:t xml:space="preserve"> behöriga myndigheter</w:t>
            </w:r>
            <w:r w:rsidRPr="00CF18FC">
              <w:rPr>
                <w:b/>
                <w:i/>
              </w:rPr>
              <w:t>, och med tillstånd från den verkställande direktören</w:t>
            </w:r>
            <w:r w:rsidRPr="00CF18FC">
              <w:t>.</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lastRenderedPageBreak/>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26</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1</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2 – stycke 1 – led ya (nytt)</w:t>
      </w:r>
      <w:r w:rsidRPr="00CF18FC">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D519D6">
        <w:trPr>
          <w:jc w:val="center"/>
        </w:trPr>
        <w:tc>
          <w:tcPr>
            <w:tcW w:w="9752" w:type="dxa"/>
            <w:gridSpan w:val="2"/>
          </w:tcPr>
          <w:p w:rsidR="0018078A" w:rsidRPr="00CF18FC" w:rsidRDefault="0018078A">
            <w:pPr>
              <w:keepNext/>
            </w:pPr>
          </w:p>
        </w:tc>
      </w:tr>
      <w:tr w:rsidR="00CF18FC" w:rsidRPr="00CF18FC" w:rsidTr="00D519D6">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D519D6">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”ya) sambandsman för invandring: en sambandsman som utplacerats i ett tredjeland av de behöriga myndigheterna i en medlemsstat, i enlighet med dess nationella rätt, för att hantera invandringsrelaterade frågor, även när dessa frågor endast utgör en del av sambandsmannens uppgifter.”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27</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1 – stycke 1 – led 2 – led a – led iii</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4 – stycke 1 – led l</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(l)</w:t>
            </w:r>
            <w:r w:rsidRPr="00CF18FC">
              <w:tab/>
              <w:t xml:space="preserve">Utveckla unionscentrum med specialkunskap för att bekämpa vissa typer av brott som omfattas av Europols mål, inbegripet Europeiska it-brottscentrumet och, i enlighet med </w:t>
            </w:r>
            <w:r w:rsidRPr="00CF18FC">
              <w:rPr>
                <w:b/>
                <w:i/>
              </w:rPr>
              <w:t>Europaparlamentets och rådets förordning (EU) .../...* [förordningen om bekämpning av migrantsmuggling]</w:t>
            </w:r>
            <w:r w:rsidRPr="00CF18FC">
              <w:t>, Europeiska centrumet mot migrantsmuggling.</w:t>
            </w:r>
          </w:p>
        </w:tc>
        <w:tc>
          <w:tcPr>
            <w:tcW w:w="4876" w:type="dxa"/>
            <w:hideMark/>
          </w:tcPr>
          <w:p w:rsidR="0018078A" w:rsidRPr="00CF18FC" w:rsidRDefault="00CF18FC">
            <w:pPr>
              <w:pStyle w:val="Normal6"/>
              <w:rPr>
                <w:szCs w:val="24"/>
              </w:rPr>
            </w:pPr>
            <w:r w:rsidRPr="00CF18FC">
              <w:t>(l)</w:t>
            </w:r>
            <w:r w:rsidRPr="00CF18FC">
              <w:tab/>
              <w:t xml:space="preserve">Utveckla unionscentrum med specialkunskap för att bekämpa vissa typer av brott som omfattas av Europols mål, inbegripet Europeiska it-brottscentrumet och, i enlighet med </w:t>
            </w:r>
            <w:r w:rsidRPr="00CF18FC">
              <w:rPr>
                <w:b/>
                <w:i/>
              </w:rPr>
              <w:t>artikel 16a</w:t>
            </w:r>
            <w:r w:rsidRPr="00CF18FC">
              <w:t>, Europeiska centrumet mot migrantsmuggling.</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Konsekvens av att den fristående förordningen stryks och artikel 16a läggs till.</w:t>
      </w:r>
    </w:p>
    <w:p w:rsidR="0018078A" w:rsidRPr="00CF18FC" w:rsidRDefault="00CF18FC" w:rsidP="0018078A">
      <w:r w:rsidRPr="00CF18FC">
        <w:rPr>
          <w:rStyle w:val="HideTWBExt"/>
          <w:color w:val="auto"/>
        </w:rPr>
        <w:lastRenderedPageBreak/>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28</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2 – led a – led iva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4 – stycke 1 – led ya (nytt)</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iva)</w:t>
            </w:r>
            <w:r w:rsidRPr="00CF18FC">
              <w:rPr>
                <w:b/>
                <w:i/>
              </w:rPr>
              <w:tab/>
              <w:t>Följande led ska införas:</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 xml:space="preserve">”ya) </w:t>
            </w:r>
            <w:r w:rsidRPr="00CF18FC">
              <w:rPr>
                <w:b/>
                <w:i/>
              </w:rPr>
              <w:tab/>
              <w:t>samarbeta med medlemsstaternas behöriga myndigheter, bland annat genom att inrätta informella nätverk, för att motverka onlinedimensionen av migrantsmuggling och människohandel, inbegripet underlättande eller offentlig anstiftan online.”</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29</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2 – led a – led v</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4 – stycke 1 – led za</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za)</w:t>
            </w:r>
            <w:r w:rsidRPr="00CF18FC">
              <w:tab/>
              <w:t>Stödja medlemsstaterna med en ändamålsenlig och effektiv behandling av biometriska uppgifter.</w:t>
            </w:r>
          </w:p>
        </w:tc>
        <w:tc>
          <w:tcPr>
            <w:tcW w:w="4876" w:type="dxa"/>
            <w:hideMark/>
          </w:tcPr>
          <w:p w:rsidR="0018078A" w:rsidRPr="00CF18FC" w:rsidRDefault="00CF18FC">
            <w:pPr>
              <w:pStyle w:val="Normal6"/>
              <w:rPr>
                <w:szCs w:val="24"/>
              </w:rPr>
            </w:pPr>
            <w:r w:rsidRPr="00CF18FC">
              <w:t>za)</w:t>
            </w:r>
            <w:r w:rsidRPr="00CF18FC">
              <w:tab/>
              <w:t>Stödja medlemsstaterna</w:t>
            </w:r>
            <w:r w:rsidRPr="00CF18FC">
              <w:rPr>
                <w:b/>
                <w:i/>
              </w:rPr>
              <w:t>, bland annat genom att utveckla avancerade verktyg,</w:t>
            </w:r>
            <w:r w:rsidRPr="00CF18FC">
              <w:t xml:space="preserve"> med en ändamålsenlig och effektiv behandling av biometriska uppgifter</w:t>
            </w:r>
            <w:r w:rsidRPr="00CF18FC">
              <w:rPr>
                <w:b/>
                <w:i/>
              </w:rPr>
              <w:t>, inklusive fingeravtrycksuppgifter, ansiktsbilder och DNA-profiler</w:t>
            </w:r>
            <w:r w:rsidRPr="00CF18FC">
              <w:t>.</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30</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lastRenderedPageBreak/>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5a – stycke 3</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rPr>
                <w:b/>
                <w:i/>
              </w:rPr>
              <w:t>3.</w:t>
            </w:r>
            <w:r w:rsidRPr="00CF18FC">
              <w:rPr>
                <w:b/>
                <w:i/>
              </w:rPr>
              <w:tab/>
              <w:t>De medlemsstater som inrättar en operativ arbetsgrupp ska säkerställa samstämmighet och synergier med Empact-ramen (Europeiska sektorsövergripande plattformen mot brottshot).</w:t>
            </w:r>
          </w:p>
        </w:tc>
        <w:tc>
          <w:tcPr>
            <w:tcW w:w="4876" w:type="dxa"/>
            <w:hideMark/>
          </w:tcPr>
          <w:p w:rsidR="0018078A" w:rsidRPr="00CF18FC" w:rsidRDefault="00CF18FC">
            <w:pPr>
              <w:pStyle w:val="Normal6"/>
              <w:rPr>
                <w:szCs w:val="24"/>
              </w:rPr>
            </w:pPr>
            <w:r w:rsidRPr="00CF18FC">
              <w:rPr>
                <w:b/>
                <w:i/>
              </w:rPr>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Texten utgår för att undvika överdriven reglering och säkerställa större flexibilitet för de operativa arbetsgrupperna. Det föreslås att styrelsen, efter ett förslag från den verkställande direktören, ges större utrymme att besluta om detaljerna i genomförandet av den operativa arbetsgruppen (punkt 8).</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31</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5a – stycke 4</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rPr>
                <w:b/>
                <w:i/>
              </w:rPr>
              <w:t>4.</w:t>
            </w:r>
            <w:r w:rsidRPr="00CF18FC">
              <w:rPr>
                <w:b/>
                <w:i/>
              </w:rPr>
              <w:tab/>
              <w:t>De medlemsstater som inrättar en operativ arbetsgrupp får besluta att bjuda in andra medlemsstater, tredjeländer och andra partner som avses i artikel 23 att delta i eller stödja den operativa arbetsgruppen. Tredjeländers och andra partners deltagande i den operativa arbetsgruppen ska ske i enlighet med denna förordning.</w:t>
            </w:r>
          </w:p>
        </w:tc>
        <w:tc>
          <w:tcPr>
            <w:tcW w:w="4876" w:type="dxa"/>
            <w:hideMark/>
          </w:tcPr>
          <w:p w:rsidR="0018078A" w:rsidRPr="00CF18FC" w:rsidRDefault="00CF18FC">
            <w:pPr>
              <w:pStyle w:val="Normal6"/>
              <w:rPr>
                <w:szCs w:val="24"/>
              </w:rPr>
            </w:pPr>
            <w:r w:rsidRPr="00CF18FC">
              <w:rPr>
                <w:b/>
                <w:i/>
              </w:rPr>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 xml:space="preserve">Texten utgår för att undvika överdriven reglering och säkerställa större flexibilitet för de operativa arbetsgrupperna. Det föreslås att styrelsen, efter ett förslag från den verkställande direktören, ges större utrymme att besluta om detaljerna i genomförandet av den operativa </w:t>
      </w:r>
      <w:r w:rsidRPr="00CF18FC">
        <w:lastRenderedPageBreak/>
        <w:t>arbetsgruppen (punkt 8).</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32</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5a – stycke 5</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5.</w:t>
            </w:r>
            <w:r w:rsidRPr="00CF18FC">
              <w:tab/>
              <w:t xml:space="preserve">För att stödja genomförandet av en operativ arbetsgrupp ska Europol tillhandahålla det analytiska, operativa, tekniska, kriminaltekniska och ekonomiska stöd som föreskrivs i denna förordning, i enlighet med punkt </w:t>
            </w:r>
            <w:r w:rsidRPr="00CF18FC">
              <w:rPr>
                <w:b/>
                <w:i/>
              </w:rPr>
              <w:t>2</w:t>
            </w:r>
            <w:r w:rsidRPr="00CF18FC">
              <w:t>.</w:t>
            </w:r>
          </w:p>
        </w:tc>
        <w:tc>
          <w:tcPr>
            <w:tcW w:w="4876" w:type="dxa"/>
            <w:hideMark/>
          </w:tcPr>
          <w:p w:rsidR="0018078A" w:rsidRPr="00CF18FC" w:rsidRDefault="00CF18FC">
            <w:pPr>
              <w:pStyle w:val="Normal6"/>
              <w:rPr>
                <w:szCs w:val="24"/>
              </w:rPr>
            </w:pPr>
            <w:r w:rsidRPr="00CF18FC">
              <w:t>5.</w:t>
            </w:r>
            <w:r w:rsidRPr="00CF18FC">
              <w:tab/>
              <w:t xml:space="preserve">För att stödja genomförandet av en operativ arbetsgrupp ska Europol tillhandahålla det analytiska, operativa, tekniska, kriminaltekniska och ekonomiska stöd som föreskrivs i denna förordning, i enlighet med punkt </w:t>
            </w:r>
            <w:r w:rsidRPr="00CF18FC">
              <w:rPr>
                <w:b/>
                <w:i/>
              </w:rPr>
              <w:t>1</w:t>
            </w:r>
            <w:r w:rsidRPr="00CF18FC">
              <w:t>.</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33</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5a – stycke 6</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6.</w:t>
            </w:r>
            <w:r w:rsidRPr="00CF18FC">
              <w:tab/>
              <w:t xml:space="preserve">Varje medlemsstat som inrättar, deltar i eller stöder en operativ arbetsgrupp ska i enlighet med den planering och samordning och det genomförande som avses i punkt </w:t>
            </w:r>
            <w:r w:rsidRPr="00CF18FC">
              <w:rPr>
                <w:b/>
                <w:i/>
              </w:rPr>
              <w:t>2</w:t>
            </w:r>
          </w:p>
        </w:tc>
        <w:tc>
          <w:tcPr>
            <w:tcW w:w="4876" w:type="dxa"/>
            <w:hideMark/>
          </w:tcPr>
          <w:p w:rsidR="0018078A" w:rsidRPr="00CF18FC" w:rsidRDefault="00CF18FC">
            <w:pPr>
              <w:pStyle w:val="Normal6"/>
              <w:rPr>
                <w:szCs w:val="24"/>
              </w:rPr>
            </w:pPr>
            <w:r w:rsidRPr="00CF18FC">
              <w:t>6.</w:t>
            </w:r>
            <w:r w:rsidRPr="00CF18FC">
              <w:tab/>
              <w:t xml:space="preserve">Varje medlemsstat som inrättar, deltar i eller stöder en operativ arbetsgrupp ska i enlighet med den planering och samordning och det genomförande som avses i punkt </w:t>
            </w:r>
            <w:r w:rsidRPr="00CF18FC">
              <w:rPr>
                <w:b/>
                <w:i/>
              </w:rPr>
              <w:t>1 samarbeta med Europol och med andra deltagande medlemsstater i den utsträckning som är nödvändig för att den operativa arbetsgruppen ska kunna utföra sina uppgifter, särskilt genom tillhandahållande och utbyte av all relevant information.</w:t>
            </w:r>
          </w:p>
        </w:tc>
      </w:tr>
      <w:tr w:rsidR="00CF18FC" w:rsidRPr="00CF18FC" w:rsidTr="0018078A">
        <w:trPr>
          <w:jc w:val="center"/>
        </w:trPr>
        <w:tc>
          <w:tcPr>
            <w:tcW w:w="4876" w:type="dxa"/>
          </w:tcPr>
          <w:p w:rsidR="005F4583" w:rsidRPr="00CF18FC" w:rsidRDefault="00CF18FC">
            <w:pPr>
              <w:pStyle w:val="Normal6"/>
              <w:rPr>
                <w:b/>
                <w:i/>
              </w:rPr>
            </w:pPr>
            <w:r w:rsidRPr="00CF18FC">
              <w:rPr>
                <w:b/>
                <w:i/>
              </w:rPr>
              <w:t>a)</w:t>
            </w:r>
            <w:r w:rsidRPr="00CF18FC">
              <w:rPr>
                <w:b/>
                <w:i/>
              </w:rPr>
              <w:tab/>
              <w:t xml:space="preserve">utan dröjsmål med hjälp av Siena tillhandahålla Europol och de andra medlemsstater som inrättar, deltar i eller stöder den operativa arbetsgruppen all relevant information och, när så är </w:t>
            </w:r>
            <w:r w:rsidRPr="00CF18FC">
              <w:rPr>
                <w:b/>
                <w:i/>
              </w:rPr>
              <w:lastRenderedPageBreak/>
              <w:t>lämpligt, göra information direkt åtkomlig i enlighet med artikel 20.2a,</w:t>
            </w:r>
          </w:p>
        </w:tc>
        <w:tc>
          <w:tcPr>
            <w:tcW w:w="4876" w:type="dxa"/>
          </w:tcPr>
          <w:p w:rsidR="005F4583" w:rsidRPr="00CF18FC" w:rsidRDefault="005F4583">
            <w:pPr>
              <w:pStyle w:val="Normal6"/>
            </w:pPr>
          </w:p>
        </w:tc>
      </w:tr>
      <w:tr w:rsidR="00CF18FC" w:rsidRPr="00CF18FC" w:rsidTr="0018078A">
        <w:trPr>
          <w:jc w:val="center"/>
        </w:trPr>
        <w:tc>
          <w:tcPr>
            <w:tcW w:w="4876" w:type="dxa"/>
          </w:tcPr>
          <w:p w:rsidR="005F4583" w:rsidRPr="00CF18FC" w:rsidRDefault="00CF18FC">
            <w:pPr>
              <w:pStyle w:val="Normal6"/>
              <w:rPr>
                <w:b/>
                <w:i/>
              </w:rPr>
            </w:pPr>
            <w:r w:rsidRPr="00CF18FC">
              <w:rPr>
                <w:b/>
                <w:i/>
              </w:rPr>
              <w:t>b)</w:t>
            </w:r>
            <w:r w:rsidRPr="00CF18FC">
              <w:rPr>
                <w:b/>
                <w:i/>
              </w:rPr>
              <w:tab/>
              <w:t>utnyttja det analytiska, operativa, tekniska, kriminaltekniska och ekonomiska stöd som tillhandahålls av Europol,</w:t>
            </w:r>
          </w:p>
        </w:tc>
        <w:tc>
          <w:tcPr>
            <w:tcW w:w="4876" w:type="dxa"/>
          </w:tcPr>
          <w:p w:rsidR="005F4583" w:rsidRPr="00CF18FC" w:rsidRDefault="005F4583">
            <w:pPr>
              <w:pStyle w:val="Normal6"/>
            </w:pPr>
          </w:p>
        </w:tc>
      </w:tr>
      <w:tr w:rsidR="00CF18FC" w:rsidRPr="00CF18FC" w:rsidTr="0018078A">
        <w:trPr>
          <w:jc w:val="center"/>
        </w:trPr>
        <w:tc>
          <w:tcPr>
            <w:tcW w:w="4876" w:type="dxa"/>
          </w:tcPr>
          <w:p w:rsidR="005F4583" w:rsidRPr="00CF18FC" w:rsidRDefault="00CF18FC">
            <w:pPr>
              <w:pStyle w:val="Normal6"/>
              <w:rPr>
                <w:b/>
                <w:i/>
              </w:rPr>
            </w:pPr>
            <w:r w:rsidRPr="00CF18FC">
              <w:rPr>
                <w:b/>
                <w:i/>
              </w:rPr>
              <w:t>c)</w:t>
            </w:r>
            <w:r w:rsidRPr="00CF18FC">
              <w:rPr>
                <w:b/>
                <w:i/>
              </w:rPr>
              <w:tab/>
              <w:t>inleda vissa särskilda kriminalunderrättelseinsatser och utredningar i enlighet med nationell rätt, när detta krävs för att ingripa mot det brott som den operativa arbetsgruppen avser,</w:t>
            </w:r>
          </w:p>
        </w:tc>
        <w:tc>
          <w:tcPr>
            <w:tcW w:w="4876" w:type="dxa"/>
          </w:tcPr>
          <w:p w:rsidR="005F4583" w:rsidRPr="00CF18FC" w:rsidRDefault="005F4583">
            <w:pPr>
              <w:pStyle w:val="Normal6"/>
            </w:pPr>
          </w:p>
        </w:tc>
      </w:tr>
      <w:tr w:rsidR="00CF18FC" w:rsidRPr="00CF18FC" w:rsidTr="0018078A">
        <w:trPr>
          <w:jc w:val="center"/>
        </w:trPr>
        <w:tc>
          <w:tcPr>
            <w:tcW w:w="4876" w:type="dxa"/>
          </w:tcPr>
          <w:p w:rsidR="005F4583" w:rsidRPr="00CF18FC" w:rsidRDefault="00CF18FC">
            <w:pPr>
              <w:pStyle w:val="Normal6"/>
              <w:rPr>
                <w:b/>
                <w:i/>
              </w:rPr>
            </w:pPr>
            <w:r w:rsidRPr="00CF18FC">
              <w:rPr>
                <w:b/>
                <w:i/>
              </w:rPr>
              <w:t>d)</w:t>
            </w:r>
            <w:r w:rsidRPr="00CF18FC">
              <w:rPr>
                <w:b/>
                <w:i/>
              </w:rPr>
              <w:tab/>
              <w:t>inleda parallella finansiella utredningar i enlighet med nationell rätt och unionsrätten för att identifiera och beslagta tillgångar som härrör från brott,</w:t>
            </w:r>
          </w:p>
        </w:tc>
        <w:tc>
          <w:tcPr>
            <w:tcW w:w="4876" w:type="dxa"/>
          </w:tcPr>
          <w:p w:rsidR="005F4583" w:rsidRPr="00CF18FC" w:rsidRDefault="005F4583">
            <w:pPr>
              <w:pStyle w:val="Normal6"/>
            </w:pPr>
          </w:p>
        </w:tc>
      </w:tr>
      <w:tr w:rsidR="00CF18FC" w:rsidRPr="00CF18FC" w:rsidTr="0018078A">
        <w:trPr>
          <w:jc w:val="center"/>
        </w:trPr>
        <w:tc>
          <w:tcPr>
            <w:tcW w:w="4876" w:type="dxa"/>
          </w:tcPr>
          <w:p w:rsidR="005F4583" w:rsidRPr="00CF18FC" w:rsidRDefault="00CF18FC">
            <w:pPr>
              <w:pStyle w:val="Normal6"/>
              <w:rPr>
                <w:b/>
                <w:i/>
              </w:rPr>
            </w:pPr>
            <w:r w:rsidRPr="00CF18FC">
              <w:rPr>
                <w:b/>
                <w:i/>
              </w:rPr>
              <w:t>e)</w:t>
            </w:r>
            <w:r w:rsidRPr="00CF18FC">
              <w:rPr>
                <w:b/>
                <w:i/>
              </w:rPr>
              <w:tab/>
              <w:t>engagera sina sambandsmän som utplacerats i tredjeländer där brottslig verksamhet utreds inom ramen för den operativa arbetsgruppen för att förstärka samarbetet och informationsutbytet samt ge Europol den information som erhållits, i enlighet med unionsrätten och nationell rätt.</w:t>
            </w:r>
          </w:p>
        </w:tc>
        <w:tc>
          <w:tcPr>
            <w:tcW w:w="4876" w:type="dxa"/>
          </w:tcPr>
          <w:p w:rsidR="005F4583" w:rsidRPr="00CF18FC" w:rsidRDefault="005F4583">
            <w:pPr>
              <w:pStyle w:val="Normal6"/>
            </w:pP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5F4583" w:rsidRPr="00CF18FC" w:rsidRDefault="00CF18FC" w:rsidP="005F4583">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5F4583" w:rsidRPr="00CF18FC" w:rsidRDefault="00CF18FC" w:rsidP="005F4583">
      <w:pPr>
        <w:pStyle w:val="Normal12Italic"/>
        <w:rPr>
          <w:noProof w:val="0"/>
        </w:rPr>
      </w:pPr>
      <w:r w:rsidRPr="00CF18FC">
        <w:t>Texten utgår för att undvika överdriven reglering och säkerställa större flexibilitet för de operativa arbetsgrupperna. Det föreslås att styrelsen, efter ett förslag från den verkställande direktören, ges större utrymme att besluta om detaljerna i genomförandet av den operativa arbetsgruppen (punkt 8).</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34</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5a – stycke 8</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8.</w:t>
            </w:r>
            <w:r w:rsidRPr="00CF18FC">
              <w:tab/>
              <w:t xml:space="preserve">Styrelsen </w:t>
            </w:r>
            <w:r w:rsidRPr="00CF18FC">
              <w:rPr>
                <w:b/>
                <w:bCs/>
                <w:i/>
                <w:iCs/>
              </w:rPr>
              <w:t>ska</w:t>
            </w:r>
            <w:r w:rsidRPr="00CF18FC">
              <w:t xml:space="preserve"> anta genomförandebestämmelser för inrättande </w:t>
            </w:r>
            <w:r w:rsidRPr="00CF18FC">
              <w:lastRenderedPageBreak/>
              <w:t>och genomförande av operativa arbetsgrupper.</w:t>
            </w:r>
          </w:p>
        </w:tc>
        <w:tc>
          <w:tcPr>
            <w:tcW w:w="4876" w:type="dxa"/>
            <w:hideMark/>
          </w:tcPr>
          <w:p w:rsidR="0018078A" w:rsidRPr="00CF18FC" w:rsidRDefault="00CF18FC">
            <w:pPr>
              <w:pStyle w:val="Normal6"/>
              <w:rPr>
                <w:szCs w:val="24"/>
              </w:rPr>
            </w:pPr>
            <w:r w:rsidRPr="00CF18FC">
              <w:lastRenderedPageBreak/>
              <w:t>8.</w:t>
            </w:r>
            <w:r w:rsidRPr="00CF18FC">
              <w:tab/>
            </w:r>
            <w:r w:rsidRPr="00CF18FC">
              <w:rPr>
                <w:b/>
                <w:i/>
              </w:rPr>
              <w:t>På förslag från den verkställande direktören ska</w:t>
            </w:r>
            <w:r w:rsidRPr="00CF18FC">
              <w:t xml:space="preserve"> styrelsen anta </w:t>
            </w:r>
            <w:r w:rsidRPr="00CF18FC">
              <w:lastRenderedPageBreak/>
              <w:t>genomförandebestämmelser för inrättande</w:t>
            </w:r>
            <w:r w:rsidRPr="00CF18FC">
              <w:rPr>
                <w:b/>
                <w:i/>
              </w:rPr>
              <w:t xml:space="preserve"> av, deltagande i</w:t>
            </w:r>
            <w:r w:rsidRPr="00CF18FC">
              <w:t xml:space="preserve"> och genomförande av operativa arbetsgrupper. </w:t>
            </w:r>
            <w:r w:rsidRPr="00CF18FC">
              <w:rPr>
                <w:b/>
                <w:i/>
              </w:rPr>
              <w:t xml:space="preserve">Deltagande av tredjeländer och andra partner i de operativa arbetsgrupperna ska ske i enlighet med denna förordning. </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35</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5b – stycke 1</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1.</w:t>
            </w:r>
            <w:r w:rsidRPr="00CF18FC">
              <w:tab/>
              <w:t>En medlemsstat får i enlighet med sin nationella rätt begära utplacering från Europol för operativt stöd på sitt territorium för att utnyttja det analytiska, operativa, tekniska, kriminaltekniska och ekonomiska stöd som Europol tillhandahåller för att förebygga och bekämpa brott som omfattas av Europols mål.</w:t>
            </w:r>
          </w:p>
        </w:tc>
        <w:tc>
          <w:tcPr>
            <w:tcW w:w="4876" w:type="dxa"/>
            <w:hideMark/>
          </w:tcPr>
          <w:p w:rsidR="0018078A" w:rsidRPr="00CF18FC" w:rsidRDefault="00CF18FC">
            <w:pPr>
              <w:pStyle w:val="Normal6"/>
              <w:rPr>
                <w:szCs w:val="24"/>
              </w:rPr>
            </w:pPr>
            <w:r w:rsidRPr="00CF18FC">
              <w:t>1.</w:t>
            </w:r>
            <w:r w:rsidRPr="00CF18FC">
              <w:tab/>
              <w:t>En medlemsstat får i enlighet med sin nationella rätt begära utplacering från Europol för operativt stöd på sitt territorium för att utnyttja det analytiska, operativa, tekniska, kriminaltekniska och ekonomiska stöd som Europol tillhandahåller för att förebygga och bekämpa brott som omfattas av Europols mål.</w:t>
            </w:r>
            <w:r w:rsidRPr="00CF18FC">
              <w:rPr>
                <w:b/>
                <w:i/>
              </w:rPr>
              <w:t xml:space="preserve"> Den verkställande direktören ska utvärdera alla begäranden och får godkänna eller avslå utplaceringen, med beaktande av operativa behov, riskbedömning och tillgängliga resurser.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36</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5b – stycke 2</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rPr>
                <w:b/>
                <w:i/>
              </w:rPr>
              <w:t>2.</w:t>
            </w:r>
            <w:r w:rsidRPr="00CF18FC">
              <w:rPr>
                <w:b/>
                <w:i/>
              </w:rPr>
              <w:tab/>
              <w:t xml:space="preserve">Utplacering från Europol för operativt stöd ska ske i samband med </w:t>
            </w:r>
            <w:r w:rsidRPr="00CF18FC">
              <w:rPr>
                <w:b/>
                <w:i/>
              </w:rPr>
              <w:lastRenderedPageBreak/>
              <w:t>komplexa och storskaliga utredningar som kräver Europols stöd, även inom ramen för gemensamma utredningsgrupper eller operativa arbetsgrupper, eller för att stödja kontroller mot relevanta databaser i syfte att stärka kontrollerna vid unionens yttre gränser eller stödenheter för migrationshantering i enlighet med Europaparlamentets och rådets förordning (EU) 2019/1896 eller för att ge medlemsstaterna stöd vid större internationella evenemang.</w:t>
            </w:r>
          </w:p>
        </w:tc>
        <w:tc>
          <w:tcPr>
            <w:tcW w:w="4876" w:type="dxa"/>
            <w:hideMark/>
          </w:tcPr>
          <w:p w:rsidR="0018078A" w:rsidRPr="00CF18FC" w:rsidRDefault="00CF18FC">
            <w:pPr>
              <w:pStyle w:val="Normal6"/>
              <w:rPr>
                <w:szCs w:val="24"/>
              </w:rPr>
            </w:pPr>
            <w:r w:rsidRPr="00CF18FC">
              <w:rPr>
                <w:b/>
                <w:i/>
              </w:rPr>
              <w:lastRenderedPageBreak/>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Strykning för att undvika överdriven reglering och säkerställa större flexibilitet för Europols utplaceringar. Det föreslås att styrelsen, efter ett förslag från den verkställande direktören, ges större utrymme att besluta om detaljerna för Europols utplaceringar (punkt 9).</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37</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5b – stycke 3</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rPr>
                <w:b/>
                <w:i/>
              </w:rPr>
              <w:t>3.</w:t>
            </w:r>
            <w:r w:rsidRPr="00CF18FC">
              <w:rPr>
                <w:b/>
                <w:i/>
              </w:rPr>
              <w:tab/>
              <w:t>Den verkställande direktören ska utvärdera en begäran som en medlemsstat gjort i enlighet med punkt 1 och får godkänna utplaceringen från Europol för operativt stöd under en begränsad tidsperiod som kan förnyas, mot bakgrund av operativa behov och tillgängliga resurser. Den verkställande direktörens beslut ska grundas på en riskbedömning.</w:t>
            </w:r>
          </w:p>
        </w:tc>
        <w:tc>
          <w:tcPr>
            <w:tcW w:w="4876" w:type="dxa"/>
            <w:hideMark/>
          </w:tcPr>
          <w:p w:rsidR="0018078A" w:rsidRPr="00CF18FC" w:rsidRDefault="00CF18FC">
            <w:pPr>
              <w:pStyle w:val="Normal6"/>
              <w:rPr>
                <w:szCs w:val="24"/>
              </w:rPr>
            </w:pPr>
            <w:r w:rsidRPr="00CF18FC">
              <w:rPr>
                <w:b/>
                <w:i/>
              </w:rPr>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 xml:space="preserve">Strykning för att undvika överdriven reglering och säkerställa större flexibilitet för Europols utplaceringar. Det föreslås att styrelsen, efter ett förslag från den verkställande direktören, </w:t>
      </w:r>
      <w:r w:rsidRPr="00CF18FC">
        <w:lastRenderedPageBreak/>
        <w:t>ges större utrymme att besluta om detaljerna för Europols utplaceringar (punkt 9).</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38</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5b – stycke 5</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rPr>
                <w:b/>
                <w:i/>
              </w:rPr>
              <w:t>5.</w:t>
            </w:r>
            <w:r w:rsidRPr="00CF18FC">
              <w:rPr>
                <w:b/>
                <w:i/>
              </w:rPr>
              <w:tab/>
              <w:t>I brådskande undantagsfall som kräver omedelbar utplacering från Europol för operativt stöd på en medlemsstats territorium ska den medlemsstaten och den verkställande direktören säkerställa att de åtgärder som anges i punkterna 1, 3 och 4 vidtas inom 72 timmar.</w:t>
            </w:r>
          </w:p>
        </w:tc>
        <w:tc>
          <w:tcPr>
            <w:tcW w:w="4876" w:type="dxa"/>
            <w:hideMark/>
          </w:tcPr>
          <w:p w:rsidR="0018078A" w:rsidRPr="00CF18FC" w:rsidRDefault="00CF18FC">
            <w:pPr>
              <w:pStyle w:val="Normal6"/>
              <w:rPr>
                <w:szCs w:val="24"/>
              </w:rPr>
            </w:pPr>
            <w:r w:rsidRPr="00CF18FC">
              <w:rPr>
                <w:b/>
                <w:i/>
              </w:rPr>
              <w:t>utgår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Strykning för att undvika överdriven reglering och säkerställa större flexibilitet för Europols utplaceringar. Det föreslås att styrelsen, efter ett förslag från den verkställande direktören, ges större utrymme att besluta om detaljerna för Europols utplaceringar (punkt 9).</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39</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5b – stycke 6</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6.</w:t>
            </w:r>
            <w:r w:rsidRPr="00CF18FC">
              <w:tab/>
              <w:t xml:space="preserve">Europol ska inrätta en reserv av medlemsstatsexperter för utplacering från Europol för operativt stöd. Reserven ska utgöra en reserv av experter som arbetar i sin egen medlemsstat och som kan ställas till Europols omedelbara förfogande för detta ändamål. Medlemsstaterna ska säkerställa att deras experter är tillgängliga för att som utstationerade nationella </w:t>
            </w:r>
            <w:r w:rsidRPr="00CF18FC">
              <w:lastRenderedPageBreak/>
              <w:t>experter delta i utplaceringar från Europol för operativt stöd, på begäran av Europol.</w:t>
            </w:r>
          </w:p>
        </w:tc>
        <w:tc>
          <w:tcPr>
            <w:tcW w:w="4876" w:type="dxa"/>
            <w:hideMark/>
          </w:tcPr>
          <w:p w:rsidR="0018078A" w:rsidRPr="00CF18FC" w:rsidRDefault="00CF18FC">
            <w:pPr>
              <w:pStyle w:val="Normal6"/>
              <w:rPr>
                <w:szCs w:val="24"/>
              </w:rPr>
            </w:pPr>
            <w:r w:rsidRPr="00CF18FC">
              <w:lastRenderedPageBreak/>
              <w:t>6.</w:t>
            </w:r>
            <w:r w:rsidRPr="00CF18FC">
              <w:tab/>
              <w:t xml:space="preserve">Europol ska inrätta en </w:t>
            </w:r>
            <w:r w:rsidRPr="00CF18FC">
              <w:rPr>
                <w:b/>
                <w:i/>
              </w:rPr>
              <w:t>obligatorisk</w:t>
            </w:r>
            <w:r w:rsidRPr="00CF18FC">
              <w:t xml:space="preserve"> reserv av medlemsstatsexperter för utplacering från Europol för operativt stöd. Reserven ska utgöra en reserv av experter som arbetar i sin egen medlemsstat och som kan ställas till Europols omedelbara förfogande för detta ändamål. Medlemsstaterna ska säkerställa att deras experter är tillgängliga för att som </w:t>
            </w:r>
            <w:r w:rsidRPr="00CF18FC">
              <w:lastRenderedPageBreak/>
              <w:t>utstationerade nationella experter delta i utplaceringar från Europol för operativt stöd, på begäran av Europol</w:t>
            </w:r>
            <w:r w:rsidRPr="00CF18FC">
              <w:rPr>
                <w:b/>
                <w:i/>
              </w:rPr>
              <w:t>, i enlighet med principen om rättvis ansvarsfördelning, och att varje medlemsstat bidrar på rättvist sätt samtidigt som de resurser som behövs för att de ska fullgöra sitt nationella ansvar upprätthålls</w:t>
            </w:r>
            <w:r w:rsidRPr="00CF18FC">
              <w:t xml:space="preserve">. </w:t>
            </w:r>
            <w:r w:rsidRPr="00CF18FC">
              <w:rPr>
                <w:b/>
                <w:i/>
              </w:rPr>
              <w:t>Reservens sammansättning ska i största möjliga utsträckning vara både geografiskt balanserad och proportionell i förhållande till varje medlemsstats kapacitet.</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40</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5b – stycke 9</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hideMark/>
          </w:tcPr>
          <w:p w:rsidR="0018078A" w:rsidRPr="00CF18FC" w:rsidRDefault="00CF18FC">
            <w:pPr>
              <w:pStyle w:val="Normal6"/>
            </w:pPr>
            <w:r w:rsidRPr="00CF18FC">
              <w:t>9.</w:t>
            </w:r>
            <w:r w:rsidRPr="00CF18FC">
              <w:tab/>
              <w:t xml:space="preserve">Styrelsen </w:t>
            </w:r>
            <w:r w:rsidRPr="00CF18FC">
              <w:rPr>
                <w:b/>
                <w:bCs/>
                <w:i/>
                <w:iCs/>
              </w:rPr>
              <w:t>ska</w:t>
            </w:r>
            <w:r w:rsidRPr="00CF18FC">
              <w:t xml:space="preserve"> anta genomförandebestämmelser för förberedelse och genomförande av utplaceringar från Europol för operativt stöd, inbegripet om antalet experter som ska ingå i reserven och deras profiler samt eventuella senare ändringar av dessa.</w:t>
            </w:r>
          </w:p>
        </w:tc>
        <w:tc>
          <w:tcPr>
            <w:tcW w:w="4876" w:type="dxa"/>
            <w:hideMark/>
          </w:tcPr>
          <w:p w:rsidR="0018078A" w:rsidRPr="00CF18FC" w:rsidRDefault="00CF18FC">
            <w:pPr>
              <w:pStyle w:val="Normal6"/>
              <w:rPr>
                <w:szCs w:val="24"/>
              </w:rPr>
            </w:pPr>
            <w:r w:rsidRPr="00CF18FC">
              <w:t>9.</w:t>
            </w:r>
            <w:r w:rsidRPr="00CF18FC">
              <w:tab/>
            </w:r>
            <w:r w:rsidRPr="00CF18FC">
              <w:rPr>
                <w:b/>
                <w:i/>
              </w:rPr>
              <w:t>På förslag från den verkställande direktören ska</w:t>
            </w:r>
            <w:r w:rsidRPr="00CF18FC">
              <w:t xml:space="preserve"> styrelsen anta genomförandebestämmelser för förberedelse och genomförande av utplaceringar från Europol för operativt stöd, inbegripet om antalet experter som ska ingå i reserven och deras profiler samt eventuella senare ändringar av dessa.</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41</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5 – stycke 1 – led 3a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8a (ny)</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8B091D">
            <w:pPr>
              <w:pStyle w:val="Normal6"/>
              <w:rPr>
                <w:szCs w:val="24"/>
              </w:rPr>
            </w:pPr>
            <w:r w:rsidRPr="00CF18FC">
              <w:rPr>
                <w:b/>
                <w:i/>
              </w:rPr>
              <w:t>(3a)</w:t>
            </w:r>
            <w:r w:rsidRPr="00CF18FC">
              <w:rPr>
                <w:b/>
                <w:i/>
              </w:rPr>
              <w:tab/>
              <w:t>Följande ska införas:</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bCs/>
                <w:i/>
                <w:iCs/>
              </w:rPr>
              <w:t>”</w:t>
            </w:r>
            <w:r w:rsidRPr="00CF18FC">
              <w:rPr>
                <w:b/>
                <w:i/>
              </w:rPr>
              <w:t>Artikel 8a</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Nationella specialiserade avdelningar för att förebygga och bekämpa migrantsmuggling och människohandel</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8B091D">
            <w:pPr>
              <w:pStyle w:val="Normal6"/>
              <w:rPr>
                <w:szCs w:val="24"/>
              </w:rPr>
            </w:pPr>
            <w:r w:rsidRPr="00CF18FC">
              <w:rPr>
                <w:b/>
                <w:i/>
              </w:rPr>
              <w:t>1.</w:t>
            </w:r>
            <w:r w:rsidRPr="00CF18FC">
              <w:rPr>
                <w:b/>
                <w:i/>
              </w:rPr>
              <w:tab/>
              <w:t>Senast den ... [ett år efter denna förordnings ikraftträdande] ska varje medlemsstat utse en eller flera specialiserade avdelningar inom sina behöriga myndigheter, i enlighet med nationell rätt, för att förebygga och bekämpa migrantsmuggling och människohandel, inbegripet genom brottsutredningar, och omedelbart underrätta kommissionen om detta.</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2.</w:t>
            </w:r>
            <w:r w:rsidRPr="00CF18FC">
              <w:rPr>
                <w:b/>
                <w:i/>
              </w:rPr>
              <w:tab/>
              <w:t>Varje medlemsstat ska säkerställa att dess specialiserade avdelningar som utsetts i enlighet med punkt 1 i denna artikel samlar in all relevant information som rör och som härrör från brottsutredningar av migrantsmuggling och människohandel och ska så snart som möjligt dela sådan information med Europol och andra medlemsstater via Europols nätapplikation för säkert informationsutbyte (Siena).</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3.</w:t>
            </w:r>
            <w:r w:rsidRPr="00CF18FC">
              <w:rPr>
                <w:b/>
                <w:i/>
              </w:rPr>
              <w:tab/>
              <w:t>Varje medlemsstat ska säkerställa att dess sambandsmän för invandring är anslutna till Siena och, i möjligaste mån samt i enlighet med nationell rätt, samarbetar med de specialiserade avdelningar som utsetts i enlighet med punkt 1 liksom med Europol, för att förebygga och bekämpa migrantsmuggling och människohandel.”</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42</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3b (nytt)</w:t>
      </w:r>
      <w:r w:rsidRPr="00CF18FC">
        <w:rPr>
          <w:rStyle w:val="HideTWBExt"/>
          <w:b w:val="0"/>
          <w:color w:val="auto"/>
        </w:rPr>
        <w:t>&lt;/Article&gt;</w:t>
      </w:r>
    </w:p>
    <w:p w:rsidR="0018078A" w:rsidRPr="00CF18FC" w:rsidRDefault="00CF18FC" w:rsidP="0018078A">
      <w:pPr>
        <w:keepNext/>
      </w:pPr>
      <w:r w:rsidRPr="00CF18FC">
        <w:rPr>
          <w:rStyle w:val="HideTWBExt"/>
          <w:color w:val="auto"/>
        </w:rPr>
        <w:lastRenderedPageBreak/>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Avsnitt 2a (nytt) – Artikel 16a (ny)</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8B091D">
            <w:pPr>
              <w:pStyle w:val="Normal6"/>
              <w:rPr>
                <w:szCs w:val="24"/>
              </w:rPr>
            </w:pPr>
            <w:r w:rsidRPr="00CF18FC">
              <w:rPr>
                <w:b/>
                <w:i/>
              </w:rPr>
              <w:t>(3b)</w:t>
            </w:r>
            <w:r w:rsidRPr="00CF18FC">
              <w:rPr>
                <w:b/>
                <w:i/>
              </w:rPr>
              <w:tab/>
              <w:t>Följande avsnitt ska införas:</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8B091D">
            <w:pPr>
              <w:pStyle w:val="Normal6"/>
              <w:rPr>
                <w:szCs w:val="24"/>
              </w:rPr>
            </w:pPr>
            <w:r w:rsidRPr="00CF18FC">
              <w:rPr>
                <w:b/>
                <w:i/>
              </w:rPr>
              <w:t>”Avsnitt 2a</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Europeiska centrumet mot migrantsmuggling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Artikel 16a</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Sammansättning av Europeiska centrumet mot migrantsmuggling och dess uppgifter</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1.</w:t>
            </w:r>
            <w:r w:rsidRPr="00CF18FC">
              <w:rPr>
                <w:b/>
                <w:i/>
              </w:rPr>
              <w:tab/>
              <w:t>Europeiska centrumet mot migrantsmuggling ska inrättas inom Europol som ett unionscentrum med specialiserad sakkunskap. Det ska stödja medlemsstaterna i arbetet med att förebygga och bekämpa migrantsmuggling och människohandel genom att utföra operativa och strategiska uppgifter. Dessa uppgifter ska omfatta samordning, organisering och genomförande av utredningsåtgärder och operativa åtgärder, stöd till medlemsstaternas gränsöverskridande informationsutbyte, insatser och utredningar samt gemensamma utredningsgrupper och operativa arbetsgrupper. De ska också omfatta övervakning av migrantsmuggling och människohandel som äger rum i unionen och i tredjeländer samt identifiering av fall av migrantsmuggling och människohandel som kan kräva samarbete med tredjeländer, bland annat genom utbyte av personuppgifter. Europeiska centrumet mot migrantsmuggling ska också tillhandahålla strategiska analyser och hotbildsbedömningar av migrantsmuggling och människohandel samt en årlig rapport som fastställer de viktigaste operativa prioriteringarna och eventuella relaterade åtgärder på unionsnivå.</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2.</w:t>
            </w:r>
            <w:r w:rsidRPr="00CF18FC">
              <w:rPr>
                <w:b/>
                <w:i/>
              </w:rPr>
              <w:tab/>
              <w:t>Europol ska förse Europeiska centrumet mot migrantsmuggling med tillräckliga resurser för att det ska kunna utföra sina uppgifter.</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3.</w:t>
            </w:r>
            <w:r w:rsidRPr="00CF18FC">
              <w:rPr>
                <w:b/>
                <w:i/>
              </w:rPr>
              <w:tab/>
              <w:t>Europeiska centrumet mot migrantsmuggling ska bestå av Europols personal samt företrädare för följande enheter:</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a)</w:t>
            </w:r>
            <w:r w:rsidRPr="00CF18FC">
              <w:rPr>
                <w:b/>
                <w:i/>
              </w:rPr>
              <w:tab/>
              <w:t>En företrädare för varje medlemsstat som utsetts från en nationell specialiserad avdelning inom de behöriga myndigheter som ansvarar för att förebygga och bekämpa migrantsmuggling av och människohandel enligt artikel 8a.</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b)</w:t>
            </w:r>
            <w:r w:rsidRPr="00CF18FC">
              <w:rPr>
                <w:b/>
                <w:i/>
              </w:rPr>
              <w:tab/>
              <w:t>En ständig företrädare för Eurojust.</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c)</w:t>
            </w:r>
            <w:r w:rsidRPr="00CF18FC">
              <w:rPr>
                <w:b/>
                <w:i/>
              </w:rPr>
              <w:tab/>
              <w:t>En ständig företrädare för Europeiska gräns- och kustbevakningsbyrån.</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Europol får bjuda in andra deltagare att vara delaktiga i verksamheten vid Europeiska centrumet mot migrantsmuggling.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4.</w:t>
            </w:r>
            <w:r w:rsidRPr="00CF18FC">
              <w:rPr>
                <w:b/>
                <w:i/>
              </w:rPr>
              <w:tab/>
              <w:t>På förslag från den verkställande direktören ska styrelsen, efter samråd med de enheter som förtecknas i punkt 3 a, b och c, anta genomförandebestämmelser för Europeiska centrumet mot migrantsmuggling, bland annat för de olika slags operativa och strategiska uppgifter som ska utföras, och för de deltagande företrädare och inbjudna deltagare som förtecknas i punkt 3. Unionsorgan eller unionsbyråer, inbegripet de som avses i punkt 3, som deltar i verksamheten vid Europeiska centrumet mot migrantsmuggling ska göra detta i enlighet med sina respektive rättsliga ramar.”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 xml:space="preserve">Förslag att Europeiska centrumet mot migrantsmuggling ska inrättas inom ramen för </w:t>
      </w:r>
      <w:r w:rsidRPr="00CF18FC">
        <w:lastRenderedPageBreak/>
        <w:t>Europolförordningen. Det föreslås att styrelsen, efter ett förslag från den verkställande direktören, ges större utrymme att besluta om detaljerna för centrumets uppgifter och deltagandet av andra enheter (punkt 4).</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43</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4a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49 – stycke 5a (nytt)</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8B091D">
            <w:pPr>
              <w:pStyle w:val="Normal6"/>
              <w:rPr>
                <w:szCs w:val="24"/>
              </w:rPr>
            </w:pPr>
            <w:r w:rsidRPr="00CF18FC">
              <w:rPr>
                <w:b/>
                <w:i/>
              </w:rPr>
              <w:t>(4a)</w:t>
            </w:r>
            <w:r w:rsidRPr="00CF18FC">
              <w:rPr>
                <w:b/>
                <w:i/>
              </w:rPr>
              <w:tab/>
              <w:t>I artikel 49 ska följande punkt läggas till:</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”5a.</w:t>
            </w:r>
            <w:r w:rsidRPr="00CF18FC">
              <w:rPr>
                <w:b/>
                <w:i/>
              </w:rPr>
              <w:tab/>
              <w:t>Varje person som har lidit materiell eller immateriell skada till följd av en överträdelse av denna förordning ska ha rätt till ersättning i enlighet med artikel 65 i förordning (EU) 2018/1725 och artikel 56 i direktiv (EU) 2016/680.”</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44</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4b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50</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rsidP="008B091D">
            <w:pPr>
              <w:pStyle w:val="ColumnHeading"/>
              <w:keepNext/>
            </w:pPr>
            <w:r w:rsidRPr="00CF18FC">
              <w:t>Nuvarande lydelse</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3C4EC2">
            <w:pPr>
              <w:pStyle w:val="Normal6"/>
              <w:rPr>
                <w:szCs w:val="24"/>
              </w:rPr>
            </w:pPr>
            <w:r w:rsidRPr="00CF18FC">
              <w:rPr>
                <w:b/>
                <w:i/>
              </w:rPr>
              <w:t>(4b)</w:t>
            </w:r>
            <w:r w:rsidRPr="00CF18FC">
              <w:rPr>
                <w:b/>
                <w:i/>
              </w:rPr>
              <w:tab/>
              <w:t>Artikel 50 ska ersättas med följande:</w:t>
            </w:r>
          </w:p>
        </w:tc>
      </w:tr>
      <w:tr w:rsidR="00CF18FC" w:rsidRPr="00CF18FC" w:rsidTr="0018078A">
        <w:trPr>
          <w:jc w:val="center"/>
        </w:trPr>
        <w:tc>
          <w:tcPr>
            <w:tcW w:w="4876" w:type="dxa"/>
          </w:tcPr>
          <w:p w:rsidR="0018078A" w:rsidRPr="00CF18FC" w:rsidRDefault="00CF18FC">
            <w:pPr>
              <w:pStyle w:val="Normal6"/>
            </w:pPr>
            <w:r w:rsidRPr="00CF18FC">
              <w:rPr>
                <w:b/>
                <w:i/>
              </w:rPr>
              <w:t>Artikel 50</w:t>
            </w:r>
          </w:p>
        </w:tc>
        <w:tc>
          <w:tcPr>
            <w:tcW w:w="4876" w:type="dxa"/>
            <w:hideMark/>
          </w:tcPr>
          <w:p w:rsidR="0018078A" w:rsidRPr="00CF18FC" w:rsidRDefault="00CF18FC">
            <w:pPr>
              <w:pStyle w:val="Normal6"/>
              <w:rPr>
                <w:szCs w:val="24"/>
              </w:rPr>
            </w:pPr>
            <w:r w:rsidRPr="00CF18FC">
              <w:rPr>
                <w:b/>
                <w:i/>
              </w:rPr>
              <w:t>”Artikel 50</w:t>
            </w:r>
          </w:p>
        </w:tc>
      </w:tr>
      <w:tr w:rsidR="00CF18FC" w:rsidRPr="00CF18FC" w:rsidTr="0018078A">
        <w:trPr>
          <w:jc w:val="center"/>
        </w:trPr>
        <w:tc>
          <w:tcPr>
            <w:tcW w:w="4876" w:type="dxa"/>
          </w:tcPr>
          <w:p w:rsidR="0018078A" w:rsidRPr="00CF18FC" w:rsidRDefault="00CF18FC">
            <w:pPr>
              <w:pStyle w:val="Normal6"/>
            </w:pPr>
            <w:r w:rsidRPr="00CF18FC">
              <w:t xml:space="preserve">Ansvar för felaktig behandling av </w:t>
            </w:r>
            <w:r w:rsidRPr="00CF18FC">
              <w:rPr>
                <w:b/>
                <w:i/>
              </w:rPr>
              <w:t>personuppgifter och rätt till ersättning</w:t>
            </w:r>
          </w:p>
        </w:tc>
        <w:tc>
          <w:tcPr>
            <w:tcW w:w="4876" w:type="dxa"/>
            <w:hideMark/>
          </w:tcPr>
          <w:p w:rsidR="0018078A" w:rsidRPr="00CF18FC" w:rsidRDefault="00CF18FC">
            <w:pPr>
              <w:pStyle w:val="Normal6"/>
              <w:rPr>
                <w:szCs w:val="24"/>
              </w:rPr>
            </w:pPr>
            <w:r w:rsidRPr="00CF18FC">
              <w:t xml:space="preserve">Ansvar för </w:t>
            </w:r>
            <w:r w:rsidRPr="00CF18FC">
              <w:rPr>
                <w:b/>
                <w:i/>
              </w:rPr>
              <w:t>otillåten eller</w:t>
            </w:r>
            <w:r w:rsidRPr="00CF18FC">
              <w:t xml:space="preserve"> felaktig behandling av </w:t>
            </w:r>
            <w:r w:rsidRPr="00CF18FC">
              <w:rPr>
                <w:b/>
                <w:i/>
              </w:rPr>
              <w:t>uppgifter</w:t>
            </w:r>
          </w:p>
        </w:tc>
      </w:tr>
      <w:tr w:rsidR="00CF18FC" w:rsidRPr="00CF18FC" w:rsidTr="0018078A">
        <w:trPr>
          <w:jc w:val="center"/>
        </w:trPr>
        <w:tc>
          <w:tcPr>
            <w:tcW w:w="4876" w:type="dxa"/>
          </w:tcPr>
          <w:p w:rsidR="0018078A" w:rsidRPr="00CF18FC" w:rsidRDefault="00CF18FC">
            <w:pPr>
              <w:pStyle w:val="Normal6"/>
            </w:pPr>
            <w:r w:rsidRPr="00CF18FC">
              <w:t>1.</w:t>
            </w:r>
            <w:r w:rsidRPr="00CF18FC">
              <w:tab/>
            </w:r>
            <w:r w:rsidRPr="00CF18FC">
              <w:rPr>
                <w:b/>
                <w:i/>
              </w:rPr>
              <w:t>Var och en</w:t>
            </w:r>
            <w:r w:rsidRPr="00CF18FC">
              <w:t xml:space="preserve"> </w:t>
            </w:r>
            <w:r w:rsidRPr="00CF18FC">
              <w:rPr>
                <w:b/>
                <w:i/>
              </w:rPr>
              <w:t>som åsamkats skada på grund av otillåten behandling av personuppgifter har rätt till ersättning för den skada som åsamkats, antingen från</w:t>
            </w:r>
            <w:r w:rsidRPr="00CF18FC">
              <w:t xml:space="preserve"> Europol i enlighet med artikel 340 i EUF-fördraget </w:t>
            </w:r>
            <w:r w:rsidRPr="00CF18FC">
              <w:rPr>
                <w:b/>
                <w:i/>
              </w:rPr>
              <w:t xml:space="preserve">eller från den medlemsstat där </w:t>
            </w:r>
            <w:r w:rsidRPr="00CF18FC">
              <w:rPr>
                <w:b/>
                <w:i/>
              </w:rPr>
              <w:lastRenderedPageBreak/>
              <w:t>den händelse</w:t>
            </w:r>
            <w:r w:rsidRPr="00CF18FC">
              <w:t xml:space="preserve"> som </w:t>
            </w:r>
            <w:r w:rsidRPr="00CF18FC">
              <w:rPr>
                <w:b/>
                <w:i/>
              </w:rPr>
              <w:t>förorsakade skadan inträffade, i enlighet med dess nationella rätt</w:t>
            </w:r>
            <w:r w:rsidRPr="00CF18FC">
              <w:t xml:space="preserve">. </w:t>
            </w:r>
            <w:r w:rsidRPr="00CF18FC">
              <w:rPr>
                <w:b/>
                <w:i/>
              </w:rPr>
              <w:t>Den enskilde</w:t>
            </w:r>
            <w:r w:rsidRPr="00CF18FC">
              <w:t xml:space="preserve"> </w:t>
            </w:r>
            <w:r w:rsidRPr="00CF18FC">
              <w:rPr>
                <w:b/>
                <w:i/>
              </w:rPr>
              <w:t>ska väcka talan mot Europol vid Europeiska unionens domstol eller mot en medlemsstat vid en behörig domstol i den medlemsstaten.</w:t>
            </w:r>
          </w:p>
        </w:tc>
        <w:tc>
          <w:tcPr>
            <w:tcW w:w="4876" w:type="dxa"/>
            <w:hideMark/>
          </w:tcPr>
          <w:p w:rsidR="0018078A" w:rsidRPr="00CF18FC" w:rsidRDefault="00CF18FC">
            <w:pPr>
              <w:pStyle w:val="Normal6"/>
              <w:rPr>
                <w:szCs w:val="24"/>
              </w:rPr>
            </w:pPr>
            <w:r w:rsidRPr="00CF18FC">
              <w:lastRenderedPageBreak/>
              <w:t>1.</w:t>
            </w:r>
            <w:r w:rsidRPr="00CF18FC">
              <w:rPr>
                <w:b/>
                <w:i/>
              </w:rPr>
              <w:tab/>
            </w:r>
            <w:r w:rsidRPr="00CF18FC">
              <w:t xml:space="preserve">Europol </w:t>
            </w:r>
            <w:r w:rsidRPr="00CF18FC">
              <w:rPr>
                <w:b/>
                <w:i/>
              </w:rPr>
              <w:t>ska,</w:t>
            </w:r>
            <w:r w:rsidRPr="00CF18FC">
              <w:t xml:space="preserve"> i enlighet med artikel 340 i EUF-fördraget</w:t>
            </w:r>
            <w:r w:rsidRPr="00CF18FC">
              <w:rPr>
                <w:b/>
                <w:i/>
              </w:rPr>
              <w:t>, vara ansvarig för all skada</w:t>
            </w:r>
            <w:r w:rsidRPr="00CF18FC">
              <w:t xml:space="preserve"> som </w:t>
            </w:r>
            <w:r w:rsidRPr="00CF18FC">
              <w:rPr>
                <w:b/>
                <w:i/>
              </w:rPr>
              <w:t>åsamkats en person till följd av att byrån utfört otillåten eller felaktig behandling av uppgifter</w:t>
            </w:r>
            <w:r w:rsidRPr="00CF18FC">
              <w:t>.</w:t>
            </w:r>
          </w:p>
        </w:tc>
      </w:tr>
      <w:tr w:rsidR="00CF18FC" w:rsidRPr="00CF18FC" w:rsidTr="0018078A">
        <w:trPr>
          <w:jc w:val="center"/>
        </w:trPr>
        <w:tc>
          <w:tcPr>
            <w:tcW w:w="4876" w:type="dxa"/>
          </w:tcPr>
          <w:p w:rsidR="0018078A" w:rsidRPr="00CF18FC" w:rsidRDefault="00CF18FC">
            <w:pPr>
              <w:pStyle w:val="Normal6"/>
              <w:rPr>
                <w:b/>
                <w:i/>
              </w:rPr>
            </w:pPr>
            <w:r w:rsidRPr="00CF18FC">
              <w:rPr>
                <w:b/>
                <w:i/>
              </w:rPr>
              <w:t>2.</w:t>
            </w:r>
            <w:r w:rsidRPr="00CF18FC">
              <w:rPr>
                <w:b/>
                <w:i/>
              </w:rPr>
              <w:tab/>
              <w:t>Alla tvister mellan Europol och medlemsstater om det slutliga ansvaret för ersättning som har beviljats enskilda i enlighet med punkt 1 ska hänskjutas till styrelsen, som ska besluta med två tredjedelars majoritet av sina ledamöter, utan att detta påverkar rätten att angripa det beslutet i enlighet med artikel 263 i EUF-fördraget.</w:t>
            </w:r>
          </w:p>
        </w:tc>
        <w:tc>
          <w:tcPr>
            <w:tcW w:w="4876" w:type="dxa"/>
            <w:hideMark/>
          </w:tcPr>
          <w:p w:rsidR="0018078A" w:rsidRPr="00CF18FC" w:rsidRDefault="00CF18FC">
            <w:pPr>
              <w:pStyle w:val="Normal6"/>
              <w:rPr>
                <w:szCs w:val="24"/>
              </w:rPr>
            </w:pPr>
            <w:r w:rsidRPr="00CF18FC">
              <w:rPr>
                <w:b/>
                <w:i/>
              </w:rPr>
              <w:t>2.</w:t>
            </w:r>
            <w:r w:rsidRPr="00CF18FC">
              <w:rPr>
                <w:b/>
                <w:i/>
              </w:rPr>
              <w:tab/>
              <w:t>Klagomål mot Europol på grundval av dess ansvar enligt punkt 1 i denna artikel ska lämnas in till domstolen i enlighet med artikel 268 i EUF-fördraget.</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3.</w:t>
            </w:r>
            <w:r w:rsidRPr="00CF18FC">
              <w:rPr>
                <w:b/>
                <w:i/>
              </w:rPr>
              <w:tab/>
              <w:t>Varje medlemsstat ska, i enlighet med sin nationella rätt, vara ansvarig för all skada som har åsamkats en person till följd av att medlemsstaten utfört otillåten eller felaktig behandling av uppgifter som överförts till Europol.”</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Detta harmoniserar det tillämpliga ansvars- och ersättningssystemet med andra byråer (jfr artikel 46 i Eurojustförordningen).</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45</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4c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53</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rsidP="008B091D">
            <w:pPr>
              <w:pStyle w:val="ColumnHeading"/>
              <w:keepNext/>
            </w:pPr>
            <w:r w:rsidRPr="00CF18FC">
              <w:t>Nuvarande lydelse</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rsidP="003C4EC2">
            <w:pPr>
              <w:pStyle w:val="Normal6"/>
              <w:rPr>
                <w:szCs w:val="24"/>
              </w:rPr>
            </w:pPr>
            <w:r w:rsidRPr="00CF18FC">
              <w:rPr>
                <w:b/>
                <w:i/>
              </w:rPr>
              <w:t>(4c)</w:t>
            </w:r>
            <w:r w:rsidRPr="00CF18FC">
              <w:rPr>
                <w:b/>
                <w:i/>
              </w:rPr>
              <w:tab/>
              <w:t>Artikel 53 ska ersättas med följande:</w:t>
            </w:r>
          </w:p>
        </w:tc>
      </w:tr>
      <w:tr w:rsidR="00CF18FC" w:rsidRPr="00CF18FC" w:rsidTr="0018078A">
        <w:trPr>
          <w:jc w:val="center"/>
        </w:trPr>
        <w:tc>
          <w:tcPr>
            <w:tcW w:w="4876" w:type="dxa"/>
          </w:tcPr>
          <w:p w:rsidR="0018078A" w:rsidRPr="00CF18FC" w:rsidRDefault="00CF18FC">
            <w:pPr>
              <w:pStyle w:val="Normal6"/>
            </w:pPr>
            <w:r w:rsidRPr="00CF18FC">
              <w:t>Artikel 53</w:t>
            </w:r>
          </w:p>
        </w:tc>
        <w:tc>
          <w:tcPr>
            <w:tcW w:w="4876" w:type="dxa"/>
            <w:hideMark/>
          </w:tcPr>
          <w:p w:rsidR="0018078A" w:rsidRPr="00CF18FC" w:rsidRDefault="00CF18FC">
            <w:pPr>
              <w:pStyle w:val="Normal6"/>
              <w:rPr>
                <w:szCs w:val="24"/>
              </w:rPr>
            </w:pPr>
            <w:r w:rsidRPr="00CF18FC">
              <w:t>Artikel 53</w:t>
            </w:r>
          </w:p>
        </w:tc>
      </w:tr>
      <w:tr w:rsidR="00CF18FC" w:rsidRPr="00CF18FC" w:rsidTr="0018078A">
        <w:trPr>
          <w:jc w:val="center"/>
        </w:trPr>
        <w:tc>
          <w:tcPr>
            <w:tcW w:w="4876" w:type="dxa"/>
          </w:tcPr>
          <w:p w:rsidR="0018078A" w:rsidRPr="00CF18FC" w:rsidRDefault="00CF18FC">
            <w:pPr>
              <w:pStyle w:val="Normal6"/>
            </w:pPr>
            <w:r w:rsidRPr="00CF18FC">
              <w:t>Allmänna bestämmelser</w:t>
            </w:r>
          </w:p>
        </w:tc>
        <w:tc>
          <w:tcPr>
            <w:tcW w:w="4876" w:type="dxa"/>
            <w:hideMark/>
          </w:tcPr>
          <w:p w:rsidR="0018078A" w:rsidRPr="00CF18FC" w:rsidRDefault="00CF18FC">
            <w:pPr>
              <w:pStyle w:val="Normal6"/>
              <w:rPr>
                <w:szCs w:val="24"/>
              </w:rPr>
            </w:pPr>
            <w:r w:rsidRPr="00CF18FC">
              <w:t>Allmänna bestämmelser</w:t>
            </w:r>
          </w:p>
        </w:tc>
      </w:tr>
      <w:tr w:rsidR="00CF18FC" w:rsidRPr="00CF18FC" w:rsidTr="0018078A">
        <w:trPr>
          <w:jc w:val="center"/>
        </w:trPr>
        <w:tc>
          <w:tcPr>
            <w:tcW w:w="4876" w:type="dxa"/>
          </w:tcPr>
          <w:p w:rsidR="0018078A" w:rsidRPr="00CF18FC" w:rsidRDefault="00CF18FC">
            <w:pPr>
              <w:pStyle w:val="Normal6"/>
            </w:pPr>
            <w:r w:rsidRPr="00CF18FC">
              <w:t>1.</w:t>
            </w:r>
            <w:r w:rsidRPr="00CF18FC">
              <w:tab/>
              <w:t xml:space="preserve">Tjänsteföreskrifterna för tjänstemän i Europeiska unionen, anställningsvillkoren för övriga anställda i Europeiska unionen </w:t>
            </w:r>
            <w:r w:rsidRPr="00CF18FC">
              <w:lastRenderedPageBreak/>
              <w:t>samt de bestämmelser som antagits gemensamt av unionens institutioner för tillämpningen av tjänsteföreskrifterna och anställningsvillkoren ska gälla för Europols personal</w:t>
            </w:r>
            <w:r w:rsidRPr="00CF18FC">
              <w:rPr>
                <w:b/>
                <w:i/>
              </w:rPr>
              <w:t>, med undantag för personal som den 1 maj 2017 är anställda enligt ett avtal som ingicks med Europol såsom den inrättades genom Europolkonventionen, utan att detta påverkar artikel 73.4 i denna förordning</w:t>
            </w:r>
            <w:r w:rsidRPr="00CF18FC">
              <w:t>.</w:t>
            </w:r>
            <w:r w:rsidRPr="00CF18FC">
              <w:rPr>
                <w:b/>
                <w:i/>
              </w:rPr>
              <w:t xml:space="preserve"> Sådana avtal ska fortsätta att omfattas av rådets akt av den 3 december 1998.</w:t>
            </w:r>
          </w:p>
        </w:tc>
        <w:tc>
          <w:tcPr>
            <w:tcW w:w="4876" w:type="dxa"/>
            <w:hideMark/>
          </w:tcPr>
          <w:p w:rsidR="0018078A" w:rsidRPr="00CF18FC" w:rsidRDefault="00CF18FC">
            <w:pPr>
              <w:pStyle w:val="Normal6"/>
              <w:rPr>
                <w:szCs w:val="24"/>
              </w:rPr>
            </w:pPr>
            <w:r w:rsidRPr="00CF18FC">
              <w:lastRenderedPageBreak/>
              <w:t>1.</w:t>
            </w:r>
            <w:r w:rsidRPr="00CF18FC">
              <w:tab/>
              <w:t xml:space="preserve">Tjänsteföreskrifterna för tjänstemän i Europeiska unionen, anställningsvillkoren för övriga anställda i Europeiska unionen </w:t>
            </w:r>
            <w:r w:rsidRPr="00CF18FC">
              <w:lastRenderedPageBreak/>
              <w:t>samt de bestämmelser som antagits gemensamt av unionens institutioner för tillämpningen av tjänsteföreskrifterna och anställningsvillkoren ska gälla för Europols personal.</w:t>
            </w:r>
          </w:p>
        </w:tc>
      </w:tr>
      <w:tr w:rsidR="00CF18FC" w:rsidRPr="00CF18FC" w:rsidTr="0018078A">
        <w:trPr>
          <w:jc w:val="center"/>
        </w:trPr>
        <w:tc>
          <w:tcPr>
            <w:tcW w:w="4876" w:type="dxa"/>
          </w:tcPr>
          <w:p w:rsidR="0018078A" w:rsidRPr="00CF18FC" w:rsidRDefault="00CF18FC">
            <w:pPr>
              <w:pStyle w:val="Normal6"/>
            </w:pPr>
            <w:r w:rsidRPr="00CF18FC">
              <w:t>2.</w:t>
            </w:r>
            <w:r w:rsidRPr="00CF18FC">
              <w:tab/>
              <w:t xml:space="preserve">Europols personal ska bestå av tillfälligt anställda </w:t>
            </w:r>
            <w:r w:rsidRPr="00CF18FC">
              <w:rPr>
                <w:b/>
                <w:i/>
              </w:rPr>
              <w:t>och/eller</w:t>
            </w:r>
            <w:r w:rsidRPr="00CF18FC">
              <w:t xml:space="preserve"> kontraktsanställda. Styrelsen ska årligen informeras om avtal om tillsvidareanställning som beviljats av den verkställande direktören. Styrelsen ska besluta om vilka tjänster i tjänsteförteckningen som är avsedda för tillfälligt anställda och som endast får tillsättas med personal från medlemsstaternas behöriga myndigheter. Personal som rekryteras till sådana tjänster ska vara tillfälligt anställda och får endast beviljas anställningsavtal för viss tid som får förnyas en gång med en bestämd period.</w:t>
            </w:r>
          </w:p>
        </w:tc>
        <w:tc>
          <w:tcPr>
            <w:tcW w:w="4876" w:type="dxa"/>
            <w:hideMark/>
          </w:tcPr>
          <w:p w:rsidR="0018078A" w:rsidRPr="00CF18FC" w:rsidRDefault="00CF18FC">
            <w:pPr>
              <w:pStyle w:val="Normal6"/>
              <w:rPr>
                <w:szCs w:val="24"/>
              </w:rPr>
            </w:pPr>
            <w:r w:rsidRPr="00CF18FC">
              <w:t>2.</w:t>
            </w:r>
            <w:r w:rsidRPr="00CF18FC">
              <w:tab/>
              <w:t xml:space="preserve">Europols personal ska bestå av tillfälligt anställda </w:t>
            </w:r>
            <w:r w:rsidRPr="00CF18FC">
              <w:rPr>
                <w:b/>
                <w:bCs/>
                <w:i/>
                <w:iCs/>
              </w:rPr>
              <w:t>eller</w:t>
            </w:r>
            <w:r w:rsidRPr="00CF18FC">
              <w:t xml:space="preserve"> kontraktsanställda. Styrelsen ska årligen informeras om avtal om tillsvidareanställning som beviljats av den verkställande direktören. Styrelsen ska besluta om vilka tjänster i tjänsteförteckningen som är avsedda för tillfälligt anställda och som endast får tillsättas med personal från medlemsstaternas behöriga myndigheter.</w:t>
            </w:r>
            <w:r w:rsidRPr="00CF18FC">
              <w:rPr>
                <w:b/>
                <w:i/>
              </w:rPr>
              <w:t xml:space="preserve"> </w:t>
            </w:r>
            <w:r w:rsidRPr="00CF18FC">
              <w:t xml:space="preserve">Personal som rekryteras till sådana tjänster ska vara tillfälligt anställda och får endast beviljas anställningsavtal för viss tid som får förnyas en gång med en </w:t>
            </w:r>
            <w:r w:rsidRPr="00CF18FC">
              <w:rPr>
                <w:b/>
                <w:i/>
              </w:rPr>
              <w:t>sammanlagd</w:t>
            </w:r>
            <w:r w:rsidRPr="00CF18FC">
              <w:t xml:space="preserve"> bestämd period </w:t>
            </w:r>
            <w:r w:rsidRPr="00CF18FC">
              <w:rPr>
                <w:b/>
                <w:i/>
              </w:rPr>
              <w:t>på högst tio år</w:t>
            </w:r>
            <w:r w:rsidRPr="00CF18FC">
              <w:t>.</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46</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4d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54 – stycke 3 – inledningen</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(4d)</w:t>
            </w:r>
            <w:r w:rsidRPr="00CF18FC">
              <w:rPr>
                <w:b/>
                <w:i/>
              </w:rPr>
              <w:tab/>
              <w:t>I artikel 54.3 ska inledningen ersättas med följande:</w:t>
            </w:r>
          </w:p>
        </w:tc>
      </w:tr>
      <w:tr w:rsidR="00CF18FC" w:rsidRPr="00CF18FC" w:rsidTr="0018078A">
        <w:trPr>
          <w:jc w:val="center"/>
        </w:trPr>
        <w:tc>
          <w:tcPr>
            <w:tcW w:w="4876" w:type="dxa"/>
          </w:tcPr>
          <w:p w:rsidR="0018078A" w:rsidRPr="00CF18FC" w:rsidRDefault="00CF18FC">
            <w:pPr>
              <w:pStyle w:val="Normal6"/>
            </w:pPr>
            <w:r w:rsidRPr="00CF18FC">
              <w:t>3.</w:t>
            </w:r>
            <w:r w:rsidRPr="00CF18FC">
              <w:tab/>
              <w:t xml:space="preserve">Den verkställande direktörens mandatperiod ska vara </w:t>
            </w:r>
            <w:r w:rsidRPr="00CF18FC">
              <w:rPr>
                <w:b/>
                <w:i/>
              </w:rPr>
              <w:t>fyra</w:t>
            </w:r>
            <w:r w:rsidRPr="00CF18FC">
              <w:t xml:space="preserve"> år. Vid periodens utgång ska kommissionen tillsammans med styrelsen göra en </w:t>
            </w:r>
            <w:r w:rsidRPr="00CF18FC">
              <w:lastRenderedPageBreak/>
              <w:t>utvärdering med beaktande av</w:t>
            </w:r>
          </w:p>
        </w:tc>
        <w:tc>
          <w:tcPr>
            <w:tcW w:w="4876" w:type="dxa"/>
            <w:hideMark/>
          </w:tcPr>
          <w:p w:rsidR="0018078A" w:rsidRPr="00CF18FC" w:rsidRDefault="00CF18FC">
            <w:pPr>
              <w:pStyle w:val="Normal6"/>
              <w:rPr>
                <w:szCs w:val="24"/>
              </w:rPr>
            </w:pPr>
            <w:r w:rsidRPr="00CF18FC">
              <w:lastRenderedPageBreak/>
              <w:t>3.</w:t>
            </w:r>
            <w:r w:rsidRPr="00CF18FC">
              <w:tab/>
              <w:t xml:space="preserve">Den verkställande direktörens mandatperiod ska vara </w:t>
            </w:r>
            <w:r w:rsidRPr="00CF18FC">
              <w:rPr>
                <w:b/>
                <w:i/>
              </w:rPr>
              <w:t>fem</w:t>
            </w:r>
            <w:r w:rsidRPr="00CF18FC">
              <w:t xml:space="preserve"> år.</w:t>
            </w:r>
            <w:r w:rsidRPr="00CF18FC">
              <w:rPr>
                <w:b/>
                <w:i/>
              </w:rPr>
              <w:t xml:space="preserve"> </w:t>
            </w:r>
            <w:r w:rsidRPr="00CF18FC">
              <w:t xml:space="preserve">Vid periodens utgång ska kommissionen tillsammans med styrelsen göra en </w:t>
            </w:r>
            <w:r w:rsidRPr="00CF18FC">
              <w:lastRenderedPageBreak/>
              <w:t>utvärdering med beaktande av</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Förslag att harmonisera mandatperioden för den verkställande ledningen med mandatperioden för andra RIF-byråer såsom Frontex, Europeiska unionens byrå för grundläggande rättigheter (FRA) och eu-Lisa.</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47</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4e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54 – stycke 4</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(4e)</w:t>
            </w:r>
            <w:r w:rsidRPr="00CF18FC">
              <w:rPr>
                <w:b/>
                <w:i/>
              </w:rPr>
              <w:tab/>
              <w:t>Artikel 54.4 ska ersättas med följande:</w:t>
            </w:r>
          </w:p>
        </w:tc>
      </w:tr>
      <w:tr w:rsidR="00CF18FC" w:rsidRPr="00CF18FC" w:rsidTr="0018078A">
        <w:trPr>
          <w:jc w:val="center"/>
        </w:trPr>
        <w:tc>
          <w:tcPr>
            <w:tcW w:w="4876" w:type="dxa"/>
          </w:tcPr>
          <w:p w:rsidR="0018078A" w:rsidRPr="00CF18FC" w:rsidRDefault="00CF18FC">
            <w:pPr>
              <w:pStyle w:val="Normal6"/>
            </w:pPr>
            <w:r w:rsidRPr="00CF18FC">
              <w:t>4.</w:t>
            </w:r>
            <w:r w:rsidRPr="00CF18FC">
              <w:tab/>
              <w:t xml:space="preserve">Rådet får på förslag av styrelsen, med beaktande av den utvärdering som avses i punkt 3, förlänga den verkställande direktörens mandatperiod en gång och med högst </w:t>
            </w:r>
            <w:r w:rsidRPr="00CF18FC">
              <w:rPr>
                <w:b/>
                <w:i/>
              </w:rPr>
              <w:t>fyra</w:t>
            </w:r>
            <w:r w:rsidRPr="00CF18FC">
              <w:t xml:space="preserve"> år.</w:t>
            </w:r>
          </w:p>
        </w:tc>
        <w:tc>
          <w:tcPr>
            <w:tcW w:w="4876" w:type="dxa"/>
            <w:hideMark/>
          </w:tcPr>
          <w:p w:rsidR="0018078A" w:rsidRPr="00CF18FC" w:rsidRDefault="00CF18FC">
            <w:pPr>
              <w:pStyle w:val="Normal6"/>
              <w:rPr>
                <w:szCs w:val="24"/>
              </w:rPr>
            </w:pPr>
            <w:r w:rsidRPr="00CF18FC">
              <w:t>4.</w:t>
            </w:r>
            <w:r w:rsidRPr="00CF18FC">
              <w:tab/>
              <w:t xml:space="preserve">Rådet får på förslag av styrelsen, med beaktande av den utvärdering som avses i punkt 3, förlänga den verkställande direktörens mandatperiod en gång och med högst </w:t>
            </w:r>
            <w:r w:rsidRPr="00CF18FC">
              <w:rPr>
                <w:b/>
                <w:i/>
              </w:rPr>
              <w:t>fem</w:t>
            </w:r>
            <w:r w:rsidRPr="00CF18FC">
              <w:t xml:space="preserve"> år.</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Förslag att harmonisera mandatperioden för den verkställande ledningen med mandatperioden för andra RIF-byråer såsom Frontex, Europeiska unionens byrå för grundläggande rättigheter (FRA) och eu-Lisa.</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48</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4f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63a (ny)</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(4f)</w:t>
            </w:r>
            <w:r w:rsidRPr="00CF18FC">
              <w:rPr>
                <w:b/>
                <w:i/>
              </w:rPr>
              <w:tab/>
              <w:t xml:space="preserve">Följande artikel ska införas som </w:t>
            </w:r>
            <w:r w:rsidRPr="00CF18FC">
              <w:rPr>
                <w:b/>
                <w:i/>
              </w:rPr>
              <w:lastRenderedPageBreak/>
              <w:t>artikel 63a:</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”Artikel 63a</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Vittnesmål från Europols personal</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Den verkställande direktören ska besluta om tillstånd för Europols personal att i egenskap av vittne avlägga vittnesmål inför en domstol i en medlemsstat. Tillstånd att vittna får inte nekas på otillbörligt sätt, men den verkställande direktören får, beroende på omständigheterna, fastställa villkor för vittnesmålet i enlighet med nationell rätt. Dessa bestämmelser ska även tillämpas på personal som tidigare varit anställd vid Europol.”</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r w:rsidRPr="00CF18FC">
        <w:rPr>
          <w:rStyle w:val="HideTWBExt"/>
          <w:color w:val="auto"/>
        </w:rPr>
        <w:t>&lt;/Amend&gt;</w:t>
      </w:r>
    </w:p>
    <w:p w:rsidR="0018078A" w:rsidRPr="00CF18FC" w:rsidRDefault="00CF18FC" w:rsidP="0018078A">
      <w:pPr>
        <w:pStyle w:val="AMNumberTabs0"/>
        <w:keepNext/>
      </w:pPr>
      <w:r w:rsidRPr="00CF18FC">
        <w:rPr>
          <w:rStyle w:val="HideTWBExt"/>
          <w:b w:val="0"/>
          <w:color w:val="auto"/>
        </w:rPr>
        <w:t>&lt;Amend&gt;</w:t>
      </w:r>
      <w:r w:rsidRPr="00CF18FC">
        <w:t>Ändringsförslag</w:t>
      </w:r>
      <w:r w:rsidRPr="00CF18FC">
        <w:tab/>
      </w:r>
      <w:r w:rsidRPr="00CF18FC">
        <w:tab/>
      </w:r>
      <w:r w:rsidRPr="00CF18FC">
        <w:rPr>
          <w:rStyle w:val="HideTWBExt"/>
          <w:b w:val="0"/>
          <w:color w:val="auto"/>
        </w:rPr>
        <w:t>&lt;NumAm&gt;</w:t>
      </w:r>
      <w:r w:rsidRPr="00CF18FC">
        <w:t>49</w:t>
      </w:r>
      <w:r w:rsidRPr="00CF18FC">
        <w:rPr>
          <w:rStyle w:val="HideTWBExt"/>
          <w:b w:val="0"/>
          <w:color w:val="auto"/>
        </w:rPr>
        <w:t>&lt;/NumAm&gt;</w:t>
      </w:r>
    </w:p>
    <w:p w:rsidR="0018078A" w:rsidRPr="00CF18FC" w:rsidRDefault="00CF18FC" w:rsidP="0018078A">
      <w:pPr>
        <w:pStyle w:val="NormalBold12b"/>
        <w:keepNext/>
      </w:pPr>
      <w:r w:rsidRPr="00CF18FC">
        <w:rPr>
          <w:rStyle w:val="HideTWBExt"/>
          <w:b w:val="0"/>
          <w:color w:val="auto"/>
        </w:rPr>
        <w:t>&lt;DocAmend&gt;</w:t>
      </w:r>
      <w:r w:rsidRPr="00CF18FC">
        <w:t>Förslag till förordning</w:t>
      </w:r>
      <w:r w:rsidRPr="00CF18FC">
        <w:rPr>
          <w:rStyle w:val="HideTWBExt"/>
          <w:b w:val="0"/>
          <w:color w:val="auto"/>
        </w:rPr>
        <w:t>&lt;/DocAmend&gt;</w:t>
      </w:r>
    </w:p>
    <w:p w:rsidR="0018078A" w:rsidRPr="00CF18FC" w:rsidRDefault="00CF18FC" w:rsidP="0018078A">
      <w:pPr>
        <w:pStyle w:val="NormalBold"/>
      </w:pPr>
      <w:r w:rsidRPr="00CF18FC">
        <w:rPr>
          <w:rStyle w:val="HideTWBExt"/>
          <w:b w:val="0"/>
          <w:color w:val="auto"/>
        </w:rPr>
        <w:t>&lt;Article&gt;</w:t>
      </w:r>
      <w:r w:rsidRPr="00CF18FC">
        <w:t>Artikel 9 – stycke 1 – led 4g (nytt)</w:t>
      </w:r>
      <w:r w:rsidRPr="00CF18FC">
        <w:rPr>
          <w:rStyle w:val="HideTWBExt"/>
          <w:b w:val="0"/>
          <w:color w:val="auto"/>
        </w:rPr>
        <w:t>&lt;/Article&gt;</w:t>
      </w:r>
    </w:p>
    <w:p w:rsidR="0018078A" w:rsidRPr="00CF18FC" w:rsidRDefault="00CF18FC" w:rsidP="0018078A">
      <w:pPr>
        <w:keepNext/>
      </w:pPr>
      <w:r w:rsidRPr="00CF18FC">
        <w:rPr>
          <w:rStyle w:val="HideTWBExt"/>
          <w:color w:val="auto"/>
        </w:rPr>
        <w:t>&lt;DocAmend2&gt;</w:t>
      </w:r>
      <w:r w:rsidRPr="00CF18FC">
        <w:t>Förordning (EU) 2016/794</w:t>
      </w:r>
      <w:r w:rsidRPr="00CF18FC">
        <w:rPr>
          <w:rStyle w:val="HideTWBExt"/>
          <w:color w:val="auto"/>
        </w:rPr>
        <w:t>&lt;/DocAmend2&gt;</w:t>
      </w:r>
    </w:p>
    <w:p w:rsidR="0018078A" w:rsidRPr="00CF18FC" w:rsidRDefault="00CF18FC" w:rsidP="0018078A">
      <w:r w:rsidRPr="00CF18FC">
        <w:rPr>
          <w:rStyle w:val="HideTWBExt"/>
          <w:color w:val="auto"/>
        </w:rPr>
        <w:t>&lt;Article2&gt;</w:t>
      </w:r>
      <w:r w:rsidRPr="00CF18FC">
        <w:t>Artikel 74c (ny)</w:t>
      </w:r>
      <w:r w:rsidRPr="00CF18FC">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F18FC" w:rsidRPr="00CF18FC" w:rsidTr="0018078A">
        <w:trPr>
          <w:jc w:val="center"/>
        </w:trPr>
        <w:tc>
          <w:tcPr>
            <w:tcW w:w="9752" w:type="dxa"/>
            <w:gridSpan w:val="2"/>
          </w:tcPr>
          <w:p w:rsidR="0018078A" w:rsidRPr="00CF18FC" w:rsidRDefault="0018078A">
            <w:pPr>
              <w:keepNext/>
            </w:pPr>
          </w:p>
        </w:tc>
      </w:tr>
      <w:tr w:rsidR="00CF18FC" w:rsidRPr="00CF18FC" w:rsidTr="0018078A">
        <w:trPr>
          <w:jc w:val="center"/>
        </w:trPr>
        <w:tc>
          <w:tcPr>
            <w:tcW w:w="4876" w:type="dxa"/>
            <w:hideMark/>
          </w:tcPr>
          <w:p w:rsidR="0018078A" w:rsidRPr="00CF18FC" w:rsidRDefault="00CF18FC">
            <w:pPr>
              <w:pStyle w:val="ColumnHeading"/>
              <w:keepNext/>
            </w:pPr>
            <w:r w:rsidRPr="00CF18FC">
              <w:t>Kommissionens förslag</w:t>
            </w:r>
          </w:p>
        </w:tc>
        <w:tc>
          <w:tcPr>
            <w:tcW w:w="4876" w:type="dxa"/>
            <w:hideMark/>
          </w:tcPr>
          <w:p w:rsidR="0018078A" w:rsidRPr="00CF18FC" w:rsidRDefault="00CF18FC">
            <w:pPr>
              <w:pStyle w:val="ColumnHeading"/>
              <w:keepNext/>
            </w:pPr>
            <w:r w:rsidRPr="00CF18FC">
              <w:t>Ändringsförslag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(4g)</w:t>
            </w:r>
            <w:r w:rsidRPr="00CF18FC">
              <w:rPr>
                <w:b/>
                <w:i/>
              </w:rPr>
              <w:tab/>
              <w:t>Följande artikel ska införas som artikel 74c:</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”Artikel 74c</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Övergångsbestämmelser om den verkställande direktörens, de biträdande direktörernas och personalens tjänstgöringstid</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1.</w:t>
            </w:r>
            <w:r w:rsidRPr="00CF18FC">
              <w:rPr>
                <w:b/>
                <w:i/>
              </w:rPr>
              <w:tab/>
              <w:t xml:space="preserve">Den verkställande direktören, som ska utses på grundval av artikel 54 i denna förordning och vars mandatperiod löper ut efter den ... [datum för den här ändringsförordningens ikraftträdande], ska automatiskt få sin första eller andra mandatperiod förlängd med en högsta tillåten tjänstgöringstid på tio år. Förlängningen ska inte medföra någon förnyelse av kontrakt enligt artikel 8 i </w:t>
            </w:r>
            <w:r w:rsidRPr="00CF18FC">
              <w:rPr>
                <w:b/>
                <w:i/>
              </w:rPr>
              <w:lastRenderedPageBreak/>
              <w:t>anställningsvillkoren för övriga anställda i Europeiska unionen.</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2.</w:t>
            </w:r>
            <w:r w:rsidRPr="00CF18FC">
              <w:rPr>
                <w:b/>
                <w:i/>
              </w:rPr>
              <w:tab/>
              <w:t>Om den verkställande direktören inte är villig att godta den automatiska förlängning som avses i punkt 1, får denne behålla sin nuvarande mandatperiod.</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3.</w:t>
            </w:r>
            <w:r w:rsidRPr="00CF18FC">
              <w:rPr>
                <w:b/>
                <w:i/>
              </w:rPr>
              <w:tab/>
              <w:t>Punkterna 1 och 2 i denna artikel ska tillämpas på de biträdande verkställande direktörer som ska utses på grundval av artikel 55 i denna förordning och vars mandatperiod löper ut efter den ... [datum för den här ändringsförordningens ikraftträdande].</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4.</w:t>
            </w:r>
            <w:r w:rsidRPr="00CF18FC">
              <w:rPr>
                <w:b/>
                <w:i/>
              </w:rPr>
              <w:tab/>
              <w:t>Avtalet för en tillfälligt anställd enligt tjänsteförteckningen som är i aktiv tjänst den [datum för den här ändringsförordningens ikraftträdande] ska automatiskt förlängas till den högsta avtalstiden på tio år, under förutsättning att</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a)</w:t>
            </w:r>
            <w:r w:rsidRPr="00CF18FC">
              <w:rPr>
                <w:b/>
                <w:i/>
              </w:rPr>
              <w:tab/>
              <w:t>den tillfälligt anställda har rekryterats till en tjänst som endast kan tillsättas av personal från medlemsstaternas behöriga myndigheter i enlighet med artikel 53.2 i denna förordning,</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b)</w:t>
            </w:r>
            <w:r w:rsidRPr="00CF18FC">
              <w:rPr>
                <w:b/>
                <w:i/>
              </w:rPr>
              <w:tab/>
              <w:t>avtalet redan har förnyats en gång och löper ut i slutet av den högsta tjänstgöringstiden på nio år.</w:t>
            </w:r>
          </w:p>
        </w:tc>
      </w:tr>
      <w:tr w:rsidR="00CF18FC" w:rsidRPr="00CF18FC" w:rsidTr="0018078A">
        <w:trPr>
          <w:jc w:val="center"/>
        </w:trPr>
        <w:tc>
          <w:tcPr>
            <w:tcW w:w="4876" w:type="dxa"/>
          </w:tcPr>
          <w:p w:rsidR="0018078A" w:rsidRPr="00CF18FC" w:rsidRDefault="0018078A">
            <w:pPr>
              <w:pStyle w:val="Normal6"/>
            </w:pPr>
          </w:p>
        </w:tc>
        <w:tc>
          <w:tcPr>
            <w:tcW w:w="4876" w:type="dxa"/>
            <w:hideMark/>
          </w:tcPr>
          <w:p w:rsidR="0018078A" w:rsidRPr="00CF18FC" w:rsidRDefault="00CF18FC">
            <w:pPr>
              <w:pStyle w:val="Normal6"/>
              <w:rPr>
                <w:szCs w:val="24"/>
              </w:rPr>
            </w:pPr>
            <w:r w:rsidRPr="00CF18FC">
              <w:rPr>
                <w:b/>
                <w:i/>
              </w:rPr>
              <w:t>Denna automatiska förlängning ska inte utgöra en förnyelse av kontrakt enligt artikel 8 i anställningsvillkoren för övriga anställda. Anställda som inte godtar den automatiska förlängning som avses i första stycket får behålla sitt befintliga avtalsförhållande med Europol enligt artikel 53.”</w:t>
            </w:r>
          </w:p>
        </w:tc>
      </w:tr>
    </w:tbl>
    <w:p w:rsidR="0018078A" w:rsidRPr="00CF18FC" w:rsidRDefault="00CF18FC" w:rsidP="0018078A">
      <w:pPr>
        <w:pStyle w:val="Olang"/>
      </w:pPr>
      <w:r w:rsidRPr="00CF18FC">
        <w:t xml:space="preserve">Or. </w:t>
      </w:r>
      <w:r w:rsidRPr="00CF18FC">
        <w:rPr>
          <w:rStyle w:val="HideTWBExt"/>
          <w:noProof w:val="0"/>
          <w:color w:val="auto"/>
        </w:rPr>
        <w:t>&lt;Original&gt;</w:t>
      </w:r>
      <w:r w:rsidRPr="00CF18FC">
        <w:rPr>
          <w:rStyle w:val="HideTWBInt"/>
          <w:color w:val="auto"/>
        </w:rPr>
        <w:t>{EN}</w:t>
      </w:r>
      <w:r w:rsidRPr="00CF18FC">
        <w:t>en</w:t>
      </w:r>
      <w:r w:rsidRPr="00CF18FC">
        <w:rPr>
          <w:rStyle w:val="HideTWBExt"/>
          <w:noProof w:val="0"/>
          <w:color w:val="auto"/>
        </w:rPr>
        <w:t>&lt;/Original&gt;</w:t>
      </w:r>
    </w:p>
    <w:p w:rsidR="0018078A" w:rsidRPr="00CF18FC" w:rsidRDefault="00CF18FC" w:rsidP="0018078A">
      <w:pPr>
        <w:pStyle w:val="JustificationTitle"/>
        <w:rPr>
          <w:noProof w:val="0"/>
        </w:rPr>
      </w:pPr>
      <w:r w:rsidRPr="00CF18FC">
        <w:rPr>
          <w:rStyle w:val="HideTWBExt"/>
          <w:i w:val="0"/>
          <w:color w:val="auto"/>
        </w:rPr>
        <w:t>&lt;TitreJust&gt;</w:t>
      </w:r>
      <w:r w:rsidRPr="00CF18FC">
        <w:t>Motivering</w:t>
      </w:r>
      <w:r w:rsidRPr="00CF18FC">
        <w:rPr>
          <w:rStyle w:val="HideTWBExt"/>
          <w:i w:val="0"/>
          <w:color w:val="auto"/>
        </w:rPr>
        <w:t>&lt;/TitreJust&gt;</w:t>
      </w:r>
    </w:p>
    <w:p w:rsidR="0018078A" w:rsidRPr="00CF18FC" w:rsidRDefault="00CF18FC" w:rsidP="0018078A">
      <w:pPr>
        <w:pStyle w:val="Normal12Italic"/>
        <w:rPr>
          <w:noProof w:val="0"/>
        </w:rPr>
      </w:pPr>
      <w:r w:rsidRPr="00CF18FC">
        <w:t>Syftet är att göra det möjligt för den angivna personal vid byrån och verkställande ledning som finns på plats vid tidpunkten för ikraftträdandet av denna ändringsförordning att dra nytta av de nya reglerna.</w:t>
      </w:r>
    </w:p>
    <w:p w:rsidR="0018078A" w:rsidRPr="00CF18FC" w:rsidRDefault="00CF18FC" w:rsidP="0018078A">
      <w:r w:rsidRPr="00CF18FC">
        <w:rPr>
          <w:rStyle w:val="HideTWBExt"/>
          <w:color w:val="auto"/>
        </w:rPr>
        <w:lastRenderedPageBreak/>
        <w:t>&lt;/Amend&gt;&lt;/RepeatBlock-Amend&gt;</w:t>
      </w:r>
    </w:p>
    <w:p w:rsidR="0018078A" w:rsidRPr="00CF18FC" w:rsidRDefault="0018078A" w:rsidP="0018078A"/>
    <w:p w:rsidR="0018078A" w:rsidRPr="00CF18FC" w:rsidRDefault="0018078A" w:rsidP="00D30DE2"/>
    <w:p w:rsidR="00742F5F" w:rsidRPr="00CF18FC" w:rsidRDefault="00742F5F" w:rsidP="00742F5F"/>
    <w:p w:rsidR="00C24129" w:rsidRPr="00CF18FC" w:rsidRDefault="00C24129" w:rsidP="00D30DE2">
      <w:pPr>
        <w:sectPr w:rsidR="00C24129" w:rsidRPr="00CF18FC" w:rsidSect="005738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C24129" w:rsidRPr="00CF18FC" w:rsidRDefault="00CF18FC" w:rsidP="00C24129">
      <w:pPr>
        <w:pStyle w:val="PageHeading"/>
      </w:pPr>
      <w:bookmarkStart w:id="2" w:name="_Toc191538329"/>
      <w:r w:rsidRPr="00CF18FC">
        <w:lastRenderedPageBreak/>
        <w:t>MOTIVERING</w:t>
      </w:r>
      <w:bookmarkEnd w:id="2"/>
    </w:p>
    <w:p w:rsidR="005C2937" w:rsidRPr="00CF18FC" w:rsidRDefault="00CF18FC" w:rsidP="005C2937">
      <w:pPr>
        <w:pStyle w:val="NoSpacing"/>
        <w:jc w:val="both"/>
        <w:rPr>
          <w:rFonts w:ascii="Times New Roman" w:hAnsi="Times New Roman" w:cs="Times New Roman"/>
          <w:i/>
          <w:sz w:val="24"/>
          <w:szCs w:val="24"/>
        </w:rPr>
      </w:pPr>
      <w:r w:rsidRPr="00CF18FC">
        <w:rPr>
          <w:rFonts w:ascii="Times New Roman" w:hAnsi="Times New Roman"/>
          <w:i/>
          <w:sz w:val="24"/>
        </w:rPr>
        <w:t>Förslag till EUROPAPARLAMENTETS OCH RÅDETS FÖRORDNING om ändring av förordning (EU) 2016/794 vad gäller förstärkning av Europols stöd, och förstärkning av polissamarbetet för att förebygga och bekämpa migrantsmuggling och människohandel</w:t>
      </w:r>
    </w:p>
    <w:p w:rsidR="005C2937" w:rsidRPr="00CF18FC" w:rsidRDefault="005C2937" w:rsidP="005C2937">
      <w:pPr>
        <w:pStyle w:val="NoSpacing"/>
        <w:jc w:val="both"/>
        <w:rPr>
          <w:rFonts w:ascii="Times New Roman" w:hAnsi="Times New Roman" w:cs="Times New Roman"/>
          <w:i/>
          <w:sz w:val="24"/>
          <w:szCs w:val="24"/>
        </w:rPr>
      </w:pPr>
    </w:p>
    <w:p w:rsidR="005C2937" w:rsidRPr="00CF18FC" w:rsidRDefault="00CF18FC" w:rsidP="005C2937">
      <w:pPr>
        <w:pStyle w:val="NoSpacing"/>
        <w:jc w:val="both"/>
        <w:rPr>
          <w:rFonts w:ascii="Times New Roman" w:hAnsi="Times New Roman" w:cs="Times New Roman"/>
          <w:sz w:val="24"/>
          <w:szCs w:val="24"/>
        </w:rPr>
      </w:pPr>
      <w:r w:rsidRPr="00CF18FC">
        <w:rPr>
          <w:rFonts w:ascii="Times New Roman" w:hAnsi="Times New Roman"/>
          <w:sz w:val="24"/>
        </w:rPr>
        <w:t>Över 90 procent av de personer som anländer till EU irreguljärt är beroende av att smugglare underlättar en del av eller hela deras resa. Dessa smugglare är hänsynslösa brottslingar som ser ett människoliv som en ren affärsmöjlighet. Detta är en cynisk affärsmodell som utnyttjar utsatta människor och ofta äventyrar deras liv på riskfyllda resor och utsätter dem för våld och övergrepp. Efter att ha underlättat passage över EU:s yttre gränser fortsätter de kriminella nätverken sin verksamhet genom att underlätta otillåtna sekundära förflyttningar inom EU. Smugglingsnätverken anpassar sig snabbt till yttre utveckling genom att flexibelt fördela resurser och använda sig av nya vägar, tekniker och tillvägagångssätt. Undersökningar har visat att migrantsmugglare ofta använder befintlig infrastruktur för parallell brottslig verksamhet såsom narkotika-, vapen- eller människohandel i kombination med bedräglig tillämpning av rättsliga instrument och företagsstrukturer.</w:t>
      </w:r>
    </w:p>
    <w:p w:rsidR="005C2937" w:rsidRPr="00CF18FC" w:rsidRDefault="005C2937" w:rsidP="005C2937">
      <w:pPr>
        <w:pStyle w:val="NoSpacing"/>
        <w:jc w:val="both"/>
        <w:rPr>
          <w:rFonts w:ascii="Times New Roman" w:hAnsi="Times New Roman" w:cs="Times New Roman"/>
          <w:sz w:val="24"/>
          <w:szCs w:val="24"/>
        </w:rPr>
      </w:pPr>
    </w:p>
    <w:p w:rsidR="005C2937" w:rsidRPr="00CF18FC" w:rsidRDefault="00CF18FC" w:rsidP="005C2937">
      <w:pPr>
        <w:pStyle w:val="NoSpacing"/>
        <w:jc w:val="both"/>
        <w:rPr>
          <w:rFonts w:ascii="Times New Roman" w:hAnsi="Times New Roman" w:cs="Times New Roman"/>
          <w:sz w:val="24"/>
          <w:szCs w:val="24"/>
        </w:rPr>
      </w:pPr>
      <w:r w:rsidRPr="00CF18FC">
        <w:rPr>
          <w:rFonts w:ascii="Times New Roman" w:hAnsi="Times New Roman"/>
          <w:sz w:val="24"/>
        </w:rPr>
        <w:t xml:space="preserve">Dessa kriminella nätverk genererar häpnadsväckande intäkter på 4,7–6 miljarder euro per år. Därför har alla medlemsstatsmyndigheter, EU-byråer och nyckelaktörer, såsom rese- och transportföretag och det civila samhällets organisationer, både en rättslig skyldighet och ett moraliskt ansvar att göra allt de kan för att förhindra migrantsmuggling. </w:t>
      </w:r>
    </w:p>
    <w:p w:rsidR="005C2937" w:rsidRPr="00CF18FC" w:rsidRDefault="005C2937" w:rsidP="005C2937">
      <w:pPr>
        <w:pStyle w:val="NoSpacing"/>
        <w:jc w:val="both"/>
        <w:rPr>
          <w:rFonts w:ascii="Times New Roman" w:hAnsi="Times New Roman" w:cs="Times New Roman"/>
          <w:sz w:val="24"/>
          <w:szCs w:val="24"/>
        </w:rPr>
      </w:pPr>
    </w:p>
    <w:p w:rsidR="005C2937" w:rsidRPr="00CF18FC" w:rsidRDefault="00CF18FC" w:rsidP="005C2937">
      <w:pPr>
        <w:pStyle w:val="NoSpacing"/>
        <w:jc w:val="both"/>
        <w:rPr>
          <w:rFonts w:ascii="Times New Roman" w:hAnsi="Times New Roman" w:cs="Times New Roman"/>
          <w:sz w:val="24"/>
          <w:szCs w:val="24"/>
        </w:rPr>
      </w:pPr>
      <w:r w:rsidRPr="00CF18FC">
        <w:rPr>
          <w:rFonts w:ascii="Times New Roman" w:hAnsi="Times New Roman"/>
          <w:sz w:val="24"/>
        </w:rPr>
        <w:t>Europeiska unionens byrå för samarbete inom brottsbekämpning (Europol) spelar en viktig roll i samordningen av dessa insatser, vilket understryks av kommissionens ordförande Ursula</w:t>
      </w:r>
      <w:r w:rsidR="003007C0">
        <w:rPr>
          <w:rFonts w:ascii="Times New Roman" w:hAnsi="Times New Roman"/>
          <w:sz w:val="24"/>
        </w:rPr>
        <w:t> </w:t>
      </w:r>
      <w:r w:rsidRPr="00CF18FC">
        <w:rPr>
          <w:rFonts w:ascii="Times New Roman" w:hAnsi="Times New Roman"/>
          <w:sz w:val="24"/>
        </w:rPr>
        <w:t>von</w:t>
      </w:r>
      <w:r w:rsidR="003007C0">
        <w:rPr>
          <w:rFonts w:ascii="Times New Roman" w:hAnsi="Times New Roman"/>
          <w:sz w:val="24"/>
        </w:rPr>
        <w:t> </w:t>
      </w:r>
      <w:r w:rsidRPr="00CF18FC">
        <w:rPr>
          <w:rFonts w:ascii="Times New Roman" w:hAnsi="Times New Roman"/>
          <w:sz w:val="24"/>
        </w:rPr>
        <w:t xml:space="preserve">der Leyen, som betonat att polisen bör kunna arbeta utan gränser i hela Europa. Kommissionen har också föreslagit att fördubbla Europols personal och stärka dess mandat för att göra Europol till en genuint operativ polismyndighet. Som en del av det reviderade paketet för att motverka hjälp till olovlig inresa, transitering och vistelse är </w:t>
      </w:r>
      <w:r w:rsidRPr="00CF18FC">
        <w:rPr>
          <w:rFonts w:ascii="Times New Roman" w:hAnsi="Times New Roman"/>
          <w:i/>
          <w:sz w:val="24"/>
        </w:rPr>
        <w:t>förslaget till förordning om förstärkning av polissamarbetet för att förebygga, upptäcka och utreda migrantsmuggling och människohandel och om förstärkning av Europols stöd till förebyggande och bekämpande av sådana brott samt om ändring av förordning (EU) 2016/794</w:t>
      </w:r>
      <w:r w:rsidRPr="00CF18FC">
        <w:rPr>
          <w:rFonts w:ascii="Times New Roman" w:hAnsi="Times New Roman"/>
          <w:sz w:val="24"/>
        </w:rPr>
        <w:t xml:space="preserve"> ett viktigt steg framåt för att uppnå dessa mål och systematiskt ta itu med brottslig migrantsmuggling både inom EU och från tredjeländer. Kommissionen har beräknat att det krävs en kompletterande budget på 50 miljoner euro och ytterligare 50 tjänster för hela den nuvarande fleråriga budgetramen 2021–2027. Med denna förordning kommer dessa välbehövliga kompletterande medel att frigöras och de extra tjänsterna att inrättas, så att Europol fullt ut och effektivt kan utföra de nya strategiska och operativa uppgifter som byrån tilldelats samt fullgöra sitt nya uppdrag.</w:t>
      </w:r>
    </w:p>
    <w:p w:rsidR="005C2937" w:rsidRPr="00CF18FC" w:rsidRDefault="005C2937" w:rsidP="005C2937">
      <w:pPr>
        <w:pStyle w:val="NoSpacing"/>
        <w:jc w:val="both"/>
        <w:rPr>
          <w:rFonts w:ascii="Times New Roman" w:hAnsi="Times New Roman" w:cs="Times New Roman"/>
          <w:sz w:val="24"/>
          <w:szCs w:val="24"/>
        </w:rPr>
      </w:pPr>
    </w:p>
    <w:p w:rsidR="005C2937" w:rsidRPr="00CF18FC" w:rsidRDefault="00CF18FC" w:rsidP="005C2937">
      <w:pPr>
        <w:pStyle w:val="NoSpacing"/>
        <w:jc w:val="both"/>
        <w:rPr>
          <w:rFonts w:ascii="Times New Roman" w:hAnsi="Times New Roman" w:cs="Times New Roman"/>
          <w:sz w:val="24"/>
          <w:szCs w:val="24"/>
        </w:rPr>
      </w:pPr>
      <w:r w:rsidRPr="00CF18FC">
        <w:rPr>
          <w:rFonts w:ascii="Times New Roman" w:hAnsi="Times New Roman"/>
          <w:sz w:val="24"/>
        </w:rPr>
        <w:t>De viktigaste aspekterna i detta förslag till betänkande för att förbättra lagstiftningsförslagets effektiva genomförande är följande:</w:t>
      </w:r>
    </w:p>
    <w:p w:rsidR="005C2937" w:rsidRPr="00CF18FC" w:rsidRDefault="005C2937" w:rsidP="005C2937">
      <w:pPr>
        <w:pStyle w:val="NoSpacing"/>
        <w:jc w:val="both"/>
        <w:rPr>
          <w:rFonts w:ascii="Times New Roman" w:hAnsi="Times New Roman" w:cs="Times New Roman"/>
        </w:rPr>
      </w:pPr>
    </w:p>
    <w:p w:rsidR="005C2937" w:rsidRPr="00CF18FC" w:rsidRDefault="00CF18FC" w:rsidP="00FC7C21">
      <w:pPr>
        <w:pStyle w:val="NoSpacing"/>
        <w:ind w:left="567" w:hanging="567"/>
        <w:jc w:val="both"/>
        <w:rPr>
          <w:rFonts w:ascii="Times New Roman" w:hAnsi="Times New Roman" w:cs="Times New Roman"/>
          <w:sz w:val="24"/>
          <w:szCs w:val="24"/>
        </w:rPr>
      </w:pPr>
      <w:r w:rsidRPr="00CF18FC">
        <w:t>–</w:t>
      </w:r>
      <w:r w:rsidRPr="00CF18FC">
        <w:rPr>
          <w:rFonts w:ascii="Times New Roman" w:hAnsi="Times New Roman"/>
          <w:sz w:val="24"/>
        </w:rPr>
        <w:tab/>
        <w:t>Betänkandet syftar till att förenkla och förtydliga strukturen i kommissionens förslag genom att den fristående förordningen stryks och vissa av dessa bestämmelser omplaceras som ändringar av den befintliga Europolförordningen. Detta minskar den rättsliga komplexiteten, ökar läsbarheten och säkerställer att förvaltningen av byrån regleras av en enda EU-förordning.</w:t>
      </w:r>
    </w:p>
    <w:p w:rsidR="005C2937" w:rsidRPr="00CF18FC" w:rsidRDefault="005C2937" w:rsidP="005C1BF5">
      <w:pPr>
        <w:pStyle w:val="NoSpacing"/>
        <w:jc w:val="both"/>
        <w:rPr>
          <w:rFonts w:ascii="Times New Roman" w:hAnsi="Times New Roman" w:cs="Times New Roman"/>
          <w:sz w:val="24"/>
          <w:szCs w:val="24"/>
        </w:rPr>
      </w:pPr>
    </w:p>
    <w:p w:rsidR="005C2937" w:rsidRPr="00CF18FC" w:rsidRDefault="00CF18FC" w:rsidP="00FC7C21">
      <w:pPr>
        <w:pStyle w:val="NoSpacing"/>
        <w:ind w:left="567" w:hanging="567"/>
        <w:jc w:val="both"/>
        <w:rPr>
          <w:rFonts w:ascii="Times New Roman" w:hAnsi="Times New Roman" w:cs="Times New Roman"/>
          <w:sz w:val="24"/>
          <w:szCs w:val="24"/>
        </w:rPr>
      </w:pPr>
      <w:r w:rsidRPr="00CF18FC">
        <w:lastRenderedPageBreak/>
        <w:t>–</w:t>
      </w:r>
      <w:r w:rsidRPr="00CF18FC">
        <w:rPr>
          <w:rFonts w:ascii="Symbol" w:hAnsi="Symbol"/>
          <w:sz w:val="24"/>
        </w:rPr>
        <w:tab/>
      </w:r>
      <w:r w:rsidRPr="00CF18FC">
        <w:rPr>
          <w:rFonts w:ascii="Times New Roman" w:hAnsi="Times New Roman"/>
          <w:sz w:val="24"/>
        </w:rPr>
        <w:t>Till sin natur har migrantsmuggling en gränsöverskridande dimension. Att upplösa smugglingsnätverk kräver därför ett mer effektivt och ändamålsenligt datautbyte och gränsöverskridande samarbete mellan medlemsstaterna, EU:s byråer och tredjeländer. Detta förslag till betänkande stöder kommissionens förslag att öka medlemsstaternas ansvar för att dela uppgifter i detta avseende.</w:t>
      </w:r>
    </w:p>
    <w:p w:rsidR="005C2937" w:rsidRPr="00CF18FC" w:rsidRDefault="005C2937" w:rsidP="005C2937">
      <w:pPr>
        <w:pStyle w:val="NoSpacing"/>
        <w:ind w:left="567"/>
        <w:jc w:val="both"/>
        <w:rPr>
          <w:rFonts w:ascii="Times New Roman" w:hAnsi="Times New Roman" w:cs="Times New Roman"/>
          <w:sz w:val="24"/>
          <w:szCs w:val="24"/>
        </w:rPr>
      </w:pPr>
    </w:p>
    <w:p w:rsidR="005C2937" w:rsidRPr="00CF18FC" w:rsidRDefault="00CF18FC" w:rsidP="00FC7C21">
      <w:pPr>
        <w:pStyle w:val="NoSpacing"/>
        <w:ind w:left="567" w:hanging="567"/>
        <w:jc w:val="both"/>
        <w:rPr>
          <w:rFonts w:ascii="Times New Roman" w:hAnsi="Times New Roman" w:cs="Times New Roman"/>
          <w:sz w:val="24"/>
          <w:szCs w:val="24"/>
        </w:rPr>
      </w:pPr>
      <w:r w:rsidRPr="00CF18FC">
        <w:t>–</w:t>
      </w:r>
      <w:r w:rsidRPr="00CF18FC">
        <w:rPr>
          <w:rFonts w:ascii="Symbol" w:hAnsi="Symbol"/>
          <w:sz w:val="24"/>
        </w:rPr>
        <w:tab/>
      </w:r>
      <w:r w:rsidRPr="00CF18FC">
        <w:rPr>
          <w:rFonts w:ascii="Times New Roman" w:hAnsi="Times New Roman"/>
          <w:sz w:val="24"/>
        </w:rPr>
        <w:t>För att förbättra polissamarbetet när det gäller att förebygga, upptäcka och utreda migrantsmuggling har Europol en omfattande verktygslåda till sitt förfogande. Detta förslag till betänkande stöder kommissionens förslag att kodifiera dessa verktyg och strukturer för att skapa rättslig klarhet och ge allmän vägledning, samtidigt som man behåller den så välbehövliga flexibiliteten att kunna anpassa sig till förändrade omständigheter genom att Europols styrelse ges tillräckligt med utrymme att besluta om detaljerna för hur dessa verktyg och strukturer ska fungera. För att stärka rollen för Europols verkställande direktör föreslås också att dessa genomförandebestämmelser ska baseras på förslag från den verkställande direktören. Verktygen och strukturerna omfattar följande:</w:t>
      </w:r>
    </w:p>
    <w:p w:rsidR="005C2937" w:rsidRPr="00CF18FC" w:rsidRDefault="005C2937" w:rsidP="005C1BF5">
      <w:pPr>
        <w:pStyle w:val="NoSpacing"/>
        <w:ind w:left="567"/>
        <w:jc w:val="both"/>
        <w:rPr>
          <w:rFonts w:ascii="Times New Roman" w:hAnsi="Times New Roman" w:cs="Times New Roman"/>
          <w:sz w:val="24"/>
          <w:szCs w:val="24"/>
        </w:rPr>
      </w:pPr>
    </w:p>
    <w:p w:rsidR="005C2937" w:rsidRPr="00CF18FC" w:rsidRDefault="00CF18FC" w:rsidP="009B30C5">
      <w:pPr>
        <w:ind w:left="1134" w:hanging="567"/>
        <w:jc w:val="both"/>
      </w:pPr>
      <w:r w:rsidRPr="00CF18FC">
        <w:rPr>
          <w:rFonts w:ascii="Courier New" w:hAnsi="Courier New"/>
        </w:rPr>
        <w:tab/>
      </w:r>
      <w:r w:rsidRPr="00CF18FC">
        <w:t>Europeiska centrumet mot migrantsmuggling, som ska inrättas inom Europol som ett unionscentrum med specialiserad sakkunskap. Centrumet ska stödja medlemsstaterna i arbetet med att förebygga och bekämpa migrantsmuggling och människohandel genom att utföra operativa och strategiska uppgifter. Centrumet ska bestå av företrädare för de nationella specialiserade avdelningar som arbetar med att förebygga och bekämpa migrantsmuggling och människohandel. Det ska också bestå av ständiga företrädare för Frontex och Eurojust. Det föreslås att byråerna själva ska besluta huruvida dessa företrädare ska omplaceras för att tillgodose deras uppgifter på bästa sätt.</w:t>
      </w:r>
    </w:p>
    <w:p w:rsidR="001C407A" w:rsidRPr="00CF18FC" w:rsidRDefault="001C407A" w:rsidP="00FC7C21">
      <w:pPr>
        <w:ind w:left="1134" w:hanging="567"/>
      </w:pPr>
    </w:p>
    <w:p w:rsidR="005C2937" w:rsidRPr="00CF18FC" w:rsidRDefault="00CF18FC" w:rsidP="009B30C5">
      <w:pPr>
        <w:ind w:left="1134" w:hanging="567"/>
        <w:jc w:val="both"/>
      </w:pPr>
      <w:r w:rsidRPr="00CF18FC">
        <w:rPr>
          <w:rFonts w:ascii="Courier New" w:hAnsi="Courier New"/>
        </w:rPr>
        <w:tab/>
      </w:r>
      <w:r w:rsidRPr="00CF18FC">
        <w:t xml:space="preserve">Inom ramen för sina utplaceringar för operativt stöd ska Europol inrätta en obligatorisk reserv av medlemsstaternas högkvalificerade experter inom brottsbekämpning, med specialiserade profiler som kan ställas till Europols omedelbara förfogande för operativ utplacering för att tillhandahålla specialiserat stöd, i proportion till deras kapacitet och operativa behov </w:t>
      </w:r>
    </w:p>
    <w:p w:rsidR="001C407A" w:rsidRPr="00CF18FC" w:rsidRDefault="001C407A" w:rsidP="00FC7C21">
      <w:pPr>
        <w:ind w:left="1134" w:hanging="567"/>
      </w:pPr>
    </w:p>
    <w:p w:rsidR="005C2937" w:rsidRPr="00CF18FC" w:rsidRDefault="00CF18FC" w:rsidP="009B30C5">
      <w:pPr>
        <w:ind w:left="1134" w:hanging="567"/>
        <w:jc w:val="both"/>
      </w:pPr>
      <w:r w:rsidRPr="00CF18FC">
        <w:rPr>
          <w:rFonts w:ascii="Courier New" w:hAnsi="Courier New"/>
        </w:rPr>
        <w:tab/>
      </w:r>
      <w:r w:rsidRPr="00CF18FC">
        <w:t xml:space="preserve">Medlemsstaterna bör kunna inrätta operativa arbetsgrupper för att stärka det brottsbekämpande samarbetet med stöd av Europol. Den verkställande direktören måste också ha befogenhet att föreslå operativa arbetsgrupper för medlemsstaterna. </w:t>
      </w:r>
    </w:p>
    <w:p w:rsidR="001C407A" w:rsidRPr="00CF18FC" w:rsidRDefault="001C407A" w:rsidP="00FC7C21">
      <w:pPr>
        <w:ind w:left="1134" w:hanging="567"/>
      </w:pPr>
    </w:p>
    <w:p w:rsidR="005C2937" w:rsidRPr="00CF18FC" w:rsidRDefault="00CF18FC" w:rsidP="009B30C5">
      <w:pPr>
        <w:ind w:left="1134" w:hanging="567"/>
        <w:jc w:val="both"/>
      </w:pPr>
      <w:r w:rsidRPr="00CF18FC">
        <w:rPr>
          <w:rFonts w:ascii="Courier New" w:hAnsi="Courier New"/>
        </w:rPr>
        <w:tab/>
      </w:r>
      <w:r w:rsidRPr="00CF18FC">
        <w:t>Medlemsstaterna ska utse specialiserade avdelningar för att förebygga och bekämpa migrantsmuggling och människohandel. Dessa avdelningar ska så snart som möjligt dela all relevant information som härrör från brottsutredningar med Europol och andra medlemsstater. Inga ytterligare strukturer behöver inrättas om de redan finns.</w:t>
      </w:r>
    </w:p>
    <w:p w:rsidR="001C407A" w:rsidRPr="00CF18FC" w:rsidRDefault="001C407A" w:rsidP="00FC7C21">
      <w:pPr>
        <w:ind w:left="1134" w:hanging="567"/>
      </w:pPr>
    </w:p>
    <w:p w:rsidR="005C2937" w:rsidRPr="00CF18FC" w:rsidRDefault="00CF18FC" w:rsidP="009B30C5">
      <w:pPr>
        <w:ind w:left="1134" w:hanging="567"/>
        <w:jc w:val="both"/>
      </w:pPr>
      <w:r w:rsidRPr="00CF18FC">
        <w:rPr>
          <w:rFonts w:ascii="Courier New" w:hAnsi="Courier New"/>
        </w:rPr>
        <w:tab/>
      </w:r>
      <w:r w:rsidRPr="00CF18FC">
        <w:t>Föredraganden stöder kommissionens avsikt att inbegripa behandling av biometriska uppgifter i byråns uppgifter och föreslår att detta ska förstärkas. Med tanke på den roll som onlinetjänster spelar för att underlätta och anstifta migrantsmuggling och människohandel föreslås också att Europols stöd för att motverka onlinedimensionen av denna brottsliga verksamhet ska klargöras.</w:t>
      </w:r>
    </w:p>
    <w:p w:rsidR="005C2937" w:rsidRPr="00CF18FC" w:rsidRDefault="005C2937" w:rsidP="005C2937">
      <w:pPr>
        <w:pStyle w:val="ListParagraph"/>
        <w:ind w:left="1134" w:hanging="567"/>
      </w:pPr>
    </w:p>
    <w:p w:rsidR="005C2937" w:rsidRPr="00CF18FC" w:rsidRDefault="00CF18FC" w:rsidP="00FC7C21">
      <w:pPr>
        <w:pStyle w:val="NoSpacing"/>
        <w:ind w:left="567" w:hanging="567"/>
        <w:jc w:val="both"/>
        <w:rPr>
          <w:rFonts w:ascii="Times New Roman" w:hAnsi="Times New Roman" w:cs="Times New Roman"/>
          <w:sz w:val="24"/>
          <w:szCs w:val="24"/>
        </w:rPr>
      </w:pPr>
      <w:r w:rsidRPr="00CF18FC">
        <w:lastRenderedPageBreak/>
        <w:t>–</w:t>
      </w:r>
      <w:r w:rsidRPr="00CF18FC">
        <w:rPr>
          <w:rFonts w:ascii="Symbol" w:hAnsi="Symbol"/>
          <w:sz w:val="24"/>
        </w:rPr>
        <w:tab/>
      </w:r>
      <w:r w:rsidRPr="00CF18FC">
        <w:rPr>
          <w:rFonts w:ascii="Times New Roman" w:hAnsi="Times New Roman"/>
          <w:sz w:val="24"/>
        </w:rPr>
        <w:t>För att Europol ska kunna utföra sitt uppdrag på ett framgångsrikt och effektivt sätt bör aspekter som rör förfaranden och intern personal vid behov förbättras. Detta förslag till betänkande innehåller ändringar för att harmonisera såväl mandatperioden för den verkställande ledningen och personalen som tillämpliga ansvars- och ersättningssystem med andra byråer såsom Frontex, Europeiska unionens byrå för grundläggande rättigheter (FRA) och eu-LISA, samtidigt som man skyddar rättigheterna för alla personer som kan komma att påverkas. Det klargör också reglerna om vittnesmål från Europols personal, eftersom den nuvarande rättsliga ramen är otillräcklig och kan ge upphov till feltolkningar när det gäller den rättsliga statusen för Europols anställda i nationella domstolar eller deras vittnesmål.</w:t>
      </w:r>
    </w:p>
    <w:p w:rsidR="00C24129" w:rsidRPr="00CF18FC" w:rsidRDefault="00C24129" w:rsidP="00C24129">
      <w:pPr>
        <w:widowControl/>
      </w:pPr>
    </w:p>
    <w:p w:rsidR="00C24129" w:rsidRPr="00CF18FC" w:rsidRDefault="00C24129" w:rsidP="00D30DE2"/>
    <w:p w:rsidR="00C24129" w:rsidRPr="00CF18FC" w:rsidRDefault="00C24129" w:rsidP="00D30DE2">
      <w:pPr>
        <w:sectPr w:rsidR="00C24129" w:rsidRPr="00CF18FC" w:rsidSect="00C2412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66819" w:rsidRPr="00CF18FC" w:rsidRDefault="00366819">
      <w:pPr>
        <w:widowControl/>
      </w:pPr>
    </w:p>
    <w:p w:rsidR="00D11284" w:rsidRPr="00CF18FC" w:rsidRDefault="00CF18FC" w:rsidP="005C4959">
      <w:pPr>
        <w:pStyle w:val="PageHeading"/>
        <w:rPr>
          <w:noProof/>
        </w:rPr>
      </w:pPr>
      <w:bookmarkStart w:id="3" w:name="FootprintPageRR"/>
      <w:bookmarkStart w:id="4" w:name="_Toc191538330"/>
      <w:r w:rsidRPr="00CF18FC">
        <w:t>BILAGA: ENHETER ELLER PERSONER SOM FÖREDRAGANDEN HAR MOTTAGIT SYNPUNKTER FRÅN</w:t>
      </w:r>
      <w:bookmarkEnd w:id="4"/>
    </w:p>
    <w:p w:rsidR="00D11284" w:rsidRPr="00CF18FC" w:rsidRDefault="00CF18FC" w:rsidP="005C4959">
      <w:pPr>
        <w:pStyle w:val="Normal24a"/>
        <w:spacing w:after="240"/>
      </w:pPr>
      <w:r w:rsidRPr="00CF18FC">
        <w:rPr>
          <w:rStyle w:val="HideTWBExt"/>
          <w:color w:val="auto"/>
        </w:rPr>
        <w:t>&lt;FootprintIntro&gt;</w:t>
      </w:r>
      <w:r w:rsidRPr="00CF18FC">
        <w:t>Föredraganden förklarar, i enlighet med artikel 8 i bilaga I till arbetsordningen, att han har mottagit synpunkter från följande enheter eller personer i samband med att förslaget till betänkande utarbetades:</w:t>
      </w:r>
      <w:r w:rsidRPr="00CF18FC">
        <w:rPr>
          <w:rStyle w:val="HideTWBExt"/>
          <w:color w:val="auto"/>
        </w:rPr>
        <w:t>&lt;/FootprintIntro&gt;</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F18FC" w:rsidRPr="00CF18FC" w:rsidTr="00D11284">
        <w:tc>
          <w:tcPr>
            <w:tcW w:w="9060" w:type="dxa"/>
            <w:shd w:val="clear" w:color="auto" w:fill="auto"/>
          </w:tcPr>
          <w:p w:rsidR="00D11284" w:rsidRPr="00CF18FC" w:rsidRDefault="00CF18FC" w:rsidP="00D11284">
            <w:pPr>
              <w:pStyle w:val="NormalBoldCenter"/>
            </w:pPr>
            <w:r w:rsidRPr="00CF18FC">
              <w:t>Enhet och/eller person</w:t>
            </w:r>
          </w:p>
        </w:tc>
      </w:tr>
      <w:tr w:rsidR="00CF18FC" w:rsidRPr="00CF18FC" w:rsidTr="00D11284">
        <w:tc>
          <w:tcPr>
            <w:tcW w:w="9060" w:type="dxa"/>
            <w:shd w:val="clear" w:color="auto" w:fill="auto"/>
          </w:tcPr>
          <w:p w:rsidR="00D11284" w:rsidRPr="00CF18FC" w:rsidRDefault="00CF18FC" w:rsidP="00D11284">
            <w:pPr>
              <w:rPr>
                <w:sz w:val="22"/>
              </w:rPr>
            </w:pPr>
            <w:r w:rsidRPr="00CF18FC">
              <w:rPr>
                <w:sz w:val="22"/>
              </w:rPr>
              <w:t>EDRi</w:t>
            </w:r>
          </w:p>
        </w:tc>
      </w:tr>
      <w:tr w:rsidR="00CF18FC" w:rsidRPr="00CF18FC" w:rsidTr="00D11284">
        <w:tc>
          <w:tcPr>
            <w:tcW w:w="9060" w:type="dxa"/>
            <w:shd w:val="clear" w:color="auto" w:fill="auto"/>
          </w:tcPr>
          <w:p w:rsidR="00D11284" w:rsidRPr="00CF18FC" w:rsidRDefault="00CF18FC" w:rsidP="00D11284">
            <w:pPr>
              <w:rPr>
                <w:sz w:val="22"/>
              </w:rPr>
            </w:pPr>
            <w:r w:rsidRPr="00CF18FC">
              <w:rPr>
                <w:sz w:val="22"/>
              </w:rPr>
              <w:t>Europol</w:t>
            </w:r>
          </w:p>
        </w:tc>
      </w:tr>
      <w:tr w:rsidR="00CF18FC" w:rsidRPr="00CF18FC" w:rsidTr="00D11284">
        <w:tc>
          <w:tcPr>
            <w:tcW w:w="9060" w:type="dxa"/>
            <w:shd w:val="clear" w:color="auto" w:fill="auto"/>
          </w:tcPr>
          <w:p w:rsidR="00D11284" w:rsidRPr="00CF18FC" w:rsidRDefault="00CF18FC" w:rsidP="00D11284">
            <w:pPr>
              <w:rPr>
                <w:sz w:val="22"/>
              </w:rPr>
            </w:pPr>
            <w:r w:rsidRPr="00CF18FC">
              <w:rPr>
                <w:sz w:val="22"/>
              </w:rPr>
              <w:t>Europeiska kommissionen – GD HOME</w:t>
            </w:r>
          </w:p>
        </w:tc>
      </w:tr>
      <w:tr w:rsidR="00CF18FC" w:rsidRPr="00CF18FC" w:rsidTr="00D11284">
        <w:tc>
          <w:tcPr>
            <w:tcW w:w="9060" w:type="dxa"/>
            <w:shd w:val="clear" w:color="auto" w:fill="auto"/>
          </w:tcPr>
          <w:p w:rsidR="00D11284" w:rsidRPr="00CF18FC" w:rsidRDefault="00CF18FC" w:rsidP="00D11284">
            <w:pPr>
              <w:rPr>
                <w:sz w:val="22"/>
              </w:rPr>
            </w:pPr>
            <w:r w:rsidRPr="00CF18FC">
              <w:rPr>
                <w:sz w:val="22"/>
              </w:rPr>
              <w:t>Europaparlamentets utredningstjänst</w:t>
            </w:r>
          </w:p>
        </w:tc>
      </w:tr>
      <w:tr w:rsidR="00CF18FC" w:rsidRPr="00CF18FC" w:rsidTr="00D11284">
        <w:tc>
          <w:tcPr>
            <w:tcW w:w="9060" w:type="dxa"/>
            <w:shd w:val="clear" w:color="auto" w:fill="auto"/>
          </w:tcPr>
          <w:p w:rsidR="00D11284" w:rsidRPr="00CF18FC" w:rsidRDefault="00CF18FC" w:rsidP="00D11284">
            <w:pPr>
              <w:rPr>
                <w:sz w:val="22"/>
              </w:rPr>
            </w:pPr>
            <w:r w:rsidRPr="00CF18FC">
              <w:rPr>
                <w:sz w:val="22"/>
              </w:rPr>
              <w:t>Equinox</w:t>
            </w:r>
          </w:p>
        </w:tc>
      </w:tr>
    </w:tbl>
    <w:p w:rsidR="00D11284" w:rsidRPr="00CF18FC" w:rsidRDefault="00CF18FC" w:rsidP="005C4959">
      <w:pPr>
        <w:pStyle w:val="Footprint12b"/>
      </w:pPr>
      <w:r w:rsidRPr="00CF18FC">
        <w:t>Ovanstående förteckning upprättas uteslutande på föredragandens ansvar.</w:t>
      </w:r>
    </w:p>
    <w:p w:rsidR="00D11284" w:rsidRPr="00CF18FC" w:rsidRDefault="00CF18FC" w:rsidP="005C4959">
      <w:pPr>
        <w:pStyle w:val="Footprint12b"/>
      </w:pPr>
      <w:r w:rsidRPr="00CF18FC">
        <w:t>I den mån fysiska personer identifierats med namn, befattning eller båda i förteckningen förklarar föredraganden att de berörda fysiska personerna tillsänts Europaparlamentets meddelande om dataskydd nr 484 (</w:t>
      </w:r>
      <w:hyperlink r:id="rId15" w:history="1">
        <w:r w:rsidRPr="00CF18FC">
          <w:rPr>
            <w:rStyle w:val="Hyperlink"/>
            <w:color w:val="auto"/>
          </w:rPr>
          <w:t>https://www.europarl.europa.eu/data-protect/index.do</w:t>
        </w:r>
      </w:hyperlink>
      <w:r w:rsidRPr="00CF18FC">
        <w:t>), i vilket villkoren för behandlingen av deras personuppgifter och rättigheterna i samband med denna behandling fastställs.</w:t>
      </w:r>
    </w:p>
    <w:p w:rsidR="00D11284" w:rsidRPr="00CF18FC" w:rsidRDefault="00D11284" w:rsidP="005C4959">
      <w:pPr>
        <w:pStyle w:val="Footprint12b"/>
      </w:pPr>
    </w:p>
    <w:p w:rsidR="00D11284" w:rsidRPr="00CF18FC" w:rsidRDefault="00D11284" w:rsidP="00D11284"/>
    <w:bookmarkEnd w:id="3"/>
    <w:p w:rsidR="00366819" w:rsidRPr="00CF18FC" w:rsidRDefault="00366819" w:rsidP="00D30DE2"/>
    <w:sectPr w:rsidR="00366819" w:rsidRPr="00CF18FC" w:rsidSect="00C241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8FC" w:rsidRPr="0057380F" w:rsidRDefault="00CF18FC">
      <w:r w:rsidRPr="0057380F">
        <w:separator/>
      </w:r>
    </w:p>
  </w:endnote>
  <w:endnote w:type="continuationSeparator" w:id="0">
    <w:p w:rsidR="00CF18FC" w:rsidRPr="0057380F" w:rsidRDefault="00CF18FC">
      <w:r w:rsidRPr="005738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Roboto">
    <w:altName w:val="Times New Roman"/>
    <w:charset w:val="00"/>
    <w:family w:val="auto"/>
    <w:pitch w:val="variable"/>
    <w:sig w:usb0="E0000AFF" w:usb1="5000217F" w:usb2="0000002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8FC" w:rsidRPr="0057380F" w:rsidRDefault="00CF18FC" w:rsidP="0057380F">
    <w:pPr>
      <w:pStyle w:val="EPFooter"/>
    </w:pPr>
    <w:r w:rsidRPr="0057380F">
      <w:t>PE</w:t>
    </w:r>
    <w:r w:rsidRPr="0057380F">
      <w:rPr>
        <w:rStyle w:val="HideTWBExt"/>
      </w:rPr>
      <w:t>&lt;NoPE&gt;</w:t>
    </w:r>
    <w:r w:rsidRPr="0057380F">
      <w:t>768.042</w:t>
    </w:r>
    <w:r w:rsidRPr="0057380F">
      <w:rPr>
        <w:rStyle w:val="HideTWBExt"/>
      </w:rPr>
      <w:t>&lt;/NoPE&gt;&lt;Version&gt;</w:t>
    </w:r>
    <w:r w:rsidRPr="0057380F">
      <w:t>v01-00</w:t>
    </w:r>
    <w:r w:rsidRPr="0057380F">
      <w:rPr>
        <w:rStyle w:val="HideTWBExt"/>
      </w:rPr>
      <w:t>&lt;/Version&gt;</w:t>
    </w:r>
    <w:r w:rsidRPr="0057380F">
      <w:tab/>
    </w:r>
    <w:r w:rsidRPr="0057380F">
      <w:fldChar w:fldCharType="begin"/>
    </w:r>
    <w:r w:rsidRPr="0057380F">
      <w:instrText xml:space="preserve"> PAGE  \* MERGEFORMAT </w:instrText>
    </w:r>
    <w:r w:rsidRPr="0057380F">
      <w:fldChar w:fldCharType="separate"/>
    </w:r>
    <w:r w:rsidR="003007C0">
      <w:rPr>
        <w:noProof/>
      </w:rPr>
      <w:t>2</w:t>
    </w:r>
    <w:r w:rsidRPr="0057380F">
      <w:fldChar w:fldCharType="end"/>
    </w:r>
    <w:r w:rsidRPr="0057380F">
      <w:t>/</w:t>
    </w:r>
    <w:fldSimple w:instr=" NUMPAGES  \* MERGEFORMAT ">
      <w:r w:rsidR="003007C0">
        <w:rPr>
          <w:noProof/>
        </w:rPr>
        <w:t>48</w:t>
      </w:r>
    </w:fldSimple>
    <w:r w:rsidRPr="0057380F">
      <w:tab/>
    </w:r>
    <w:r w:rsidRPr="0057380F">
      <w:rPr>
        <w:rStyle w:val="HideTWBExt"/>
      </w:rPr>
      <w:t>&lt;PathFdR&gt;</w:t>
    </w:r>
    <w:r w:rsidRPr="0057380F">
      <w:t>PR\1314087SV.docx</w:t>
    </w:r>
    <w:r w:rsidRPr="0057380F">
      <w:rPr>
        <w:rStyle w:val="HideTWBExt"/>
      </w:rPr>
      <w:t>&lt;/PathFdR&gt;</w:t>
    </w:r>
  </w:p>
  <w:p w:rsidR="00CF18FC" w:rsidRPr="0057380F" w:rsidRDefault="00CF18FC" w:rsidP="0057380F">
    <w:pPr>
      <w:pStyle w:val="EPFooter2"/>
    </w:pPr>
    <w:r w:rsidRPr="0057380F">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8FC" w:rsidRPr="0057380F" w:rsidRDefault="00CF18FC" w:rsidP="0057380F">
    <w:pPr>
      <w:pStyle w:val="EPFooter"/>
    </w:pPr>
    <w:r w:rsidRPr="0057380F">
      <w:rPr>
        <w:rStyle w:val="HideTWBExt"/>
      </w:rPr>
      <w:t>&lt;PathFdR&gt;</w:t>
    </w:r>
    <w:r w:rsidRPr="0057380F">
      <w:t>PR\1314087SV.docx</w:t>
    </w:r>
    <w:r w:rsidRPr="0057380F">
      <w:rPr>
        <w:rStyle w:val="HideTWBExt"/>
      </w:rPr>
      <w:t>&lt;/PathFdR&gt;</w:t>
    </w:r>
    <w:r w:rsidRPr="0057380F">
      <w:tab/>
    </w:r>
    <w:r w:rsidRPr="0057380F">
      <w:fldChar w:fldCharType="begin"/>
    </w:r>
    <w:r w:rsidRPr="0057380F">
      <w:instrText xml:space="preserve"> PAGE  \* MERGEFORMAT </w:instrText>
    </w:r>
    <w:r w:rsidRPr="0057380F">
      <w:fldChar w:fldCharType="separate"/>
    </w:r>
    <w:r w:rsidR="003007C0">
      <w:rPr>
        <w:noProof/>
      </w:rPr>
      <w:t>43</w:t>
    </w:r>
    <w:r w:rsidRPr="0057380F">
      <w:fldChar w:fldCharType="end"/>
    </w:r>
    <w:r w:rsidRPr="0057380F">
      <w:t>/</w:t>
    </w:r>
    <w:fldSimple w:instr=" NUMPAGES  \* MERGEFORMAT ">
      <w:r w:rsidR="003007C0">
        <w:rPr>
          <w:noProof/>
        </w:rPr>
        <w:t>48</w:t>
      </w:r>
    </w:fldSimple>
    <w:r w:rsidRPr="0057380F">
      <w:tab/>
      <w:t>PE</w:t>
    </w:r>
    <w:r w:rsidRPr="0057380F">
      <w:rPr>
        <w:rStyle w:val="HideTWBExt"/>
      </w:rPr>
      <w:t>&lt;NoPE&gt;</w:t>
    </w:r>
    <w:r w:rsidRPr="0057380F">
      <w:t>768.042</w:t>
    </w:r>
    <w:r w:rsidRPr="0057380F">
      <w:rPr>
        <w:rStyle w:val="HideTWBExt"/>
      </w:rPr>
      <w:t>&lt;/NoPE&gt;&lt;Version&gt;</w:t>
    </w:r>
    <w:r w:rsidRPr="0057380F">
      <w:t>v01-00</w:t>
    </w:r>
    <w:r w:rsidRPr="0057380F">
      <w:rPr>
        <w:rStyle w:val="HideTWBExt"/>
      </w:rPr>
      <w:t>&lt;/Version&gt;</w:t>
    </w:r>
  </w:p>
  <w:p w:rsidR="00CF18FC" w:rsidRPr="0057380F" w:rsidRDefault="00CF18FC" w:rsidP="0057380F">
    <w:pPr>
      <w:pStyle w:val="EPFooter2"/>
    </w:pPr>
    <w:r w:rsidRPr="0057380F">
      <w:tab/>
    </w:r>
    <w:r w:rsidRPr="0057380F">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8FC" w:rsidRPr="0057380F" w:rsidRDefault="00CF18FC" w:rsidP="0057380F">
    <w:pPr>
      <w:pStyle w:val="EPFooter"/>
    </w:pPr>
    <w:r w:rsidRPr="0057380F">
      <w:rPr>
        <w:rStyle w:val="HideTWBExt"/>
      </w:rPr>
      <w:t>&lt;PathFdR&gt;</w:t>
    </w:r>
    <w:r w:rsidRPr="0057380F">
      <w:t>PR\1314087SV.docx</w:t>
    </w:r>
    <w:r w:rsidRPr="0057380F">
      <w:rPr>
        <w:rStyle w:val="HideTWBExt"/>
      </w:rPr>
      <w:t>&lt;/PathFdR&gt;</w:t>
    </w:r>
    <w:r w:rsidRPr="0057380F">
      <w:tab/>
    </w:r>
    <w:r w:rsidRPr="0057380F">
      <w:tab/>
      <w:t>PE</w:t>
    </w:r>
    <w:r w:rsidRPr="0057380F">
      <w:rPr>
        <w:rStyle w:val="HideTWBExt"/>
      </w:rPr>
      <w:t>&lt;NoPE&gt;</w:t>
    </w:r>
    <w:r w:rsidRPr="0057380F">
      <w:t>768.042</w:t>
    </w:r>
    <w:r w:rsidRPr="0057380F">
      <w:rPr>
        <w:rStyle w:val="HideTWBExt"/>
      </w:rPr>
      <w:t>&lt;/NoPE&gt;&lt;Version&gt;</w:t>
    </w:r>
    <w:r w:rsidRPr="0057380F">
      <w:t>v01-00</w:t>
    </w:r>
    <w:r w:rsidRPr="0057380F">
      <w:rPr>
        <w:rStyle w:val="HideTWBExt"/>
      </w:rPr>
      <w:t>&lt;/Version&gt;</w:t>
    </w:r>
  </w:p>
  <w:p w:rsidR="00CF18FC" w:rsidRPr="0057380F" w:rsidRDefault="00CF18FC" w:rsidP="0057380F">
    <w:pPr>
      <w:pStyle w:val="EPFooter2"/>
    </w:pPr>
    <w:r w:rsidRPr="0057380F">
      <w:t>SV</w:t>
    </w:r>
    <w:r w:rsidRPr="0057380F">
      <w:tab/>
    </w:r>
    <w:r w:rsidRPr="0057380F">
      <w:rPr>
        <w:b w:val="0"/>
        <w:i/>
        <w:color w:val="C0C0C0"/>
        <w:sz w:val="22"/>
      </w:rPr>
      <w:t>Förenade i mångfalden</w:t>
    </w:r>
    <w:r w:rsidRPr="0057380F">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8FC" w:rsidRPr="0057380F" w:rsidRDefault="00CF18FC">
      <w:r w:rsidRPr="0057380F">
        <w:separator/>
      </w:r>
    </w:p>
  </w:footnote>
  <w:footnote w:type="continuationSeparator" w:id="0">
    <w:p w:rsidR="00CF18FC" w:rsidRPr="0057380F" w:rsidRDefault="00CF18FC">
      <w:r w:rsidRPr="0057380F">
        <w:continuationSeparator/>
      </w:r>
    </w:p>
  </w:footnote>
  <w:footnote w:id="1">
    <w:p w:rsidR="00CF18FC" w:rsidRPr="0057380F" w:rsidRDefault="00CF18FC">
      <w:pPr>
        <w:pStyle w:val="FootnoteText"/>
      </w:pPr>
      <w:r w:rsidRPr="0057380F">
        <w:rPr>
          <w:rStyle w:val="FootnoteReference"/>
        </w:rPr>
        <w:footnoteRef/>
      </w:r>
      <w:r w:rsidRPr="0057380F">
        <w:t xml:space="preserve"> </w:t>
      </w:r>
      <w:r w:rsidRPr="0057380F">
        <w:rPr>
          <w:rFonts w:ascii="Roboto" w:hAnsi="Roboto"/>
          <w:color w:val="333333"/>
          <w:sz w:val="21"/>
          <w:shd w:val="clear" w:color="auto" w:fill="FFFFFF"/>
        </w:rPr>
        <w:t>EUT C, C/2024/6024, 23.10.2024, ELI: </w:t>
      </w:r>
      <w:hyperlink r:id="rId1" w:tgtFrame="_blank" w:tooltip="Ger tillgång till detta dokument via dess ELI-adress." w:history="1">
        <w:r w:rsidRPr="0057380F">
          <w:rPr>
            <w:rFonts w:ascii="Roboto" w:hAnsi="Roboto"/>
            <w:color w:val="337AB7"/>
            <w:sz w:val="21"/>
            <w:u w:val="single"/>
          </w:rPr>
          <w:t>http://data.europa.eu/eli/C/2024/6024/oj?locale=sv</w:t>
        </w:r>
      </w:hyperlink>
      <w:r w:rsidRPr="0057380F">
        <w:rPr>
          <w:rFonts w:ascii="Roboto" w:hAnsi="Roboto"/>
          <w:color w:val="333333"/>
          <w:sz w:val="21"/>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8FC" w:rsidRDefault="00CF18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8FC" w:rsidRDefault="00CF18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18FC" w:rsidRDefault="00CF18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CB5BDD"/>
    <w:multiLevelType w:val="hybridMultilevel"/>
    <w:tmpl w:val="D9C29980"/>
    <w:lvl w:ilvl="0" w:tplc="927652B4">
      <w:start w:val="1"/>
      <w:numFmt w:val="bullet"/>
      <w:lvlText w:val=""/>
      <w:lvlJc w:val="left"/>
      <w:pPr>
        <w:ind w:left="720" w:hanging="360"/>
      </w:pPr>
      <w:rPr>
        <w:rFonts w:ascii="Symbol" w:hAnsi="Symbol" w:hint="default"/>
      </w:rPr>
    </w:lvl>
    <w:lvl w:ilvl="1" w:tplc="2FB0F2DE">
      <w:start w:val="1"/>
      <w:numFmt w:val="bullet"/>
      <w:lvlText w:val="o"/>
      <w:lvlJc w:val="left"/>
      <w:pPr>
        <w:ind w:left="1440" w:hanging="360"/>
      </w:pPr>
      <w:rPr>
        <w:rFonts w:ascii="Courier New" w:hAnsi="Courier New" w:cs="Courier New" w:hint="default"/>
      </w:rPr>
    </w:lvl>
    <w:lvl w:ilvl="2" w:tplc="D5B419E6">
      <w:start w:val="1"/>
      <w:numFmt w:val="bullet"/>
      <w:lvlText w:val=""/>
      <w:lvlJc w:val="left"/>
      <w:pPr>
        <w:ind w:left="2160" w:hanging="360"/>
      </w:pPr>
      <w:rPr>
        <w:rFonts w:ascii="Wingdings" w:hAnsi="Wingdings" w:hint="default"/>
      </w:rPr>
    </w:lvl>
    <w:lvl w:ilvl="3" w:tplc="EF485D9E">
      <w:start w:val="1"/>
      <w:numFmt w:val="bullet"/>
      <w:lvlText w:val=""/>
      <w:lvlJc w:val="left"/>
      <w:pPr>
        <w:ind w:left="2880" w:hanging="360"/>
      </w:pPr>
      <w:rPr>
        <w:rFonts w:ascii="Symbol" w:hAnsi="Symbol" w:hint="default"/>
      </w:rPr>
    </w:lvl>
    <w:lvl w:ilvl="4" w:tplc="020CDDFA">
      <w:start w:val="1"/>
      <w:numFmt w:val="bullet"/>
      <w:lvlText w:val="o"/>
      <w:lvlJc w:val="left"/>
      <w:pPr>
        <w:ind w:left="3600" w:hanging="360"/>
      </w:pPr>
      <w:rPr>
        <w:rFonts w:ascii="Courier New" w:hAnsi="Courier New" w:cs="Courier New" w:hint="default"/>
      </w:rPr>
    </w:lvl>
    <w:lvl w:ilvl="5" w:tplc="52C242E0">
      <w:start w:val="1"/>
      <w:numFmt w:val="bullet"/>
      <w:lvlText w:val=""/>
      <w:lvlJc w:val="left"/>
      <w:pPr>
        <w:ind w:left="4320" w:hanging="360"/>
      </w:pPr>
      <w:rPr>
        <w:rFonts w:ascii="Wingdings" w:hAnsi="Wingdings" w:hint="default"/>
      </w:rPr>
    </w:lvl>
    <w:lvl w:ilvl="6" w:tplc="D9FACB76">
      <w:start w:val="1"/>
      <w:numFmt w:val="bullet"/>
      <w:lvlText w:val=""/>
      <w:lvlJc w:val="left"/>
      <w:pPr>
        <w:ind w:left="5040" w:hanging="360"/>
      </w:pPr>
      <w:rPr>
        <w:rFonts w:ascii="Symbol" w:hAnsi="Symbol" w:hint="default"/>
      </w:rPr>
    </w:lvl>
    <w:lvl w:ilvl="7" w:tplc="E61C493A">
      <w:start w:val="1"/>
      <w:numFmt w:val="bullet"/>
      <w:lvlText w:val="o"/>
      <w:lvlJc w:val="left"/>
      <w:pPr>
        <w:ind w:left="5760" w:hanging="360"/>
      </w:pPr>
      <w:rPr>
        <w:rFonts w:ascii="Courier New" w:hAnsi="Courier New" w:cs="Courier New" w:hint="default"/>
      </w:rPr>
    </w:lvl>
    <w:lvl w:ilvl="8" w:tplc="A36E65D6">
      <w:start w:val="1"/>
      <w:numFmt w:val="bullet"/>
      <w:lvlText w:val=""/>
      <w:lvlJc w:val="left"/>
      <w:pPr>
        <w:ind w:left="6480" w:hanging="360"/>
      </w:pPr>
      <w:rPr>
        <w:rFonts w:ascii="Wingdings" w:hAnsi="Wingdings" w:hint="default"/>
      </w:rPr>
    </w:lvl>
  </w:abstractNum>
  <w:abstractNum w:abstractNumId="11" w15:restartNumberingAfterBreak="0">
    <w:nsid w:val="27F47A1A"/>
    <w:multiLevelType w:val="hybridMultilevel"/>
    <w:tmpl w:val="07908532"/>
    <w:lvl w:ilvl="0" w:tplc="9FB67F2A">
      <w:start w:val="1"/>
      <w:numFmt w:val="bullet"/>
      <w:lvlText w:val=""/>
      <w:lvlJc w:val="left"/>
      <w:pPr>
        <w:ind w:left="720" w:hanging="360"/>
      </w:pPr>
      <w:rPr>
        <w:rFonts w:ascii="Symbol" w:hAnsi="Symbol" w:hint="default"/>
      </w:rPr>
    </w:lvl>
    <w:lvl w:ilvl="1" w:tplc="152CB64E">
      <w:start w:val="1"/>
      <w:numFmt w:val="bullet"/>
      <w:lvlText w:val="o"/>
      <w:lvlJc w:val="left"/>
      <w:pPr>
        <w:ind w:left="1440" w:hanging="360"/>
      </w:pPr>
      <w:rPr>
        <w:rFonts w:ascii="Courier New" w:hAnsi="Courier New" w:cs="Courier New" w:hint="default"/>
      </w:rPr>
    </w:lvl>
    <w:lvl w:ilvl="2" w:tplc="4896148C">
      <w:start w:val="1"/>
      <w:numFmt w:val="bullet"/>
      <w:lvlText w:val=""/>
      <w:lvlJc w:val="left"/>
      <w:pPr>
        <w:ind w:left="2160" w:hanging="360"/>
      </w:pPr>
      <w:rPr>
        <w:rFonts w:ascii="Wingdings" w:hAnsi="Wingdings" w:hint="default"/>
      </w:rPr>
    </w:lvl>
    <w:lvl w:ilvl="3" w:tplc="942E3E82">
      <w:start w:val="1"/>
      <w:numFmt w:val="bullet"/>
      <w:lvlText w:val=""/>
      <w:lvlJc w:val="left"/>
      <w:pPr>
        <w:ind w:left="2880" w:hanging="360"/>
      </w:pPr>
      <w:rPr>
        <w:rFonts w:ascii="Symbol" w:hAnsi="Symbol" w:hint="default"/>
      </w:rPr>
    </w:lvl>
    <w:lvl w:ilvl="4" w:tplc="8E3AE226">
      <w:start w:val="1"/>
      <w:numFmt w:val="bullet"/>
      <w:lvlText w:val="o"/>
      <w:lvlJc w:val="left"/>
      <w:pPr>
        <w:ind w:left="3600" w:hanging="360"/>
      </w:pPr>
      <w:rPr>
        <w:rFonts w:ascii="Courier New" w:hAnsi="Courier New" w:cs="Courier New" w:hint="default"/>
      </w:rPr>
    </w:lvl>
    <w:lvl w:ilvl="5" w:tplc="7C4CCBB0">
      <w:start w:val="1"/>
      <w:numFmt w:val="bullet"/>
      <w:lvlText w:val=""/>
      <w:lvlJc w:val="left"/>
      <w:pPr>
        <w:ind w:left="4320" w:hanging="360"/>
      </w:pPr>
      <w:rPr>
        <w:rFonts w:ascii="Wingdings" w:hAnsi="Wingdings" w:hint="default"/>
      </w:rPr>
    </w:lvl>
    <w:lvl w:ilvl="6" w:tplc="CD2E0E52">
      <w:start w:val="1"/>
      <w:numFmt w:val="bullet"/>
      <w:lvlText w:val=""/>
      <w:lvlJc w:val="left"/>
      <w:pPr>
        <w:ind w:left="5040" w:hanging="360"/>
      </w:pPr>
      <w:rPr>
        <w:rFonts w:ascii="Symbol" w:hAnsi="Symbol" w:hint="default"/>
      </w:rPr>
    </w:lvl>
    <w:lvl w:ilvl="7" w:tplc="D916B86A">
      <w:start w:val="1"/>
      <w:numFmt w:val="bullet"/>
      <w:lvlText w:val="o"/>
      <w:lvlJc w:val="left"/>
      <w:pPr>
        <w:ind w:left="5760" w:hanging="360"/>
      </w:pPr>
      <w:rPr>
        <w:rFonts w:ascii="Courier New" w:hAnsi="Courier New" w:cs="Courier New" w:hint="default"/>
      </w:rPr>
    </w:lvl>
    <w:lvl w:ilvl="8" w:tplc="517C81CE">
      <w:start w:val="1"/>
      <w:numFmt w:val="bullet"/>
      <w:lvlText w:val=""/>
      <w:lvlJc w:val="left"/>
      <w:pPr>
        <w:ind w:left="6480" w:hanging="360"/>
      </w:pPr>
      <w:rPr>
        <w:rFonts w:ascii="Wingdings" w:hAnsi="Wingdings" w:hint="default"/>
      </w:rPr>
    </w:lvl>
  </w:abstractNum>
  <w:abstractNum w:abstractNumId="12" w15:restartNumberingAfterBreak="0">
    <w:nsid w:val="5944571E"/>
    <w:multiLevelType w:val="hybridMultilevel"/>
    <w:tmpl w:val="09F8BC3C"/>
    <w:lvl w:ilvl="0" w:tplc="506E1672">
      <w:start w:val="1"/>
      <w:numFmt w:val="bullet"/>
      <w:lvlText w:val="o"/>
      <w:lvlJc w:val="left"/>
      <w:pPr>
        <w:ind w:left="2160" w:hanging="360"/>
      </w:pPr>
      <w:rPr>
        <w:rFonts w:ascii="Courier New" w:hAnsi="Courier New" w:cs="Courier New" w:hint="default"/>
      </w:rPr>
    </w:lvl>
    <w:lvl w:ilvl="1" w:tplc="70D64E5E">
      <w:start w:val="1"/>
      <w:numFmt w:val="bullet"/>
      <w:lvlText w:val="o"/>
      <w:lvlJc w:val="left"/>
      <w:pPr>
        <w:ind w:left="2880" w:hanging="360"/>
      </w:pPr>
      <w:rPr>
        <w:rFonts w:ascii="Courier New" w:hAnsi="Courier New" w:cs="Courier New" w:hint="default"/>
      </w:rPr>
    </w:lvl>
    <w:lvl w:ilvl="2" w:tplc="DA662A1A">
      <w:start w:val="1"/>
      <w:numFmt w:val="bullet"/>
      <w:lvlText w:val=""/>
      <w:lvlJc w:val="left"/>
      <w:pPr>
        <w:ind w:left="3600" w:hanging="360"/>
      </w:pPr>
      <w:rPr>
        <w:rFonts w:ascii="Wingdings" w:hAnsi="Wingdings" w:hint="default"/>
      </w:rPr>
    </w:lvl>
    <w:lvl w:ilvl="3" w:tplc="A3A462AE">
      <w:start w:val="1"/>
      <w:numFmt w:val="bullet"/>
      <w:lvlText w:val=""/>
      <w:lvlJc w:val="left"/>
      <w:pPr>
        <w:ind w:left="4320" w:hanging="360"/>
      </w:pPr>
      <w:rPr>
        <w:rFonts w:ascii="Symbol" w:hAnsi="Symbol" w:hint="default"/>
      </w:rPr>
    </w:lvl>
    <w:lvl w:ilvl="4" w:tplc="4560DB94">
      <w:start w:val="1"/>
      <w:numFmt w:val="bullet"/>
      <w:lvlText w:val="o"/>
      <w:lvlJc w:val="left"/>
      <w:pPr>
        <w:ind w:left="5040" w:hanging="360"/>
      </w:pPr>
      <w:rPr>
        <w:rFonts w:ascii="Courier New" w:hAnsi="Courier New" w:cs="Courier New" w:hint="default"/>
      </w:rPr>
    </w:lvl>
    <w:lvl w:ilvl="5" w:tplc="43B6EC24">
      <w:start w:val="1"/>
      <w:numFmt w:val="bullet"/>
      <w:lvlText w:val=""/>
      <w:lvlJc w:val="left"/>
      <w:pPr>
        <w:ind w:left="5760" w:hanging="360"/>
      </w:pPr>
      <w:rPr>
        <w:rFonts w:ascii="Wingdings" w:hAnsi="Wingdings" w:hint="default"/>
      </w:rPr>
    </w:lvl>
    <w:lvl w:ilvl="6" w:tplc="C6A2EBDE">
      <w:start w:val="1"/>
      <w:numFmt w:val="bullet"/>
      <w:lvlText w:val=""/>
      <w:lvlJc w:val="left"/>
      <w:pPr>
        <w:ind w:left="6480" w:hanging="360"/>
      </w:pPr>
      <w:rPr>
        <w:rFonts w:ascii="Symbol" w:hAnsi="Symbol" w:hint="default"/>
      </w:rPr>
    </w:lvl>
    <w:lvl w:ilvl="7" w:tplc="6302BD0E">
      <w:start w:val="1"/>
      <w:numFmt w:val="bullet"/>
      <w:lvlText w:val="o"/>
      <w:lvlJc w:val="left"/>
      <w:pPr>
        <w:ind w:left="7200" w:hanging="360"/>
      </w:pPr>
      <w:rPr>
        <w:rFonts w:ascii="Courier New" w:hAnsi="Courier New" w:cs="Courier New" w:hint="default"/>
      </w:rPr>
    </w:lvl>
    <w:lvl w:ilvl="8" w:tplc="7BB4287E">
      <w:start w:val="1"/>
      <w:numFmt w:val="bullet"/>
      <w:lvlText w:val=""/>
      <w:lvlJc w:val="left"/>
      <w:pPr>
        <w:ind w:left="7920" w:hanging="360"/>
      </w:pPr>
      <w:rPr>
        <w:rFonts w:ascii="Wingdings" w:hAnsi="Wingdings" w:hint="default"/>
      </w:rPr>
    </w:lvl>
  </w:abstractNum>
  <w:abstractNum w:abstractNumId="13" w15:restartNumberingAfterBreak="0">
    <w:nsid w:val="6BF45036"/>
    <w:multiLevelType w:val="hybridMultilevel"/>
    <w:tmpl w:val="2A9E6A64"/>
    <w:lvl w:ilvl="0" w:tplc="8760D1F6">
      <w:start w:val="1"/>
      <w:numFmt w:val="bullet"/>
      <w:lvlText w:val=""/>
      <w:lvlJc w:val="left"/>
      <w:pPr>
        <w:ind w:left="720" w:hanging="360"/>
      </w:pPr>
      <w:rPr>
        <w:rFonts w:ascii="Symbol" w:hAnsi="Symbol" w:hint="default"/>
      </w:rPr>
    </w:lvl>
    <w:lvl w:ilvl="1" w:tplc="5A72543A">
      <w:start w:val="1"/>
      <w:numFmt w:val="bullet"/>
      <w:lvlText w:val="o"/>
      <w:lvlJc w:val="left"/>
      <w:pPr>
        <w:ind w:left="1440" w:hanging="360"/>
      </w:pPr>
      <w:rPr>
        <w:rFonts w:ascii="Courier New" w:hAnsi="Courier New" w:cs="Courier New" w:hint="default"/>
      </w:rPr>
    </w:lvl>
    <w:lvl w:ilvl="2" w:tplc="A4A4AA3C">
      <w:start w:val="1"/>
      <w:numFmt w:val="bullet"/>
      <w:lvlText w:val=""/>
      <w:lvlJc w:val="left"/>
      <w:pPr>
        <w:ind w:left="2160" w:hanging="360"/>
      </w:pPr>
      <w:rPr>
        <w:rFonts w:ascii="Wingdings" w:hAnsi="Wingdings" w:hint="default"/>
      </w:rPr>
    </w:lvl>
    <w:lvl w:ilvl="3" w:tplc="70306AAE">
      <w:start w:val="1"/>
      <w:numFmt w:val="bullet"/>
      <w:lvlText w:val=""/>
      <w:lvlJc w:val="left"/>
      <w:pPr>
        <w:ind w:left="2880" w:hanging="360"/>
      </w:pPr>
      <w:rPr>
        <w:rFonts w:ascii="Symbol" w:hAnsi="Symbol" w:hint="default"/>
      </w:rPr>
    </w:lvl>
    <w:lvl w:ilvl="4" w:tplc="FA52C5F8">
      <w:start w:val="1"/>
      <w:numFmt w:val="bullet"/>
      <w:lvlText w:val="o"/>
      <w:lvlJc w:val="left"/>
      <w:pPr>
        <w:ind w:left="3600" w:hanging="360"/>
      </w:pPr>
      <w:rPr>
        <w:rFonts w:ascii="Courier New" w:hAnsi="Courier New" w:cs="Courier New" w:hint="default"/>
      </w:rPr>
    </w:lvl>
    <w:lvl w:ilvl="5" w:tplc="55E6EF42">
      <w:start w:val="1"/>
      <w:numFmt w:val="bullet"/>
      <w:lvlText w:val=""/>
      <w:lvlJc w:val="left"/>
      <w:pPr>
        <w:ind w:left="4320" w:hanging="360"/>
      </w:pPr>
      <w:rPr>
        <w:rFonts w:ascii="Wingdings" w:hAnsi="Wingdings" w:hint="default"/>
      </w:rPr>
    </w:lvl>
    <w:lvl w:ilvl="6" w:tplc="689800F2">
      <w:start w:val="1"/>
      <w:numFmt w:val="bullet"/>
      <w:lvlText w:val=""/>
      <w:lvlJc w:val="left"/>
      <w:pPr>
        <w:ind w:left="5040" w:hanging="360"/>
      </w:pPr>
      <w:rPr>
        <w:rFonts w:ascii="Symbol" w:hAnsi="Symbol" w:hint="default"/>
      </w:rPr>
    </w:lvl>
    <w:lvl w:ilvl="7" w:tplc="8FF2AC2A">
      <w:start w:val="1"/>
      <w:numFmt w:val="bullet"/>
      <w:lvlText w:val="o"/>
      <w:lvlJc w:val="left"/>
      <w:pPr>
        <w:ind w:left="5760" w:hanging="360"/>
      </w:pPr>
      <w:rPr>
        <w:rFonts w:ascii="Courier New" w:hAnsi="Courier New" w:cs="Courier New" w:hint="default"/>
      </w:rPr>
    </w:lvl>
    <w:lvl w:ilvl="8" w:tplc="6C78C8D4">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1"/>
    <w:docVar w:name="CJMNU" w:val="1"/>
    <w:docVar w:name="COMKEY" w:val="LIBE"/>
    <w:docVar w:name="CONTRIBUTIONMNU" w:val=" 1"/>
    <w:docVar w:name="CopyToNetwork" w:val="-1"/>
    <w:docVar w:name="DOCDT" w:val="10/02/2025"/>
    <w:docVar w:name="DOCMNU" w:val=" 1"/>
    <w:docVar w:name="EPOJMNU" w:val=" 1"/>
    <w:docVar w:name="EPSTATMNU" w:val=" 1"/>
    <w:docVar w:name="EPSTATPLURMNU" w:val=" 1"/>
    <w:docVar w:name="EVABUDGMNU" w:val=" 1"/>
    <w:docVar w:name="INSTITUTIONSMNU" w:val=" 1"/>
    <w:docVar w:name="JURI1MNU" w:val=" 1"/>
    <w:docVar w:name="JURI2MNU" w:val=" 1"/>
    <w:docVar w:name="LastEditedSection" w:val=" 1"/>
    <w:docVar w:name="NVAR1" w:val="0"/>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325737 HideTWBExt;}{\*\cs18 \additive \v\f1\fs20\cf15 _x000d__x000a_\spriority0 \styrsid5325737 HideTWBInt;}{\s19\ql \li0\ri0\sa120\nowidctlpar\wrapdefault\aspalpha\aspnum\faauto\adjustright\rin0\lin0\itap0 \rtlch\fcs1 \af0\afs20\alang1025 \ltrch\fcs0 \fs24\lang2057\langfe2057\cgrid\langnp2057\langfenp2057 _x000d__x000a_\sbasedon0 \snext19 \spriority0 \styrsid5325737 Normal6a;}{\s20\ql \li0\ri0\nowidctlpar\wrapdefault\aspalpha\aspnum\faauto\adjustright\rin0\lin0\itap0 \rtlch\fcs1 \af0\afs20\alang1025 \ltrch\fcs0 \b\fs24\lang2057\langfe2057\cgrid\langnp2057\langfenp2057 _x000d__x000a_\sbasedon0 \snext20 \spriority0 \styrsid5325737 NormalBold;}{\s21\ql \li0\ri0\sa240\nowidctlpar\wrapdefault\aspalpha\aspnum\faauto\adjustright\rin0\lin0\itap0 \rtlch\fcs1 \af0\afs20\alang1025 \ltrch\fcs0 _x000d__x000a_\i\fs24\lang2057\langfe2057\cgrid\langnp2057\langfenp2057 \sbasedon0 \snext21 \spriority0 \styrsid5325737 AmJustText;}{\s22\qc \li0\ri0\sb240\sa240\nowidctlpar\wrapdefault\aspalpha\aspnum\faauto\adjustright\rin0\lin0\itap0 \rtlch\fcs1 _x000d__x000a_\af0\afs20\alang1025 \ltrch\fcs0 \i\fs24\lang2057\langfe2057\cgrid\langnp2057\langfenp2057 \sbasedon0 \snext22 \spriority0 \styrsid5325737 AmCrossRef;}{_x000d__x000a_\s23\qc \li0\ri0\sb240\sa240\keepn\nowidctlpar\wrapdefault\aspalpha\aspnum\faauto\adjustright\rin0\lin0\itap0 \rtlch\fcs1 \af0\afs20\alang1025 \ltrch\fcs0 \i\fs24\lang2057\langfe2057\cgrid\langnp2057\langfenp2057 _x000d__x000a_\sbasedon0 \snext21 \spriority0 \styrsid5325737 AmJustTitle;}{\s24\qr \li0\ri0\sb240\sa240\nowidctlpar\wrapdefault\aspalpha\aspnum\faauto\adjustright\rin0\lin0\itap0 \rtlch\fcs1 \af0\afs20\alang1025 \ltrch\fcs0 _x000d__x000a_\fs24\lang2057\langfe2057\cgrid\langnp2057\langfenp2057 \sbasedon0 \snext24 \spriority0 \styrsid5325737 AmOrLang;}{\s25\qc \li0\ri0\sa240\nowidctlpar\wrapdefault\aspalpha\aspnum\faauto\adjustright\rin0\lin0\itap0 \rtlch\fcs1 \af0\afs20\alang1025 _x000d__x000a_\ltrch\fcs0 \i\fs24\lang2057\langfe2057\cgrid\langnp2057\langfenp2057 \sbasedon0 \snext25 \spriority0 \styrsid53257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325737 AmNumberTabs;}{\s27\ql \li0\ri0\sb240\nowidctlpar\wrapdefault\aspalpha\aspnum\faauto\adjustright\rin0\lin0\itap0 \rtlch\fcs1 _x000d__x000a_\af0\afs20\alang1025 \ltrch\fcs0 \b\fs24\lang2057\langfe2057\cgrid\langnp2057\langfenp2057 \sbasedon0 \snext27 \spriority0 \styrsid5325737 NormalBold12b;}}{\*\rsidtbl \rsid24658\rsid223860\rsid735077\rsid1718133\rsid2892074\rsid3565327\rsid3571077_x000d__x000a_\rsid4666813\rsid5325737\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LECUYER Katarzyna}{\operator LECUYER Katarzyna}{\creatim\yr2025\mo1\dy28\hr10\min40}{\revtim\yr2025\mo1\dy28\hr10\min40}{\version1}{\edmins0}{\nofpages1}_x000d__x000a_{\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325737\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3571077 \chftnsep _x000d__x000a_\par }}{\*\ftnsepc \ltrpar \pard\plain \ltrpar\ql \li0\ri0\widctlpar\wrapdefault\aspalpha\aspnum\faauto\adjustright\rin0\lin0\itap0 \rtlch\fcs1 \af0\afs20\alang1025 \ltrch\fcs0 \fs24\lang2057\langfe2057\cgrid\langnp2057\langfenp2057 {\rtlch\fcs1 \af0 _x000d__x000a_\ltrch\fcs0 \insrsid3571077 \chftnsepc _x000d__x000a_\par }}{\*\aftnsep \ltrpar \pard\plain \ltrpar\ql \li0\ri0\widctlpar\wrapdefault\aspalpha\aspnum\faauto\adjustright\rin0\lin0\itap0 \rtlch\fcs1 \af0\afs20\alang1025 \ltrch\fcs0 \fs24\lang2057\langfe2057\cgrid\langnp2057\langfenp2057 {\rtlch\fcs1 \af0 _x000d__x000a_\ltrch\fcs0 \insrsid3571077 \chftnsep _x000d__x000a_\par }}{\*\aftnsepc \ltrpar \pard\plain \ltrpar\ql \li0\ri0\widctlpar\wrapdefault\aspalpha\aspnum\faauto\adjustright\rin0\lin0\itap0 \rtlch\fcs1 \af0\afs20\alang1025 \ltrch\fcs0 \fs24\lang2057\langfe2057\cgrid\langnp2057\langfenp2057 {\rtlch\fcs1 \af0 _x000d__x000a_\ltrch\fcs0 \insrsid35710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325737 \rtlch\fcs1 _x000d__x000a_\af0\afs20\alang1025 \ltrch\fcs0 \b\fs24\lang2057\langfe2057\cgrid\langnp2057\langfenp2057 {\rtlch\fcs1 \af0 \ltrch\fcs0 \cs17\b0\v\fs20\cf9\lang1024\langfe1024\loch\af1\hich\af1\dbch\af31501\noproof\insrsid5325737\charrsid5585170 {\*\bkmkstart restart}_x000d__x000a_\hich\af1\dbch\af31501\loch\f1 &lt;Amend&gt;}{\rtlch\fcs1 \af0 \ltrch\fcs0 \insrsid5325737\charrsid5585170 Amendment\tab \tab }{\rtlch\fcs1 \af0 \ltrch\fcs0 _x000d__x000a_\cs17\b0\v\fs20\cf9\lang1024\langfe1024\loch\af1\hich\af1\dbch\af31501\noproof\insrsid5325737\charrsid5585170 \hich\af1\dbch\af31501\loch\f1 &lt;NumAm&gt;}{\rtlch\fcs1 \af0 \ltrch\fcs0 \insrsid5325737\charrsid5585170 #}{\rtlch\fcs1 \af1 \ltrch\fcs0 _x000d__x000a_\cs18\v\f1\fs20\cf15\insrsid5325737\charrsid5585170 ENMIENDA@NRAM@}{\rtlch\fcs1 \af0 \ltrch\fcs0 \insrsid5325737\charrsid5585170 #}{\rtlch\fcs1 \af0 \ltrch\fcs0 _x000d__x000a_\cs17\b0\v\fs20\cf9\lang1024\langfe1024\loch\af1\hich\af1\dbch\af31501\noproof\insrsid5325737\charrsid5585170 \hich\af1\dbch\af31501\loch\f1 &lt;/NumAm&gt;}{\rtlch\fcs1 \af0 \ltrch\fcs0 \insrsid5325737\charrsid5585170 _x000d__x000a_\par }\pard\plain \ltrpar\s27\ql \li0\ri0\sb240\keepn\nowidctlpar\wrapdefault\aspalpha\aspnum\faauto\adjustright\rin0\lin0\itap0\pararsid5325737 \rtlch\fcs1 \af0\afs20\alang1025 \ltrch\fcs0 \b\fs24\lang2057\langfe2057\cgrid\langnp2057\langfenp2057 {_x000d__x000a_\rtlch\fcs1 \af0 \ltrch\fcs0 \cs17\b0\v\fs20\cf9\lang1024\langfe1024\loch\af1\hich\af1\dbch\af31501\noproof\insrsid5325737\charrsid5585170 \hich\af1\dbch\af31501\loch\f1 &lt;DocAmend&gt;}{\rtlch\fcs1 \af0 \ltrch\fcs0 \insrsid5325737\charrsid5585170 _x000d__x000a_Proposal for a #}{\rtlch\fcs1 \af1 \ltrch\fcs0 \cs18\v\f1\fs20\cf15\insrsid5325737\charrsid5585170 MNU[DOC1][DOC2][DOC3]@DOCMSG@DOCMNU}{\rtlch\fcs1 \af0 \ltrch\fcs0 \insrsid5325737\charrsid5585170 ##}{\rtlch\fcs1 \af1 \ltrch\fcs0 _x000d__x000a_\cs18\v\f1\fs20\cf15\insrsid5325737\charrsid5585170 MNU[AMACTYES][NOTAPP]@CHOICE@AMACTMNU}{\rtlch\fcs1 \af0 \ltrch\fcs0 \insrsid5325737\charrsid5585170 #}{\rtlch\fcs1 \af0 \ltrch\fcs0 _x000d__x000a_\cs17\b0\v\fs20\cf9\lang1024\langfe1024\loch\af1\hich\af1\dbch\af31501\noproof\insrsid5325737\charrsid5585170 \hich\af1\dbch\af31501\loch\f1 &lt;/DocAmend&gt;}{\rtlch\fcs1 \af0 \ltrch\fcs0 \insrsid5325737\charrsid5585170 _x000d__x000a_\par }\pard\plain \ltrpar\s20\ql \li0\ri0\keepn\nowidctlpar\wrapdefault\aspalpha\aspnum\faauto\adjustright\rin0\lin0\itap0\pararsid5325737 \rtlch\fcs1 \af0\afs20\alang1025 \ltrch\fcs0 \b\fs24\lang2057\langfe2057\cgrid\langnp2057\langfenp2057 {\rtlch\fcs1 \af0 _x000d__x000a_\ltrch\fcs0 \cs17\b0\v\fs20\cf9\lang1024\langfe1024\loch\af1\hich\af1\dbch\af31501\noproof\insrsid5325737\charrsid5585170 \hich\af1\dbch\af31501\loch\f1 &lt;Article&gt;}{\rtlch\fcs1 \af0 \ltrch\fcs0 \insrsid5325737\charrsid5585170 #}{\rtlch\fcs1 \af1 _x000d__x000a_\ltrch\fcs0 \cs18\v\f1\fs20\cf15\insrsid5325737\charrsid5585170 MNU[AMACTPARTYES][AMACTPARTNO]@CHOICE@AMACTMNU}{\rtlch\fcs1 \af0 \ltrch\fcs0 \insrsid5325737\charrsid5585170 #}{\rtlch\fcs1 \af0 \ltrch\fcs0 _x000d__x000a_\cs17\b0\v\fs20\cf9\lang1024\langfe1024\loch\af1\hich\af1\dbch\af31501\noproof\insrsid5325737\charrsid5585170 \hich\af1\dbch\af31501\loch\f1 &lt;/Article&gt;}{\rtlch\fcs1 \af0 \ltrch\fcs0 \insrsid5325737\charrsid5585170 _x000d__x000a_\par }\pard\plain \ltrpar\ql \li0\ri0\keepn\widctlpar\wrapdefault\aspalpha\aspnum\faauto\adjustright\rin0\lin0\itap0\pararsid5325737 \rtlch\fcs1 \af0\afs20\alang1025 \ltrch\fcs0 \fs24\lang2057\langfe2057\cgrid\langnp2057\langfenp2057 {\rtlch\fcs1 \af0 _x000d__x000a_\ltrch\fcs0 \cs17\v\fs20\cf9\lang1024\langfe1024\loch\af1\hich\af1\dbch\af31501\noproof\insrsid5325737\charrsid5585170 \hich\af1\dbch\af31501\loch\f1 &lt;DocAmend2&gt;&lt;OptDel&gt;}{\rtlch\fcs1 \af0 \ltrch\fcs0 \insrsid5325737\charrsid5585170 #}{\rtlch\fcs1 \af1 _x000d__x000a_\ltrch\fcs0 \cs18\v\f1\fs20\cf15\insrsid5325737\charrsid5585170 MNU[OPTNRACTYES][NOTAPP]@CHOICE@AMACTMNU}{\rtlch\fcs1 \af0 \ltrch\fcs0 \insrsid5325737\charrsid5585170 #}{\rtlch\fcs1 \af0 \ltrch\fcs0 _x000d__x000a_\cs17\v\fs20\cf9\lang1024\langfe1024\loch\af1\hich\af1\dbch\af31501\noproof\insrsid5325737\charrsid5585170 \hich\af1\dbch\af31501\loch\f1 &lt;/OptDel&gt;&lt;/DocAmend2&gt;}{\rtlch\fcs1 \af0 \ltrch\fcs0 \insrsid5325737\charrsid5585170 _x000d__x000a_\par }\pard \ltrpar\ql \li0\ri0\widctlpar\wrapdefault\aspalpha\aspnum\faauto\adjustright\rin0\lin0\itap0\pararsid5325737 {\rtlch\fcs1 \af0 \ltrch\fcs0 \cs17\v\fs20\cf9\lang1024\langfe1024\loch\af1\hich\af1\dbch\af31501\noproof\insrsid5325737\charrsid5585170 _x000d__x000a_\hich\af1\dbch\af31501\loch\f1 &lt;Article2&gt;&lt;OptDel&gt;}{\rtlch\fcs1 \af0 \ltrch\fcs0 \insrsid5325737\charrsid5585170 #}{\rtlch\fcs1 \af1 \ltrch\fcs0 \cs18\v\f1\fs20\cf15\insrsid5325737\charrsid5585170 MNU[OPTACTPARTYES][NOTAPP]@CHOICE@AMACTMNU}{\rtlch\fcs1 _x000d__x000a_\af0 \ltrch\fcs0 \insrsid5325737\charrsid5585170 #}{\rtlch\fcs1 \af0 \ltrch\fcs0 \cs17\v\fs20\cf9\lang1024\langfe1024\loch\af1\hich\af1\dbch\af31501\noproof\insrsid5325737\charrsid5585170 \hich\af1\dbch\af31501\loch\f1 &lt;/OptDel&gt;&lt;/Article2&gt;}{\rtlch\fcs1 _x000d__x000a_\af0 \ltrch\fcs0 \insrsid5325737\charrsid558517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5325737\charrsid5585170 #}{\rtlch\fcs1 \af1 \ltrch\fcs0 \cs18\v\f1\fs20\cf15\insrsid5325737\charrsid5585170 MNU[OPTLEFTAMACT][LEFTPROP]@CHOICE@AMACTMNU}{\rtlch\fcs1 \af0 \ltrch\fcs0 \insrsid5325737\charrsid5585170 #\cell Amendment\cell _x000d__x000a_}\pard\plain \ltrpar\ql \li0\ri0\widctlpar\intbl\wrapdefault\aspalpha\aspnum\faauto\adjustright\rin0\lin0 \rtlch\fcs1 \af0\afs20\alang1025 \ltrch\fcs0 \fs24\lang2057\langfe2057\cgrid\langnp2057\langfenp2057 {\rtlch\fcs1 \af0 \ltrch\fcs0 _x000d__x000a_\insrsid5325737\charrsid5585170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5325737\charrsid5585170 ##\cell ##}{\rtlch\fcs1 \af0\afs24 \ltrch\fcs0 \insrsid5325737\charrsid5585170 \cell }\pard\plain \ltrpar\ql \li0\ri0\widctlpar\intbl\wrapdefault\aspalpha\aspnum\faauto\adjustright\rin0\lin0 \rtlch\fcs1 _x000d__x000a_\af0\afs20\alang1025 \ltrch\fcs0 \fs24\lang2057\langfe2057\cgrid\langnp2057\langfenp2057 {\rtlch\fcs1 \af0 \ltrch\fcs0 \insrsid5325737\charrsid558517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325737 \rtlch\fcs1 \af0\afs20\alang1025 \ltrch\fcs0 \fs24\lang2057\langfe2057\cgrid\langnp2057\langfenp2057 {\rtlch\fcs1 \af0 \ltrch\fcs0 _x000d__x000a_\insrsid5325737\charrsid5585170 Or. }{\rtlch\fcs1 \af0 \ltrch\fcs0 \cs17\v\fs20\cf9\lang1024\langfe1024\loch\af1\hich\af1\dbch\af31501\noproof\insrsid5325737\charrsid5585170 \hich\af1\dbch\af31501\loch\f1 &lt;Original&gt;}{\rtlch\fcs1 \af0 \ltrch\fcs0 _x000d__x000a_\insrsid5325737\charrsid5585170 #}{\rtlch\fcs1 \af1 \ltrch\fcs0 \cs18\v\f1\fs20\cf15\insrsid5325737\charrsid5585170 MNU[ORLANGONE][ORLANGMORE]@CHOICE@ORLANGMNU}{\rtlch\fcs1 \af0 \ltrch\fcs0 \insrsid5325737\charrsid5585170 #}{\rtlch\fcs1 \af0 \ltrch\fcs0 _x000d__x000a_\cs17\v\fs20\cf9\lang1024\langfe1024\loch\af1\hich\af1\dbch\af31501\noproof\insrsid5325737\charrsid5585170 \hich\af1\dbch\af31501\loch\f1 &lt;/Original&gt;}{\rtlch\fcs1 \af0 \ltrch\fcs0 \insrsid5325737\charrsid5585170 _x000d__x000a_\par }\pard\plain \ltrpar\s22\qc \li0\ri0\sb240\sa240\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OptDel&gt;}{\rtlch\fcs1 \af0 \ltrch\fcs0 \insrsid5325737\charrsid5585170 #}{_x000d__x000a_\rtlch\fcs1 \af1 \ltrch\fcs0 \cs18\v\f1\fs20\cf15\insrsid5325737\charrsid5585170 MNU[CROSSREFNO][CROSSREFYES]@CHOICE@}{\rtlch\fcs1 \af0 \ltrch\fcs0 \insrsid5325737\charrsid5585170 #}{\rtlch\fcs1 \af0 \ltrch\fcs0 _x000d__x000a_\cs17\i0\v\fs20\cf9\lang1024\langfe1024\loch\af1\hich\af1\dbch\af31501\noproof\insrsid5325737\charrsid5585170 \hich\af1\dbch\af31501\loch\f1 &lt;/OptDel&gt;}{\rtlch\fcs1 \af0 \ltrch\fcs0 \insrsid5325737\charrsid5585170 _x000d__x000a_\par }\pard\plain \ltrpar\s23\qc \li0\ri0\sb240\sa240\keepn\nowidctlpar\wrapdefault\aspalpha\aspnum\faauto\adjustright\rin0\lin0\itap0\pararsid5325737 \rtlch\fcs1 \af0\afs20\alang1025 \ltrch\fcs0 \i\fs24\lang2057\langfe2057\cgrid\langnp2057\langfenp2057 {_x000d__x000a_\rtlch\fcs1 \af0 \ltrch\fcs0 \cs17\i0\v\fs20\cf9\lang1024\langfe1024\loch\af1\hich\af1\dbch\af31501\noproof\insrsid5325737\charrsid5585170 \hich\af1\dbch\af31501\loch\f1 &lt;TitreJust&gt;}{\rtlch\fcs1 \af0 \ltrch\fcs0 \insrsid5325737\charrsid5585170 _x000d__x000a_Justification}{\rtlch\fcs1 \af0 \ltrch\fcs0 \cs17\i0\v\fs20\cf9\lang1024\langfe1024\loch\af1\hich\af1\dbch\af31501\noproof\insrsid5325737\charrsid5585170 \hich\af1\dbch\af31501\loch\f1 &lt;/TitreJust&gt;}{\rtlch\fcs1 \af0 \ltrch\fcs0 _x000d__x000a_\insrsid5325737\charrsid5585170 _x000d__x000a_\par }\pard\plain \ltrpar\s21\ql \li0\ri0\sa240\nowidctlpar\wrapdefault\aspalpha\aspnum\faauto\adjustright\rin0\lin0\itap0\pararsid5325737 \rtlch\fcs1 \af0\afs20\alang1025 \ltrch\fcs0 \i\fs24\lang2057\langfe2057\cgrid\langnp2057\langfenp2057 {\rtlch\fcs1 \af0 _x000d__x000a_\ltrch\fcs0 \cs17\i0\v\fs20\cf9\lang1024\langfe1024\loch\af1\hich\af1\dbch\af31501\noproof\insrsid5325737\charrsid5585170 \hich\af1\dbch\af31501\loch\f1 &lt;OptDelPrev&gt;}{\rtlch\fcs1 \af0 \ltrch\fcs0 \insrsid5325737\charrsid5585170 #}{\rtlch\fcs1 \af1 _x000d__x000a_\ltrch\fcs0 \cs18\v\f1\fs20\cf15\insrsid5325737\charrsid5585170 MNU[TEXTJUSTYES][TEXTJUSTNO]@CHOICE@}{\rtlch\fcs1 \af0 \ltrch\fcs0 \insrsid5325737\charrsid5585170 #}{\rtlch\fcs1 \af0 \ltrch\fcs0 _x000d__x000a_\cs17\i0\v\fs20\cf9\lang1024\langfe1024\loch\af1\hich\af1\dbch\af31501\noproof\insrsid5325737\charrsid5585170 \hich\af1\dbch\af31501\loch\f1 &lt;/OptDelPrev&gt;}{\rtlch\fcs1 \af0 \ltrch\fcs0 \insrsid5325737\charrsid5585170 _x000d__x000a_\par }\pard\plain \ltrpar\ql \li0\ri0\widctlpar\wrapdefault\aspalpha\aspnum\faauto\adjustright\rin0\lin0\itap0\pararsid5325737 \rtlch\fcs1 \af0\afs20\alang1025 \ltrch\fcs0 \fs24\lang2057\langfe2057\cgrid\langnp2057\langfenp2057 {\rtlch\fcs1 \af0 \ltrch\fcs0 _x000d__x000a_\cs17\v\fs20\cf9\lang1024\langfe1024\loch\af1\hich\af1\dbch\af31501\noproof\insrsid5325737\charrsid558517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a_x000d__x000a_a6b0687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4"/>
    <w:docVar w:name="TXTLANGUE" w:val="EN"/>
    <w:docVar w:name="TXTLANGUEMIN" w:val="en"/>
    <w:docVar w:name="TXTNRC" w:val="0431/2023"/>
    <w:docVar w:name="TXTNRCOD" w:val="2023/0438"/>
    <w:docVar w:name="TXTNRCOM" w:val="(2023)0754"/>
    <w:docVar w:name="TXTNRFIRSTAM" w:val="1"/>
    <w:docVar w:name="TXTNRLASTAM" w:val="49"/>
    <w:docVar w:name="TXTNRPE" w:val="768.042"/>
    <w:docVar w:name="TXTPEorAP" w:val="PE"/>
    <w:docVar w:name="TXTROUTE" w:val="PR\1314087EN.docx"/>
    <w:docVar w:name="TXTTITLE" w:val="on enhancing police cooperation in relation to the prevention, detection and investigation of migrant smuggling and trafficking in human beings, and on enhancing Europol’s support to preventing and combating such crimes and amending Regulation (EU) 2016/794"/>
    <w:docVar w:name="TXTVERSION" w:val="01-00"/>
  </w:docVars>
  <w:rsids>
    <w:rsidRoot w:val="00553912"/>
    <w:rsid w:val="00006799"/>
    <w:rsid w:val="00011AAB"/>
    <w:rsid w:val="00012351"/>
    <w:rsid w:val="000139E5"/>
    <w:rsid w:val="00030833"/>
    <w:rsid w:val="00084DD2"/>
    <w:rsid w:val="00084E89"/>
    <w:rsid w:val="000B62B6"/>
    <w:rsid w:val="000B7489"/>
    <w:rsid w:val="000F1096"/>
    <w:rsid w:val="000F1F1B"/>
    <w:rsid w:val="00120948"/>
    <w:rsid w:val="00123DD5"/>
    <w:rsid w:val="001277AE"/>
    <w:rsid w:val="00135669"/>
    <w:rsid w:val="00136018"/>
    <w:rsid w:val="00142215"/>
    <w:rsid w:val="001767E2"/>
    <w:rsid w:val="0018078A"/>
    <w:rsid w:val="00187008"/>
    <w:rsid w:val="00190DFA"/>
    <w:rsid w:val="001B3829"/>
    <w:rsid w:val="001B6968"/>
    <w:rsid w:val="001C407A"/>
    <w:rsid w:val="001C5592"/>
    <w:rsid w:val="001C5B44"/>
    <w:rsid w:val="001C6FFC"/>
    <w:rsid w:val="001E6032"/>
    <w:rsid w:val="001F7C7C"/>
    <w:rsid w:val="002072DD"/>
    <w:rsid w:val="00212B84"/>
    <w:rsid w:val="002346B0"/>
    <w:rsid w:val="00254FEA"/>
    <w:rsid w:val="00265B16"/>
    <w:rsid w:val="002667C3"/>
    <w:rsid w:val="002669B6"/>
    <w:rsid w:val="00290BED"/>
    <w:rsid w:val="002C6AD4"/>
    <w:rsid w:val="002D13EE"/>
    <w:rsid w:val="002E33EE"/>
    <w:rsid w:val="002E4496"/>
    <w:rsid w:val="002F40BB"/>
    <w:rsid w:val="002F4B02"/>
    <w:rsid w:val="003007C0"/>
    <w:rsid w:val="00305CD9"/>
    <w:rsid w:val="00306D10"/>
    <w:rsid w:val="00320B73"/>
    <w:rsid w:val="00323EF8"/>
    <w:rsid w:val="003316DD"/>
    <w:rsid w:val="0035010A"/>
    <w:rsid w:val="00366819"/>
    <w:rsid w:val="00366A46"/>
    <w:rsid w:val="00370AC3"/>
    <w:rsid w:val="003824EE"/>
    <w:rsid w:val="003B4689"/>
    <w:rsid w:val="003C2068"/>
    <w:rsid w:val="003C37CF"/>
    <w:rsid w:val="003C4EC2"/>
    <w:rsid w:val="004100B1"/>
    <w:rsid w:val="00426E47"/>
    <w:rsid w:val="00440502"/>
    <w:rsid w:val="00455743"/>
    <w:rsid w:val="00461601"/>
    <w:rsid w:val="00483C7E"/>
    <w:rsid w:val="004C0915"/>
    <w:rsid w:val="004D424E"/>
    <w:rsid w:val="004E42C8"/>
    <w:rsid w:val="004E733D"/>
    <w:rsid w:val="004F3FA5"/>
    <w:rsid w:val="0051271F"/>
    <w:rsid w:val="00520CE7"/>
    <w:rsid w:val="00521F46"/>
    <w:rsid w:val="00522F4E"/>
    <w:rsid w:val="00551111"/>
    <w:rsid w:val="00551123"/>
    <w:rsid w:val="00553912"/>
    <w:rsid w:val="00570A6A"/>
    <w:rsid w:val="0057380F"/>
    <w:rsid w:val="00586E50"/>
    <w:rsid w:val="0059583D"/>
    <w:rsid w:val="005A42D9"/>
    <w:rsid w:val="005B18F7"/>
    <w:rsid w:val="005C1BF5"/>
    <w:rsid w:val="005C2937"/>
    <w:rsid w:val="005C2BEF"/>
    <w:rsid w:val="005C4959"/>
    <w:rsid w:val="005C59EC"/>
    <w:rsid w:val="005D1A99"/>
    <w:rsid w:val="005D7609"/>
    <w:rsid w:val="005D7EE8"/>
    <w:rsid w:val="005F4583"/>
    <w:rsid w:val="006020DB"/>
    <w:rsid w:val="00622FCA"/>
    <w:rsid w:val="00642325"/>
    <w:rsid w:val="006A2F5D"/>
    <w:rsid w:val="006E6891"/>
    <w:rsid w:val="006F30B1"/>
    <w:rsid w:val="006F7907"/>
    <w:rsid w:val="00703D79"/>
    <w:rsid w:val="00733DB4"/>
    <w:rsid w:val="00742F5F"/>
    <w:rsid w:val="00743189"/>
    <w:rsid w:val="00743D33"/>
    <w:rsid w:val="00756434"/>
    <w:rsid w:val="007932B3"/>
    <w:rsid w:val="00793EA9"/>
    <w:rsid w:val="007D6F68"/>
    <w:rsid w:val="00823E6B"/>
    <w:rsid w:val="00826780"/>
    <w:rsid w:val="00837CCD"/>
    <w:rsid w:val="00851C5E"/>
    <w:rsid w:val="008633CC"/>
    <w:rsid w:val="00865190"/>
    <w:rsid w:val="008719B9"/>
    <w:rsid w:val="00894ECE"/>
    <w:rsid w:val="00896BB4"/>
    <w:rsid w:val="008A7FB8"/>
    <w:rsid w:val="008B091D"/>
    <w:rsid w:val="009022B8"/>
    <w:rsid w:val="00914537"/>
    <w:rsid w:val="00917CC4"/>
    <w:rsid w:val="009763DA"/>
    <w:rsid w:val="009845B8"/>
    <w:rsid w:val="009975B3"/>
    <w:rsid w:val="009A216D"/>
    <w:rsid w:val="009B30C5"/>
    <w:rsid w:val="009B4B93"/>
    <w:rsid w:val="009C4D0B"/>
    <w:rsid w:val="009E2129"/>
    <w:rsid w:val="009F24BE"/>
    <w:rsid w:val="009F6C2F"/>
    <w:rsid w:val="009F767A"/>
    <w:rsid w:val="00A0169F"/>
    <w:rsid w:val="00A22533"/>
    <w:rsid w:val="00A26F46"/>
    <w:rsid w:val="00A34FD3"/>
    <w:rsid w:val="00A36929"/>
    <w:rsid w:val="00A425C8"/>
    <w:rsid w:val="00A50548"/>
    <w:rsid w:val="00A60EE7"/>
    <w:rsid w:val="00A910C9"/>
    <w:rsid w:val="00A9358C"/>
    <w:rsid w:val="00AA35B0"/>
    <w:rsid w:val="00AD18C8"/>
    <w:rsid w:val="00AD7FA6"/>
    <w:rsid w:val="00AE1055"/>
    <w:rsid w:val="00AE169E"/>
    <w:rsid w:val="00AE4643"/>
    <w:rsid w:val="00AF0416"/>
    <w:rsid w:val="00B10CB4"/>
    <w:rsid w:val="00B123AB"/>
    <w:rsid w:val="00B13D6F"/>
    <w:rsid w:val="00B23B72"/>
    <w:rsid w:val="00B42702"/>
    <w:rsid w:val="00B57B8B"/>
    <w:rsid w:val="00B85407"/>
    <w:rsid w:val="00B95702"/>
    <w:rsid w:val="00BC6489"/>
    <w:rsid w:val="00BD480C"/>
    <w:rsid w:val="00BE36FC"/>
    <w:rsid w:val="00C070E8"/>
    <w:rsid w:val="00C20954"/>
    <w:rsid w:val="00C23324"/>
    <w:rsid w:val="00C24129"/>
    <w:rsid w:val="00C42A41"/>
    <w:rsid w:val="00C47E74"/>
    <w:rsid w:val="00C57A72"/>
    <w:rsid w:val="00C73602"/>
    <w:rsid w:val="00CE4C07"/>
    <w:rsid w:val="00CF18FC"/>
    <w:rsid w:val="00CF60C8"/>
    <w:rsid w:val="00D11284"/>
    <w:rsid w:val="00D143D2"/>
    <w:rsid w:val="00D30DE2"/>
    <w:rsid w:val="00D32924"/>
    <w:rsid w:val="00D503A3"/>
    <w:rsid w:val="00D519D6"/>
    <w:rsid w:val="00D539D9"/>
    <w:rsid w:val="00DA6ED0"/>
    <w:rsid w:val="00DC5011"/>
    <w:rsid w:val="00DE2F8A"/>
    <w:rsid w:val="00DE6ABE"/>
    <w:rsid w:val="00E151BD"/>
    <w:rsid w:val="00E171B6"/>
    <w:rsid w:val="00E2143E"/>
    <w:rsid w:val="00E72695"/>
    <w:rsid w:val="00E92785"/>
    <w:rsid w:val="00EB1753"/>
    <w:rsid w:val="00EB6CFF"/>
    <w:rsid w:val="00EE36FC"/>
    <w:rsid w:val="00EE3996"/>
    <w:rsid w:val="00F07062"/>
    <w:rsid w:val="00F23CFC"/>
    <w:rsid w:val="00F433E2"/>
    <w:rsid w:val="00F63025"/>
    <w:rsid w:val="00F904AE"/>
    <w:rsid w:val="00F934F8"/>
    <w:rsid w:val="00F94366"/>
    <w:rsid w:val="00FB3173"/>
    <w:rsid w:val="00FB52FE"/>
    <w:rsid w:val="00FC0A34"/>
    <w:rsid w:val="00FC7C21"/>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E57100"/>
  <w15:chartTrackingRefBased/>
  <w15:docId w15:val="{11B1809C-E1B2-431F-A94A-973D8CB36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742F5F"/>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9845B8"/>
    <w:pPr>
      <w:tabs>
        <w:tab w:val="right" w:pos="454"/>
        <w:tab w:val="left" w:pos="737"/>
      </w:tabs>
      <w:ind w:left="737" w:hanging="737"/>
    </w:pPr>
    <w:rPr>
      <w:snapToGrid w:val="0"/>
      <w:sz w:val="18"/>
      <w:lang w:eastAsia="en-US"/>
    </w:rPr>
  </w:style>
  <w:style w:type="paragraph" w:customStyle="1" w:styleId="Lgendetitre">
    <w:name w:val="Légende titre"/>
    <w:basedOn w:val="Normal"/>
    <w:rsid w:val="009845B8"/>
    <w:pPr>
      <w:spacing w:before="240" w:after="240"/>
    </w:pPr>
    <w:rPr>
      <w:b/>
      <w:i/>
      <w:snapToGrid w:val="0"/>
      <w:lang w:eastAsia="en-US"/>
    </w:rPr>
  </w:style>
  <w:style w:type="paragraph" w:customStyle="1" w:styleId="Lgendestandard">
    <w:name w:val="Légende standard"/>
    <w:basedOn w:val="Normal"/>
    <w:rsid w:val="009845B8"/>
    <w:rPr>
      <w:sz w:val="18"/>
    </w:rPr>
  </w:style>
  <w:style w:type="paragraph" w:styleId="FootnoteText">
    <w:name w:val="footnote text"/>
    <w:basedOn w:val="Normal"/>
    <w:link w:val="FootnoteTextChar"/>
    <w:uiPriority w:val="99"/>
    <w:rsid w:val="009845B8"/>
    <w:rPr>
      <w:sz w:val="20"/>
    </w:rPr>
  </w:style>
  <w:style w:type="character" w:customStyle="1" w:styleId="FootnoteTextChar">
    <w:name w:val="Footnote Text Char"/>
    <w:basedOn w:val="DefaultParagraphFont"/>
    <w:link w:val="FootnoteText"/>
    <w:uiPriority w:val="99"/>
    <w:rsid w:val="009845B8"/>
  </w:style>
  <w:style w:type="character" w:styleId="FootnoteReference">
    <w:name w:val="footnote reference"/>
    <w:basedOn w:val="DefaultParagraphFont"/>
    <w:uiPriority w:val="99"/>
    <w:rsid w:val="009845B8"/>
    <w:rPr>
      <w:vertAlign w:val="superscript"/>
    </w:rPr>
  </w:style>
  <w:style w:type="paragraph" w:styleId="BalloonText">
    <w:name w:val="Balloon Text"/>
    <w:basedOn w:val="Normal"/>
    <w:link w:val="BalloonTextChar"/>
    <w:semiHidden/>
    <w:unhideWhenUsed/>
    <w:rsid w:val="00520CE7"/>
    <w:rPr>
      <w:rFonts w:ascii="Segoe UI" w:hAnsi="Segoe UI" w:cs="Segoe UI"/>
      <w:sz w:val="18"/>
      <w:szCs w:val="18"/>
    </w:rPr>
  </w:style>
  <w:style w:type="character" w:customStyle="1" w:styleId="BalloonTextChar">
    <w:name w:val="Balloon Text Char"/>
    <w:basedOn w:val="DefaultParagraphFont"/>
    <w:link w:val="BalloonText"/>
    <w:semiHidden/>
    <w:rsid w:val="00520CE7"/>
    <w:rPr>
      <w:rFonts w:ascii="Segoe UI" w:hAnsi="Segoe UI" w:cs="Segoe UI"/>
      <w:sz w:val="18"/>
      <w:szCs w:val="18"/>
    </w:rPr>
  </w:style>
  <w:style w:type="paragraph" w:customStyle="1" w:styleId="Normal24a">
    <w:name w:val="Normal24a"/>
    <w:basedOn w:val="Normal"/>
    <w:rsid w:val="00D11284"/>
    <w:pPr>
      <w:spacing w:after="480"/>
    </w:pPr>
  </w:style>
  <w:style w:type="paragraph" w:customStyle="1" w:styleId="NormalBoldCenter">
    <w:name w:val="NormalBoldCenter"/>
    <w:basedOn w:val="Normal"/>
    <w:rsid w:val="00D11284"/>
    <w:pPr>
      <w:jc w:val="center"/>
    </w:pPr>
    <w:rPr>
      <w:b/>
    </w:rPr>
  </w:style>
  <w:style w:type="paragraph" w:customStyle="1" w:styleId="Footprint12b">
    <w:name w:val="Footprint12b"/>
    <w:basedOn w:val="Normal"/>
    <w:rsid w:val="00D11284"/>
    <w:pPr>
      <w:spacing w:before="240"/>
    </w:pPr>
    <w:rPr>
      <w:szCs w:val="24"/>
    </w:rPr>
  </w:style>
  <w:style w:type="paragraph" w:customStyle="1" w:styleId="NormalSingle">
    <w:name w:val="NormalSingle"/>
    <w:basedOn w:val="Normal"/>
    <w:qFormat/>
    <w:rsid w:val="00D11284"/>
    <w:rPr>
      <w:szCs w:val="24"/>
    </w:rPr>
  </w:style>
  <w:style w:type="character" w:styleId="Hyperlink">
    <w:name w:val="Hyperlink"/>
    <w:basedOn w:val="DefaultParagraphFont"/>
    <w:uiPriority w:val="99"/>
    <w:rsid w:val="00D11284"/>
    <w:rPr>
      <w:color w:val="0563C1" w:themeColor="hyperlink"/>
      <w:u w:val="single"/>
    </w:rPr>
  </w:style>
  <w:style w:type="paragraph" w:customStyle="1" w:styleId="EntPE">
    <w:name w:val="EntPE"/>
    <w:basedOn w:val="Normal12"/>
    <w:rsid w:val="00742F5F"/>
    <w:pPr>
      <w:jc w:val="center"/>
    </w:pPr>
    <w:rPr>
      <w:noProof w:val="0"/>
      <w:sz w:val="56"/>
    </w:rPr>
  </w:style>
  <w:style w:type="paragraph" w:customStyle="1" w:styleId="Normal12">
    <w:name w:val="Normal12"/>
    <w:basedOn w:val="Normal"/>
    <w:link w:val="Normal12Char"/>
    <w:rsid w:val="00742F5F"/>
    <w:pPr>
      <w:spacing w:after="240"/>
    </w:pPr>
    <w:rPr>
      <w:noProof/>
    </w:rPr>
  </w:style>
  <w:style w:type="character" w:customStyle="1" w:styleId="Normal12Char">
    <w:name w:val="Normal12 Char"/>
    <w:basedOn w:val="DefaultParagraphFont"/>
    <w:link w:val="Normal12"/>
    <w:locked/>
    <w:rsid w:val="00742F5F"/>
    <w:rPr>
      <w:noProof/>
      <w:sz w:val="24"/>
    </w:rPr>
  </w:style>
  <w:style w:type="paragraph" w:customStyle="1" w:styleId="Normal6">
    <w:name w:val="Normal6"/>
    <w:basedOn w:val="Normal"/>
    <w:link w:val="Normal6Char"/>
    <w:rsid w:val="00742F5F"/>
    <w:pPr>
      <w:spacing w:after="120"/>
    </w:pPr>
  </w:style>
  <w:style w:type="character" w:customStyle="1" w:styleId="Normal6Char">
    <w:name w:val="Normal6 Char"/>
    <w:basedOn w:val="DefaultParagraphFont"/>
    <w:link w:val="Normal6"/>
    <w:rsid w:val="00742F5F"/>
    <w:rPr>
      <w:sz w:val="24"/>
      <w:lang w:val="sv-SE"/>
    </w:rPr>
  </w:style>
  <w:style w:type="paragraph" w:customStyle="1" w:styleId="Normal12Italic">
    <w:name w:val="Normal12Italic"/>
    <w:basedOn w:val="Normal12"/>
    <w:rsid w:val="00742F5F"/>
    <w:rPr>
      <w:i/>
    </w:rPr>
  </w:style>
  <w:style w:type="character" w:customStyle="1" w:styleId="FooterChar">
    <w:name w:val="Footer Char"/>
    <w:basedOn w:val="DefaultParagraphFont"/>
    <w:link w:val="Footer"/>
    <w:rsid w:val="00742F5F"/>
    <w:rPr>
      <w:sz w:val="22"/>
    </w:rPr>
  </w:style>
  <w:style w:type="paragraph" w:styleId="Footer">
    <w:name w:val="footer"/>
    <w:link w:val="FooterChar"/>
    <w:rsid w:val="00742F5F"/>
    <w:pPr>
      <w:tabs>
        <w:tab w:val="center" w:pos="4536"/>
        <w:tab w:val="right" w:pos="9072"/>
      </w:tabs>
      <w:spacing w:before="240" w:after="240" w:line="221" w:lineRule="auto"/>
    </w:pPr>
    <w:rPr>
      <w:sz w:val="22"/>
    </w:rPr>
  </w:style>
  <w:style w:type="paragraph" w:customStyle="1" w:styleId="Footer2">
    <w:name w:val="Footer2"/>
    <w:basedOn w:val="Normal12"/>
    <w:rsid w:val="00742F5F"/>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742F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42F5F"/>
    <w:pPr>
      <w:spacing w:after="240"/>
      <w:jc w:val="center"/>
    </w:pPr>
    <w:rPr>
      <w:i/>
    </w:rPr>
  </w:style>
  <w:style w:type="paragraph" w:customStyle="1" w:styleId="Olang">
    <w:name w:val="Olang"/>
    <w:basedOn w:val="Normal"/>
    <w:rsid w:val="00742F5F"/>
    <w:pPr>
      <w:spacing w:before="240" w:after="240"/>
      <w:jc w:val="right"/>
    </w:pPr>
    <w:rPr>
      <w:noProof/>
      <w:szCs w:val="24"/>
    </w:rPr>
  </w:style>
  <w:style w:type="paragraph" w:customStyle="1" w:styleId="JustificationTitle">
    <w:name w:val="JustificationTitle"/>
    <w:basedOn w:val="Normal"/>
    <w:next w:val="Normal12"/>
    <w:rsid w:val="00742F5F"/>
    <w:pPr>
      <w:keepNext/>
      <w:spacing w:before="240" w:after="240"/>
      <w:jc w:val="center"/>
    </w:pPr>
    <w:rPr>
      <w:i/>
      <w:noProof/>
    </w:rPr>
  </w:style>
  <w:style w:type="character" w:styleId="FollowedHyperlink">
    <w:name w:val="FollowedHyperlink"/>
    <w:basedOn w:val="DefaultParagraphFont"/>
    <w:uiPriority w:val="99"/>
    <w:unhideWhenUsed/>
    <w:rsid w:val="0018078A"/>
    <w:rPr>
      <w:color w:val="954F72" w:themeColor="followedHyperlink"/>
      <w:u w:val="single"/>
    </w:rPr>
  </w:style>
  <w:style w:type="paragraph" w:customStyle="1" w:styleId="msonormal0">
    <w:name w:val="msonormal"/>
    <w:basedOn w:val="Normal"/>
    <w:rsid w:val="0018078A"/>
    <w:pPr>
      <w:widowControl/>
      <w:spacing w:before="100" w:beforeAutospacing="1" w:after="100" w:afterAutospacing="1"/>
    </w:pPr>
    <w:rPr>
      <w:szCs w:val="24"/>
    </w:rPr>
  </w:style>
  <w:style w:type="paragraph" w:customStyle="1" w:styleId="CommitteeAM">
    <w:name w:val="CommitteeAM"/>
    <w:basedOn w:val="Normal"/>
    <w:rsid w:val="0018078A"/>
    <w:pPr>
      <w:spacing w:before="240" w:after="600"/>
      <w:jc w:val="center"/>
    </w:pPr>
    <w:rPr>
      <w:i/>
    </w:rPr>
  </w:style>
  <w:style w:type="paragraph" w:customStyle="1" w:styleId="ZDateAM">
    <w:name w:val="ZDateAM"/>
    <w:basedOn w:val="Normal"/>
    <w:rsid w:val="0018078A"/>
    <w:pPr>
      <w:tabs>
        <w:tab w:val="right" w:pos="9356"/>
      </w:tabs>
      <w:spacing w:after="480"/>
    </w:pPr>
    <w:rPr>
      <w:noProof/>
    </w:rPr>
  </w:style>
  <w:style w:type="paragraph" w:customStyle="1" w:styleId="ProjRap">
    <w:name w:val="ProjRap"/>
    <w:basedOn w:val="Normal"/>
    <w:rsid w:val="0018078A"/>
    <w:pPr>
      <w:tabs>
        <w:tab w:val="right" w:pos="9356"/>
      </w:tabs>
    </w:pPr>
    <w:rPr>
      <w:b/>
      <w:noProof/>
    </w:rPr>
  </w:style>
  <w:style w:type="paragraph" w:customStyle="1" w:styleId="PELeft">
    <w:name w:val="PELeft"/>
    <w:basedOn w:val="Normal"/>
    <w:rsid w:val="0018078A"/>
    <w:pPr>
      <w:spacing w:before="40" w:after="40"/>
    </w:pPr>
    <w:rPr>
      <w:rFonts w:ascii="Arial" w:hAnsi="Arial" w:cs="Arial"/>
      <w:sz w:val="22"/>
      <w:szCs w:val="22"/>
    </w:rPr>
  </w:style>
  <w:style w:type="paragraph" w:customStyle="1" w:styleId="PERight">
    <w:name w:val="PERight"/>
    <w:basedOn w:val="Normal"/>
    <w:next w:val="Normal"/>
    <w:rsid w:val="0018078A"/>
    <w:pPr>
      <w:jc w:val="right"/>
    </w:pPr>
    <w:rPr>
      <w:rFonts w:ascii="Arial" w:hAnsi="Arial" w:cs="Arial"/>
      <w:sz w:val="22"/>
      <w:szCs w:val="22"/>
    </w:rPr>
  </w:style>
  <w:style w:type="paragraph" w:customStyle="1" w:styleId="CrossRef">
    <w:name w:val="CrossRef"/>
    <w:basedOn w:val="Normal"/>
    <w:rsid w:val="0018078A"/>
    <w:pPr>
      <w:spacing w:before="240"/>
      <w:jc w:val="center"/>
    </w:pPr>
    <w:rPr>
      <w:i/>
    </w:rPr>
  </w:style>
  <w:style w:type="character" w:customStyle="1" w:styleId="Footer2Middle">
    <w:name w:val="Footer2Middle"/>
    <w:rsid w:val="0018078A"/>
    <w:rPr>
      <w:rFonts w:ascii="Arial" w:hAnsi="Arial" w:cs="Arial" w:hint="default"/>
      <w:b w:val="0"/>
      <w:bCs w:val="0"/>
      <w:i/>
      <w:iCs w:val="0"/>
      <w:color w:val="C0C0C0"/>
      <w:sz w:val="22"/>
    </w:rPr>
  </w:style>
  <w:style w:type="paragraph" w:styleId="NoSpacing">
    <w:name w:val="No Spacing"/>
    <w:uiPriority w:val="1"/>
    <w:qFormat/>
    <w:rsid w:val="005C2937"/>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5C2937"/>
    <w:pPr>
      <w:widowControl/>
      <w:ind w:left="720"/>
      <w:contextualSpacing/>
      <w:jc w:val="both"/>
    </w:pPr>
    <w:rPr>
      <w:rFonts w:eastAsiaTheme="minorHAnsi"/>
      <w:szCs w:val="24"/>
      <w:lang w:eastAsia="en-US"/>
    </w:rPr>
  </w:style>
  <w:style w:type="character" w:styleId="CommentReference">
    <w:name w:val="annotation reference"/>
    <w:basedOn w:val="DefaultParagraphFont"/>
    <w:rsid w:val="00756434"/>
    <w:rPr>
      <w:sz w:val="16"/>
      <w:szCs w:val="16"/>
    </w:rPr>
  </w:style>
  <w:style w:type="paragraph" w:styleId="CommentText">
    <w:name w:val="annotation text"/>
    <w:basedOn w:val="Normal"/>
    <w:link w:val="CommentTextChar"/>
    <w:rsid w:val="00756434"/>
    <w:rPr>
      <w:sz w:val="20"/>
    </w:rPr>
  </w:style>
  <w:style w:type="character" w:customStyle="1" w:styleId="CommentTextChar">
    <w:name w:val="Comment Text Char"/>
    <w:basedOn w:val="DefaultParagraphFont"/>
    <w:link w:val="CommentText"/>
    <w:rsid w:val="00756434"/>
  </w:style>
  <w:style w:type="paragraph" w:styleId="CommentSubject">
    <w:name w:val="annotation subject"/>
    <w:basedOn w:val="CommentText"/>
    <w:next w:val="CommentText"/>
    <w:link w:val="CommentSubjectChar"/>
    <w:semiHidden/>
    <w:unhideWhenUsed/>
    <w:rsid w:val="00756434"/>
    <w:rPr>
      <w:b/>
      <w:bCs/>
    </w:rPr>
  </w:style>
  <w:style w:type="character" w:customStyle="1" w:styleId="CommentSubjectChar">
    <w:name w:val="Comment Subject Char"/>
    <w:basedOn w:val="CommentTextChar"/>
    <w:link w:val="CommentSubject"/>
    <w:semiHidden/>
    <w:rsid w:val="00756434"/>
    <w:rPr>
      <w:b/>
      <w:bCs/>
    </w:rPr>
  </w:style>
  <w:style w:type="character" w:styleId="Emphasis">
    <w:name w:val="Emphasis"/>
    <w:basedOn w:val="DefaultParagraphFont"/>
    <w:uiPriority w:val="20"/>
    <w:qFormat/>
    <w:rsid w:val="005C5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locale=s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5CBF9-72B4-4F0C-84B4-695372AE6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5</TotalTime>
  <Pages>48</Pages>
  <Words>10463</Words>
  <Characters>67283</Characters>
  <Application>Microsoft Office Word</Application>
  <DocSecurity>0</DocSecurity>
  <Lines>2491</Lines>
  <Paragraphs>827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LECUYER Katarzyna</dc:creator>
  <cp:lastModifiedBy>CANDELL Paula</cp:lastModifiedBy>
  <cp:revision>2</cp:revision>
  <cp:lastPrinted>2025-02-06T09:31:00Z</cp:lastPrinted>
  <dcterms:created xsi:type="dcterms:W3CDTF">2025-02-27T07:50:00Z</dcterms:created>
  <dcterms:modified xsi:type="dcterms:W3CDTF">2025-02-27T07:50:00Z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1314087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[20241202]</vt:lpwstr>
  </property>
  <property fmtid="{D5CDD505-2E9C-101B-9397-08002B2CF9AE}" pid="9" name="FooterPath">
    <vt:lpwstr>PR\1314087SV.docx</vt:lpwstr>
  </property>
  <property fmtid="{D5CDD505-2E9C-101B-9397-08002B2CF9AE}" pid="10" name="LastEdited with">
    <vt:lpwstr>10.0.0 Build [20241202]</vt:lpwstr>
  </property>
  <property fmtid="{D5CDD505-2E9C-101B-9397-08002B2CF9AE}" pid="11" name="PE number">
    <vt:lpwstr>768.042</vt:lpwstr>
  </property>
  <property fmtid="{D5CDD505-2E9C-101B-9397-08002B2CF9AE}" pid="12" name="SendToEpades">
    <vt:lpwstr>OK(AMNUM) - 2025/02/13 12:33</vt:lpwstr>
  </property>
  <property fmtid="{D5CDD505-2E9C-101B-9397-08002B2CF9AE}" pid="13" name="SDLStudio">
    <vt:lpwstr/>
  </property>
  <property fmtid="{D5CDD505-2E9C-101B-9397-08002B2CF9AE}" pid="14" name="Bookout">
    <vt:lpwstr>OK - 2025/02/27 08:45</vt:lpwstr>
  </property>
</Properties>
</file>