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Evropský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Výbor pro občanské svobody, spravedlnost a vnitřní věci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4.3.2025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NÁVRH ZPRÁVY</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 návrhu nařízení Evropského parlamentu a Rady o dočasné odchylce od některých ustanovení nařízení (EU) 2017/2226 a nařízení (EU) 2016/399, pokud jde o postupné zprovoznění Systému vstupu/výstupu</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Výbor pro občanské svobody, spravedlnost a vnitřní věci</w:t>
      </w:r>
      <w:r>
        <w:rPr>
          <w:rStyle w:val="HideTWBExt"/>
        </w:rPr>
        <w:t>&lt;/</w:t>
      </w:r>
      <w:r>
        <w:rPr>
          <w:rStyle w:val="HideTWBExt"/>
        </w:rPr>
        <w:t>Commission</w:t>
      </w:r>
      <w:r>
        <w:rPr>
          <w:rStyle w:val="HideTWBExt"/>
        </w:rPr>
        <w:t>&gt;</w:t>
      </w:r>
    </w:p>
    <w:p>
      <w:pPr>
        <w:pStyle w:val="CoverNormal24a"/>
      </w:pPr>
      <w:r>
        <w:t>Zpravodajka</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Vysvětlivky</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Postup konzultace</w:t>
            </w:r>
          </w:p>
          <w:p>
            <w:pPr>
              <w:pStyle w:val="LegendSign"/>
            </w:pPr>
            <w:r>
              <w:tab/>
            </w:r>
            <w:r>
              <w:t>***</w:t>
            </w:r>
            <w:r>
              <w:tab/>
            </w:r>
            <w:r>
              <w:t>Postup souhlasu</w:t>
            </w:r>
          </w:p>
          <w:p>
            <w:pPr>
              <w:pStyle w:val="LegendSign"/>
            </w:pPr>
            <w:r>
              <w:tab/>
            </w:r>
            <w:r>
              <w:t>***I</w:t>
            </w:r>
            <w:r>
              <w:tab/>
            </w:r>
            <w:r>
              <w:t>Řádný legislativní postup (první čtení)</w:t>
            </w:r>
          </w:p>
          <w:p>
            <w:pPr>
              <w:pStyle w:val="LegendSign"/>
            </w:pPr>
            <w:r>
              <w:tab/>
            </w:r>
            <w:r>
              <w:t>***II</w:t>
            </w:r>
            <w:r>
              <w:tab/>
            </w:r>
            <w:r>
              <w:t>Řádný legislativní postup (druhé čtení)</w:t>
            </w:r>
          </w:p>
          <w:p>
            <w:pPr>
              <w:pStyle w:val="LegendSign"/>
            </w:pPr>
            <w:r>
              <w:tab/>
            </w:r>
            <w:r>
              <w:t>***III</w:t>
            </w:r>
            <w:r>
              <w:tab/>
            </w:r>
            <w:r>
              <w:t>Řádný legislativní postup (třetí čtení)</w:t>
            </w:r>
          </w:p>
          <w:p>
            <w:pPr>
              <w:pStyle w:val="LegendSign"/>
            </w:pPr>
          </w:p>
          <w:p>
            <w:pPr>
              <w:pStyle w:val="LegendStandard"/>
            </w:pPr>
            <w:r>
              <w:t>(Druh postupu závisí na právním základu navrženém v návrhu aktu.)</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Pozměňovací návrhy k návrhu aktu</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Pozměňovací návrhy Parlamentu předložené ve dvou sloupcích</w:t>
            </w:r>
          </w:p>
          <w:p>
            <w:pPr>
              <w:pStyle w:val="LegendStandard"/>
            </w:pPr>
          </w:p>
          <w:p>
            <w:pPr>
              <w:pStyle w:val="LegendStandard"/>
            </w:pPr>
            <w:r>
              <w:t xml:space="preserve">Vypuštění textu je označeno </w:t>
            </w:r>
            <w:r>
              <w:rPr>
                <w:rStyle w:val="BoldItalic"/>
              </w:rPr>
              <w:t>tučnou kurzivou</w:t>
            </w:r>
            <w:r>
              <w:t xml:space="preserve"> v levém sloupci. Nahrazení je označeno </w:t>
            </w:r>
            <w:r>
              <w:rPr>
                <w:rStyle w:val="BoldItalic"/>
              </w:rPr>
              <w:t>tučnou kurzivou</w:t>
            </w:r>
            <w:r>
              <w:t xml:space="preserve"> v obou sloupcích. Nový text je označen </w:t>
            </w:r>
            <w:r>
              <w:rPr>
                <w:rStyle w:val="BoldItalic"/>
              </w:rPr>
              <w:t>tučnou kurzivou</w:t>
            </w:r>
            <w:r>
              <w:t xml:space="preserve"> v pravém sloupci.</w:t>
            </w:r>
          </w:p>
          <w:p>
            <w:pPr>
              <w:pStyle w:val="LegendStandard"/>
            </w:pPr>
          </w:p>
          <w:p>
            <w:pPr>
              <w:pStyle w:val="LegendStandard"/>
            </w:pPr>
            <w:r>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pPr>
              <w:pStyle w:val="LegendStandard"/>
            </w:pPr>
          </w:p>
          <w:p>
            <w:pPr>
              <w:pStyle w:val="LegendStandard"/>
            </w:pPr>
            <w:r>
              <w:rPr>
                <w:rStyle w:val="Bold"/>
              </w:rPr>
              <w:t>Pozměňovací návrhy Parlamentu v podobě konsolidovaného textu</w:t>
            </w:r>
          </w:p>
          <w:p>
            <w:pPr>
              <w:pStyle w:val="LegendStandard"/>
            </w:pPr>
          </w:p>
          <w:p>
            <w:pPr>
              <w:pStyle w:val="LegendStandard"/>
            </w:pPr>
            <w:r>
              <w:t xml:space="preserve">Nové části textu jsou označeny </w:t>
            </w:r>
            <w:r>
              <w:rPr>
                <w:rStyle w:val="BoldItalic"/>
              </w:rPr>
              <w:t>tučnou kurzivou</w:t>
            </w:r>
            <w:r>
              <w:t xml:space="preserve">. Vypuštěné části textu jsou označeny symbolem ▌nebo přeškrtnuty. Nahrazení se vyznačují tak, že nový text se označí </w:t>
            </w:r>
            <w:r>
              <w:rPr>
                <w:rStyle w:val="BoldItalic"/>
              </w:rPr>
              <w:t>tučnou kurzivou</w:t>
            </w:r>
            <w:r>
              <w:t xml:space="preserve"> a nahrazený text se vymaže nebo přeškrtne.</w:t>
            </w:r>
            <w:r>
              <w:br/>
            </w:r>
            <w:r>
              <w:t>Výjimečně se neoznačují změny výlučně technické povahy, které provedly příslušné útvary za účelem vypracování konečného znění.</w:t>
            </w:r>
          </w:p>
          <w:p>
            <w:pPr>
              <w:pStyle w:val="LegendStandard"/>
            </w:pPr>
          </w:p>
        </w:tc>
      </w:tr>
    </w:tbl>
    <w:p/>
    <w:p/>
    <w:p>
      <w:pPr>
        <w:pStyle w:val="TOCHeading"/>
      </w:pPr>
      <w:r>
        <w:br w:type="page"/>
      </w:r>
      <w:r>
        <w:t>OBSAH</w:t>
      </w:r>
    </w:p>
    <w:p>
      <w:pPr>
        <w:pStyle w:val="TOCPage"/>
      </w:pPr>
      <w:r>
        <w:t>Strana</w:t>
      </w:r>
    </w:p>
    <w:p>
      <w:pPr>
        <w:pStyle w:val="TOC1"/>
        <w:tabs>
          <w:tab w:val="right" w:leader="dot" w:pos="9062"/>
        </w:tabs>
        <w:rPr>
          <w:rFonts w:ascii="Calibri" w:hAnsi="Calibri"/>
          <w:noProof/>
          <w:sz w:val="22"/>
        </w:rPr>
      </w:pPr>
      <w:r>
        <w:fldChar w:fldCharType="begin"/>
      </w:r>
      <w:r>
        <w:instrText>TOC \t "PageHeading"</w:instrText>
      </w:r>
      <w:r>
        <w:fldChar w:fldCharType="separate"/>
      </w:r>
      <w:r>
        <w:t>NÁVRH LEGISLATIVNÍHO USNESENÍ EVROPSKÉHO PARLAMENTU</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VYSVĚTLUJÍCÍ PROHLÁŠENÍ</w:t>
      </w:r>
      <w:r>
        <w:tab/>
      </w:r>
      <w:r>
        <w:fldChar w:fldCharType="begin"/>
      </w:r>
      <w:r>
        <w:instrText xml:space="preserve"> PAGEREF _Toc256000003 \h </w:instrText>
      </w:r>
      <w:r>
        <w:fldChar w:fldCharType="separate"/>
      </w:r>
      <w:r>
        <w:t>21</w:t>
      </w:r>
      <w:r>
        <w:fldChar w:fldCharType="end"/>
      </w:r>
    </w:p>
    <w:p>
      <w:pPr>
        <w:pStyle w:val="Normal12b"/>
      </w:pPr>
      <w:r>
        <w:fldChar w:fldCharType="end"/>
      </w:r>
    </w:p>
    <w:p>
      <w:pPr>
        <w:pStyle w:val="CoverNormalLeft"/>
      </w:pPr>
    </w:p>
    <w:p>
      <w:pPr>
        <w:pStyle w:val="PageHeading"/>
      </w:pPr>
      <w:r>
        <w:br w:type="page"/>
      </w:r>
      <w:r>
        <w:br w:type="page"/>
      </w:r>
      <w:bookmarkStart w:id="0" w:name="_Toc256000002"/>
      <w:r>
        <w:t>NÁVRH LEGISLATIVNÍHO USNESENÍ EVROPSKÉHO PARLAMENTU</w:t>
      </w:r>
      <w:bookmarkEnd w:id="0"/>
    </w:p>
    <w:p>
      <w:pPr>
        <w:pStyle w:val="NormalBold"/>
      </w:pPr>
      <w:r>
        <w:t>o návrhu nařízení Evropského parlamentu a Rady o dočasné odchylce od některých ustanovení nařízení (EU) 2017/2226 a nařízení (EU) 2016/399, pokud jde o postupné zprovoznění Systému vstupu/výstupu</w:t>
      </w:r>
    </w:p>
    <w:p>
      <w:pPr>
        <w:pStyle w:val="NormalBold12a"/>
      </w:pPr>
      <w:r>
        <w:t>(COM(2024)0567 – C10-0207/2024 – 2024/0315(COD))</w:t>
      </w:r>
    </w:p>
    <w:p>
      <w:pPr>
        <w:pStyle w:val="NormalBold12a"/>
      </w:pPr>
      <w:r>
        <w:t>(Řádný legislativní postup: první čtení)</w:t>
      </w:r>
    </w:p>
    <w:p>
      <w:pPr>
        <w:pStyle w:val="EPComma"/>
      </w:pPr>
      <w:r>
        <w:rPr>
          <w:rStyle w:val="Italic"/>
        </w:rPr>
        <w:t>Evropský parlament</w:t>
      </w:r>
      <w:r>
        <w:t>,</w:t>
      </w:r>
    </w:p>
    <w:p>
      <w:pPr>
        <w:pStyle w:val="NormalHanging12a"/>
      </w:pPr>
      <w:r>
        <w:t>–</w:t>
      </w:r>
      <w:r>
        <w:tab/>
      </w:r>
      <w:r>
        <w:t>s ohledem na návrh Komise předložený Evropskému parlamentu a Radě (COM(2024)0567),</w:t>
      </w:r>
    </w:p>
    <w:p>
      <w:pPr>
        <w:pStyle w:val="NormalHanging12a"/>
      </w:pPr>
      <w:r>
        <w:t>–</w:t>
      </w:r>
      <w:r>
        <w:tab/>
      </w:r>
      <w:r>
        <w:t>s ohledem na čl. 294 odst. 2, čl. 77 odst. 2 písm. b) a d) a čl. 87 odst. 2 písm. a) Smlouvy o fungování Evropské unie, v souladu s nimiž Komise předložila návrh Parlamentu (C10-0207/2024),</w:t>
      </w:r>
    </w:p>
    <w:p>
      <w:pPr>
        <w:pStyle w:val="NormalHanging12a"/>
      </w:pPr>
      <w:r>
        <w:t>–</w:t>
      </w:r>
      <w:r>
        <w:tab/>
      </w:r>
      <w:r>
        <w:t>s ohledem na čl. 294 odst. 3 Smlouvy o fungování Evropské unie,</w:t>
      </w:r>
    </w:p>
    <w:p>
      <w:pPr>
        <w:pStyle w:val="NormalHanging12a"/>
      </w:pPr>
      <w:r>
        <w:t>–</w:t>
      </w:r>
      <w:r>
        <w:tab/>
      </w:r>
      <w:r>
        <w:t>s ohledem na článek 60 jednacího řádu,</w:t>
      </w:r>
    </w:p>
    <w:p>
      <w:pPr>
        <w:pStyle w:val="NormalHanging12a"/>
      </w:pPr>
      <w:r>
        <w:t>–</w:t>
      </w:r>
      <w:r>
        <w:tab/>
      </w:r>
      <w:r>
        <w:t>s ohledem na zprávu Výboru pro občanské svobody, spravedlnost a vnitřní věci (A10-0000/2025),</w:t>
      </w:r>
    </w:p>
    <w:p>
      <w:pPr>
        <w:pStyle w:val="NormalHanging12a"/>
      </w:pPr>
      <w:r>
        <w:t>1.</w:t>
      </w:r>
      <w:r>
        <w:tab/>
      </w:r>
      <w:r>
        <w:t>přijímá níže uvedený postoj v prvním čtení;</w:t>
      </w:r>
    </w:p>
    <w:p>
      <w:pPr>
        <w:pStyle w:val="NormalHanging12a"/>
      </w:pPr>
      <w:r>
        <w:t>2.</w:t>
      </w:r>
      <w:r>
        <w:tab/>
      </w:r>
      <w:r>
        <w:t>vyzývá Komisi, aby věc znovu postoupila Parlamentu, jestliže svůj návrh nahradí jiným textem, podstatně jej změní nebo má v úmyslu jej podstatně změnit;</w:t>
      </w:r>
    </w:p>
    <w:p>
      <w:pPr>
        <w:pStyle w:val="NormalHanging12a"/>
      </w:pPr>
      <w:r>
        <w:t>3.</w:t>
      </w:r>
      <w:r>
        <w:tab/>
      </w:r>
      <w:r>
        <w:t>pověřuje svoji předsedkyni, aby předala postoj Parlamentu Radě, Komisi, jakož i vnitrostátním parlamentům.</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Nařízení (EU) 2017/2226 umožňuje pouze úplné zprovoznění a vyžaduje, aby všechny členské státy začaly EES používat v plném rozsahu pro všechny státní příslušníky třetích zemí, kteří podléhají registraci v EES, a aby EES používaly současně na všech svých hraničních přechodech.</w:t>
            </w:r>
          </w:p>
        </w:tc>
        <w:tc>
          <w:tcPr>
            <w:tcW w:w="4876" w:type="dxa"/>
            <w:vAlign w:val="top"/>
          </w:tcPr>
          <w:p>
            <w:pPr>
              <w:pStyle w:val="Normal6a"/>
            </w:pPr>
            <w:r>
              <w:t>(3)</w:t>
            </w:r>
            <w:r>
              <w:tab/>
            </w:r>
            <w:r>
              <w:t xml:space="preserve">Nařízení (EU) 2017/2226 umožňuje pouze úplné zprovoznění a vyžaduje, aby všechny členské státy začaly EES používat v plném rozsahu pro všechny státní příslušníky třetích zemí, kteří podléhají registraci v EES, a aby EES používaly současně na všech svých hraničních přechodech. </w:t>
            </w:r>
            <w:r>
              <w:rPr>
                <w:b/>
                <w:i/>
                <w:strike w:val="0"/>
                <w:color w:val="auto"/>
                <w:highlight w:val="none"/>
                <w:u w:val="none" w:color="auto"/>
                <w:vertAlign w:val="baseline"/>
              </w:rPr>
              <w:t xml:space="preserve">Úplné zprovoznění všech funkcí EES na všech hraničních přechodech současně však představuje rizikový faktor z hlediska odolnosti EES jako celku a toků cestujících na vnějších hranicích.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Je nutné stanovit pravidla pro postupné zprovoznění EES, </w:t>
            </w:r>
            <w:r>
              <w:rPr>
                <w:b/>
                <w:i/>
                <w:strike w:val="0"/>
                <w:color w:val="auto"/>
                <w:highlight w:val="none"/>
                <w:u w:val="none" w:color="auto"/>
                <w:vertAlign w:val="baseline"/>
              </w:rPr>
              <w:t>která členským státům poskytnou nezbytnou flexibilitu</w:t>
            </w:r>
            <w:r>
              <w:t xml:space="preserve">, </w:t>
            </w:r>
            <w:r>
              <w:rPr>
                <w:b/>
                <w:i/>
                <w:strike w:val="0"/>
                <w:color w:val="auto"/>
                <w:highlight w:val="none"/>
                <w:u w:val="none" w:color="auto"/>
                <w:vertAlign w:val="baseline"/>
              </w:rPr>
              <w:t>aby EES mohly začít používat podle své úrovně připravenosti,</w:t>
            </w:r>
            <w:r>
              <w:t xml:space="preserve"> a </w:t>
            </w:r>
            <w:r>
              <w:rPr>
                <w:b/>
                <w:i/>
                <w:strike w:val="0"/>
                <w:color w:val="auto"/>
                <w:highlight w:val="none"/>
                <w:u w:val="none" w:color="auto"/>
                <w:vertAlign w:val="baseline"/>
              </w:rPr>
              <w:t>která</w:t>
            </w:r>
            <w:r>
              <w:t xml:space="preserve"> při zahájení provozu EES usnadní technické a provozní úpravy. Aby se zajistilo, že tyto úpravy budou odrážet potenciální cestovní toky a sezónní špičky, mělo by období tohoto postupného zprovoznění trvat 180 kalendářních dnů.</w:t>
            </w:r>
          </w:p>
        </w:tc>
        <w:tc>
          <w:tcPr>
            <w:tcW w:w="4876" w:type="dxa"/>
            <w:vAlign w:val="top"/>
          </w:tcPr>
          <w:p>
            <w:pPr>
              <w:pStyle w:val="Normal6a"/>
            </w:pPr>
            <w:r>
              <w:t>(4)</w:t>
            </w:r>
            <w:r>
              <w:tab/>
            </w:r>
            <w:r>
              <w:t xml:space="preserve">Je nutné stanovit pravidla pro postupné zprovoznění EES, </w:t>
            </w:r>
            <w:r>
              <w:rPr>
                <w:b/>
                <w:i/>
                <w:strike w:val="0"/>
                <w:color w:val="auto"/>
                <w:highlight w:val="none"/>
                <w:u w:val="none" w:color="auto"/>
                <w:vertAlign w:val="baseline"/>
              </w:rPr>
              <w:t>během něhož by členské státy měly mít možnost zvolit si postupné zavádění EES</w:t>
            </w:r>
            <w:r>
              <w:t xml:space="preserve">, </w:t>
            </w:r>
            <w:r>
              <w:rPr>
                <w:b/>
                <w:i/>
                <w:strike w:val="0"/>
                <w:color w:val="auto"/>
                <w:highlight w:val="none"/>
                <w:u w:val="none" w:color="auto"/>
                <w:vertAlign w:val="baseline"/>
              </w:rPr>
              <w:t>přičemž tato pravidla členským státům poskytnou nezbytnou flexibilitu při zahájení používání EES</w:t>
            </w:r>
            <w:r>
              <w:t xml:space="preserve"> a při zahájení provozu EES usnadní technické a provozní úpravy. Aby se zajistilo, že tyto úpravy budou odrážet potenciální cestovní toky a sezónní špičky, mělo by období tohoto postupného zprovoznění trvat 180 kalendářních dnů.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V zájmu umožnění postupného zprovoznění EES je </w:t>
            </w:r>
            <w:r>
              <w:rPr>
                <w:b/>
                <w:i/>
                <w:strike w:val="0"/>
                <w:color w:val="auto"/>
                <w:highlight w:val="none"/>
                <w:u w:val="none" w:color="auto"/>
                <w:vertAlign w:val="baseline"/>
              </w:rPr>
              <w:t>proto</w:t>
            </w:r>
            <w:r>
              <w:t xml:space="preserve"> nezbytné odchýlit se od některých ustanovení nařízení (EU) 2017/2226 a nařízení Evropského parlamentu a Rady (EU) 2016/399</w:t>
            </w:r>
            <w:r>
              <w:rPr>
                <w:rStyle w:val="Sup"/>
              </w:rPr>
              <w:t>3</w:t>
            </w:r>
            <w:r>
              <w:t xml:space="preserve"> (dále jen „Schengenský hraniční kodex“). Další pravidla stanovená v nařízení (EU) 2017/2226, která nejsou tímto nařízením dotčena, se použijí tak, jak je stanoveno v uvedeném nařízení. Zejména údaje zaznamenané v EES během postupného zprovoznění podléhají pravidlům stanoveným v nařízení (EU) 2017/2226 a jsou považovány za spolehlivé a přesné.</w:t>
            </w:r>
          </w:p>
        </w:tc>
        <w:tc>
          <w:tcPr>
            <w:tcW w:w="4876" w:type="dxa"/>
            <w:vAlign w:val="top"/>
          </w:tcPr>
          <w:p>
            <w:pPr>
              <w:pStyle w:val="Normal6a"/>
            </w:pPr>
            <w:r>
              <w:t>(5)</w:t>
            </w:r>
            <w:r>
              <w:tab/>
            </w:r>
            <w:r>
              <w:t>V zájmu umožnění postupného zprovoznění EES je nezbytné odchýlit se od některých ustanovení nařízení (EU) 2017/2226 a nařízení Evropského parlamentu a Rady</w:t>
            </w:r>
            <w:r>
              <w:rPr>
                <w:rStyle w:val="Sup"/>
              </w:rPr>
              <w:t>3</w:t>
            </w:r>
            <w:r>
              <w:t xml:space="preserve"> (EU) 2016/399 (dále jen „Schengenský hraniční kodex“). Další pravidla stanovená v nařízení (EU) 2017/2226, která nejsou tímto nařízením dotčena, se použijí tak, jak je stanoveno v uvedeném nařízení. Zejména údaje zaznamenané v EES během postupného zprovoznění podléhají pravidlům stanoveným v nařízení (EU) 2017/2226 a jsou považovány za spolehlivé a přesné. </w:t>
            </w:r>
            <w:r>
              <w:rPr>
                <w:b/>
                <w:i/>
                <w:strike w:val="0"/>
                <w:color w:val="auto"/>
                <w:highlight w:val="none"/>
                <w:u w:val="none" w:color="auto"/>
                <w:vertAlign w:val="baseline"/>
              </w:rPr>
              <w:t>Tímto nařízením není dotčena platnost oznámení, která již členské státy poskytly Komisi podle čl. 66 odst. 1 nařízení (EU) 2017/2226.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Nařízení Evropského parlamentu a Rady (EU) 2016/399 ze dne 9. března 2016, kterým se stanoví kodex Unie o pravidlech upravujících přeshraniční pohyb osob (Schengenský hraniční kodex) (Úř. věst. L 77, 23.3.2016, s. 1, ELI: http://data.europa.eu/eli/reg/2016/399/oj).</w:t>
            </w:r>
          </w:p>
        </w:tc>
        <w:tc>
          <w:tcPr>
            <w:tcW w:w="4876" w:type="dxa"/>
            <w:vAlign w:val="top"/>
          </w:tcPr>
          <w:p>
            <w:pPr>
              <w:pStyle w:val="Normal6a"/>
            </w:pPr>
            <w:r>
              <w:rPr>
                <w:rStyle w:val="Sup"/>
              </w:rPr>
              <w:t>3</w:t>
            </w:r>
            <w:r>
              <w:t xml:space="preserve"> </w:t>
            </w:r>
            <w:r>
              <w:t>Nařízení Evropského parlamentu a Rady (EU) 2016/399 ze dne 9. března 2016, kterým se stanoví kodex Unie o pravidlech upravujících přeshraniční pohyb osob (Schengenský hraniční kodex) (Úř. věst. L 77, 23.3.2016, s.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Členské státy by měly postupně zahájit provoz EES za účelem zaznamenávání údajů o státních příslušnících třetích zemí, kteří podléhají registraci v EES, při vstupu a výstupu na jednom nebo více hraničních přechodech.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podléhají registraci v EES. Aby byl zajištěn </w:t>
            </w:r>
            <w:r>
              <w:rPr>
                <w:b/>
                <w:i/>
                <w:strike w:val="0"/>
                <w:color w:val="auto"/>
                <w:highlight w:val="none"/>
                <w:u w:val="none" w:color="auto"/>
                <w:vertAlign w:val="baseline"/>
              </w:rPr>
              <w:t>koordinovaný přístup</w:t>
            </w:r>
            <w:r>
              <w:t xml:space="preserve">, </w:t>
            </w:r>
            <w:r>
              <w:rPr>
                <w:b/>
                <w:i/>
                <w:strike w:val="0"/>
                <w:color w:val="auto"/>
                <w:highlight w:val="none"/>
                <w:u w:val="none" w:color="auto"/>
                <w:vertAlign w:val="baseline"/>
              </w:rPr>
              <w:t>mělo</w:t>
            </w:r>
            <w:r>
              <w:t xml:space="preserve"> by být </w:t>
            </w:r>
            <w:r>
              <w:rPr>
                <w:b/>
                <w:i/>
                <w:strike w:val="0"/>
                <w:color w:val="auto"/>
                <w:highlight w:val="none"/>
                <w:u w:val="none" w:color="auto"/>
                <w:vertAlign w:val="baseline"/>
              </w:rPr>
              <w:t>postupné</w:t>
            </w:r>
            <w:r>
              <w:t xml:space="preserve"> zprovoznění </w:t>
            </w:r>
            <w:r>
              <w:rPr>
                <w:b/>
                <w:i/>
                <w:strike w:val="0"/>
                <w:color w:val="auto"/>
                <w:highlight w:val="none"/>
                <w:u w:val="none" w:color="auto"/>
                <w:vertAlign w:val="baseline"/>
              </w:rPr>
              <w:t>prováděno ve fázích</w:t>
            </w:r>
            <w:r>
              <w:t xml:space="preserve">, pro které by měly být stanoveny minimální požadavky, jež mají členské státy splnit. </w:t>
            </w:r>
            <w:r>
              <w:rPr>
                <w:b/>
                <w:i/>
                <w:strike w:val="0"/>
                <w:color w:val="auto"/>
                <w:highlight w:val="none"/>
                <w:u w:val="none" w:color="auto"/>
                <w:vertAlign w:val="baseline"/>
              </w:rPr>
              <w:t>Od zahájení tohoto postupného přístupu budou mít členské státy možnost urychlit provádění na vnitrostátní úrovni nebo zahájit provoz EES v plném rozsahu.</w:t>
            </w:r>
          </w:p>
        </w:tc>
        <w:tc>
          <w:tcPr>
            <w:tcW w:w="4876" w:type="dxa"/>
            <w:vAlign w:val="top"/>
          </w:tcPr>
          <w:p>
            <w:pPr>
              <w:pStyle w:val="Normal6a"/>
            </w:pPr>
            <w:r>
              <w:t>(6)</w:t>
            </w:r>
            <w:r>
              <w:tab/>
            </w:r>
            <w:r>
              <w:t>Členské státy</w:t>
            </w:r>
            <w:r>
              <w:rPr>
                <w:b/>
                <w:i/>
                <w:strike w:val="0"/>
                <w:color w:val="auto"/>
                <w:highlight w:val="none"/>
                <w:u w:val="none" w:color="auto"/>
                <w:vertAlign w:val="baseline"/>
              </w:rPr>
              <w:t>, které nezahájí provoz EES v plném rozsahu na všech svých hraničních přechodech současně</w:t>
            </w:r>
            <w:r>
              <w:t xml:space="preserve">, by měly postupně zahájit provoz EES za účelem zaznamenávání údajů o státních příslušnících třetích zemí, kteří podléhají registraci v EES, při vstupu a výstupu na jednom nebo více hraničních přechodech.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podléhají registraci v EES. Aby byl zajištěn </w:t>
            </w:r>
            <w:r>
              <w:rPr>
                <w:b/>
                <w:i/>
                <w:strike w:val="0"/>
                <w:color w:val="auto"/>
                <w:highlight w:val="none"/>
                <w:u w:val="none" w:color="auto"/>
                <w:vertAlign w:val="baseline"/>
              </w:rPr>
              <w:t>cíl, kterým je používání EES v plném rozsahu na všech hraničních přechodech v Unii</w:t>
            </w:r>
            <w:r>
              <w:t xml:space="preserve">, </w:t>
            </w:r>
            <w:r>
              <w:rPr>
                <w:b/>
                <w:i/>
                <w:strike w:val="0"/>
                <w:color w:val="auto"/>
                <w:highlight w:val="none"/>
                <w:u w:val="none" w:color="auto"/>
                <w:vertAlign w:val="baseline"/>
              </w:rPr>
              <w:t>měly</w:t>
            </w:r>
            <w:r>
              <w:t xml:space="preserve"> by být </w:t>
            </w:r>
            <w:r>
              <w:rPr>
                <w:b/>
                <w:i/>
                <w:strike w:val="0"/>
                <w:color w:val="auto"/>
                <w:highlight w:val="none"/>
                <w:u w:val="none" w:color="auto"/>
                <w:vertAlign w:val="baseline"/>
              </w:rPr>
              <w:t>součástí postupného</w:t>
            </w:r>
            <w:r>
              <w:t xml:space="preserve"> zprovoznění </w:t>
            </w:r>
            <w:r>
              <w:rPr>
                <w:b/>
                <w:i/>
                <w:strike w:val="0"/>
                <w:color w:val="auto"/>
                <w:highlight w:val="none"/>
                <w:u w:val="none" w:color="auto"/>
                <w:vertAlign w:val="baseline"/>
              </w:rPr>
              <w:t>prahové hodnoty</w:t>
            </w:r>
            <w:r>
              <w:t>, pro které by měly být stanoveny minimální požadavky, jež mají členské státy splnit.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Aby se usnadnilo hladké zavádění EES, měla by Agentura Evropské unie pro provozní řízení rozsáhlých informačních systémů v prostoru svobody, bezpečnosti a práva (eu-LISA) vypracovat plán zavádění na vysoké úrovni s cílem poskytnout členským státům a agenturám Unie pokyny ohledně plánování a realizace zavádění EES během jeho postupného zprovoznění a měla by jej předložit Komisi, členským státům a agenturám Unie. </w:t>
            </w:r>
            <w:r>
              <w:rPr>
                <w:b/>
                <w:i/>
                <w:strike w:val="0"/>
                <w:color w:val="auto"/>
                <w:highlight w:val="none"/>
                <w:u w:val="none" w:color="auto"/>
                <w:vertAlign w:val="baseline"/>
              </w:rPr>
              <w:t>Tento plán by měl zahrnovat kapacitní limity ústředního systému stanovené agenturou eu-LISA pro jednotlivé fáze zavádění. Rozhodnutí členských států zprovoznit EES nebo pokročit s jeho zprovozněním by měla zohledňovat kapacitu ústředního systému, jak je uvedeno v plánu zavádění na vysoké úrovni.</w:t>
            </w:r>
          </w:p>
        </w:tc>
        <w:tc>
          <w:tcPr>
            <w:tcW w:w="4876" w:type="dxa"/>
            <w:vAlign w:val="top"/>
          </w:tcPr>
          <w:p>
            <w:pPr>
              <w:pStyle w:val="Normal6a"/>
            </w:pPr>
            <w:r>
              <w:t>(7)</w:t>
            </w:r>
            <w:r>
              <w:tab/>
            </w:r>
            <w:r>
              <w:t>Aby se usnadnilo hladké zavádění EES, měla by Agentura Evropské unie pro provozní řízení rozsáhlých informačních systémů v prostoru svobody, bezpečnosti a práva (eu-LISA) vypracovat plán zavádění na vysoké úrovni s cílem poskytnout členským státům a agenturám Unie pokyny ohledně plánování a realizace zavádění EES během jeho postupného zprovoznění a měla by jej předložit Komisi, členským státům a agenturám Unie.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Aby se usnadnilo hladké zavádění EES, měly by členské státy po konzultaci s Komisí a agenturou eu-LISA vypracovat vnitrostátní plány zavádění. Pro každou fázi postupného zprovoznění EES by vnitrostátní plány zavádění měly obsahovat 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c>
          <w:tcPr>
            <w:tcW w:w="4876" w:type="dxa"/>
            <w:vAlign w:val="top"/>
          </w:tcPr>
          <w:p>
            <w:pPr>
              <w:pStyle w:val="Normal6a"/>
            </w:pPr>
            <w:r>
              <w:t>(8)</w:t>
            </w:r>
            <w:r>
              <w:tab/>
            </w:r>
            <w:r>
              <w:t xml:space="preserve">Aby se usnadnilo hladké zavádění EES, měly by členské státy po konzultaci s Komisí a agenturou eu-LISA vypracovat vnitrostátní plány zavádění </w:t>
            </w:r>
            <w:r>
              <w:rPr>
                <w:b/>
                <w:i/>
                <w:strike w:val="0"/>
                <w:color w:val="auto"/>
                <w:highlight w:val="none"/>
                <w:u w:val="none" w:color="auto"/>
                <w:vertAlign w:val="baseline"/>
              </w:rPr>
              <w:t>a předložit je Komisi</w:t>
            </w:r>
            <w:r>
              <w:t>. Pro každou fázi postupného zprovoznění EES by vnitrostátní plány zavádění měly obsahovat 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Vzhledem k postupnému zprovoznění EES a </w:t>
            </w:r>
            <w:r>
              <w:rPr>
                <w:b/>
                <w:i/>
                <w:strike w:val="0"/>
                <w:color w:val="auto"/>
                <w:highlight w:val="none"/>
                <w:u w:val="none" w:color="auto"/>
                <w:vertAlign w:val="baseline"/>
              </w:rPr>
              <w:t>možné</w:t>
            </w:r>
            <w:r>
              <w:t xml:space="preserve"> neúplnosti údajů zaznamenaných v EES by cestovní doklady státních příslušníků třetích zemí měly být během postupného zprovoznění EES při vstupu a výstupu systematicky opatřovány razítkem. Vnitrostátní orgány by měly zohlednit možnou neúplnost záznamů o vstupu/výstupu nebo záznamů o odepření vstupu a mít za to, že razítka mají přednost před informacemi zaregistrovanými v EES. Vnitrostátní orgány by navíc měly při informování státních příslušníků třetích zemí o maximální zbývající délce jejich oprávněného pobytu zakládat svá posouzení na razítcích vyznačených v cestovních dokladech. V případě, že razítko chybí, by měly mít přednost údaje zaznamenané v EES.</w:t>
            </w:r>
          </w:p>
        </w:tc>
        <w:tc>
          <w:tcPr>
            <w:tcW w:w="4876" w:type="dxa"/>
            <w:vAlign w:val="top"/>
          </w:tcPr>
          <w:p>
            <w:pPr>
              <w:pStyle w:val="Normal6a"/>
            </w:pPr>
            <w:r>
              <w:t>(9)</w:t>
            </w:r>
            <w:r>
              <w:tab/>
            </w:r>
            <w:r>
              <w:t xml:space="preserve">Vzhledem k postupnému zprovoznění EES a </w:t>
            </w:r>
            <w:r>
              <w:rPr>
                <w:b/>
                <w:i/>
                <w:strike w:val="0"/>
                <w:color w:val="auto"/>
                <w:highlight w:val="none"/>
                <w:u w:val="none" w:color="auto"/>
                <w:vertAlign w:val="baseline"/>
              </w:rPr>
              <w:t xml:space="preserve">následné </w:t>
            </w:r>
            <w:r>
              <w:t>neúplnosti údajů zaznamenaných v EES by cestovní doklady státních příslušníků třetích zemí měly být během postupného zprovoznění EES při vstupu a výstupu systematicky opatřovány razítkem. Vnitrostátní orgány by měly zohlednit možnou neúplnost záznamů o vstupu/výstupu nebo záznamů o odepření vstupu a mít za to, že razítka mají přednost před informacemi zaregistrovanými v EES. Vnitrostátní orgány by navíc měly při informování státních příslušníků třetích zemí o maximální zbývající délce jejich oprávněného pobytu zakládat svá posouzení na razítcích vyznačených v cestovních dokladech. V případě, že razítko chybí, by měly mít přednost údaje zaznamenané v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Aby měly členské státy dostatek času přizpůsobit se spuštění EES, nemělo by být používání biometrických funkcí na hraničních přechodech po dobu prvních 60 kalendářních dnů postupného zprovoznění povinné. Nejpozději 90. kalendářní den </w:t>
            </w:r>
            <w:r>
              <w:rPr>
                <w:b/>
                <w:i/>
                <w:strike w:val="0"/>
                <w:color w:val="auto"/>
                <w:highlight w:val="none"/>
                <w:u w:val="none" w:color="auto"/>
                <w:vertAlign w:val="baseline"/>
              </w:rPr>
              <w:t>po postupném</w:t>
            </w:r>
            <w:r>
              <w:t xml:space="preserve"> zprovoznění by měly členské státy provozovat EES s biometrickými funkcemi alespoň na polovině svých hraničních přechodů. Na hraničních přechodech, kde je EES provozován bez biometrických funkcí, by poskytnutí biometrických údajů nemělo být pro státní příslušníky třetích zemí, kteří podléhají registraci v EES, podmínkou vstupu.</w:t>
            </w:r>
          </w:p>
        </w:tc>
        <w:tc>
          <w:tcPr>
            <w:tcW w:w="4876" w:type="dxa"/>
            <w:vAlign w:val="top"/>
          </w:tcPr>
          <w:p>
            <w:pPr>
              <w:pStyle w:val="Normal6a"/>
            </w:pPr>
            <w:r>
              <w:t>(11)</w:t>
            </w:r>
            <w:r>
              <w:tab/>
            </w:r>
            <w:r>
              <w:t xml:space="preserve">Aby měly členské státy dostatek času přizpůsobit se spuštění EES, nemělo by být používání biometrických funkcí na hraničních přechodech po dobu prvních 60 kalendářních dnů postupného zprovoznění povinné. Nejpozději 90. kalendářní den </w:t>
            </w:r>
            <w:r>
              <w:rPr>
                <w:b/>
                <w:i/>
                <w:strike w:val="0"/>
                <w:color w:val="auto"/>
                <w:highlight w:val="none"/>
                <w:u w:val="none" w:color="auto"/>
                <w:vertAlign w:val="baseline"/>
              </w:rPr>
              <w:t>postupného</w:t>
            </w:r>
            <w:r>
              <w:t xml:space="preserve"> zprovoznění by měly členské státy provozovat EES s biometrickými funkcemi alespoň na polovině svých hraničních přechodů. Na hraničních přechodech, kde je EES provozován bez biometrických funkcí, by poskytnutí biometrických údajů nemělo být pro státní příslušníky třetích zemí, kteří podléhají registraci v EES, podmínkou vstupu.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Aby se během postupného zprovoznění EES zajistila účinná správa vnějších hranic, měly by být hraniční kontroly na hraničních přechodech, na nichž se EES neprovozuje, prováděny v souladu s nařízením (EU) 2016/399 ve znění platném [v den před datem zprovoznění EES stanoveným Komisí v souladu s čl. 66 odst. 1 nařízení (EU) 2017/2226]. Na hraničních přechodech, na nichž se EES provozuje, by měly být hraniční kontroly prováděny v souladu s nařízením (EU) 2017/2226 a Schengenským hraničním kodexem. V případě ověřování na hraničních přechodech, na nichž se provozuje EES bez biometrických funkcí, by se však měly uplatnit zvláštní odchylky od těchto nařízení s cílem umožnit postupné zprovoznění. Tím by nemělo být dotčeno ověřování držitelů víz pomocí otisků prstů v souladu s nařízením (ES) č. </w:t>
            </w:r>
            <w:r>
              <w:rPr>
                <w:b/>
                <w:i/>
                <w:strike w:val="0"/>
                <w:color w:val="auto"/>
                <w:highlight w:val="none"/>
                <w:u w:val="none" w:color="auto"/>
                <w:vertAlign w:val="baseline"/>
              </w:rPr>
              <w:t>787</w:t>
            </w:r>
            <w:r>
              <w:t>/2008.</w:t>
            </w:r>
          </w:p>
        </w:tc>
        <w:tc>
          <w:tcPr>
            <w:tcW w:w="4876" w:type="dxa"/>
            <w:vAlign w:val="top"/>
          </w:tcPr>
          <w:p>
            <w:pPr>
              <w:pStyle w:val="Normal6a"/>
            </w:pPr>
            <w:r>
              <w:t>(23)</w:t>
            </w:r>
            <w:r>
              <w:tab/>
            </w:r>
            <w:r>
              <w:t xml:space="preserve">Aby se během postupného zprovoznění EES zajistila účinná správa vnějších hranic, měly by být hraniční kontroly na hraničních přechodech, na nichž se EES neprovozuje, prováděny v souladu s nařízením (EU) 2016/399 ve znění platném [v den před datem zprovoznění EES stanoveným Komisí v souladu s čl. 66 odst. 1 nařízení (EU) 2017/2226]. Na hraničních přechodech, na nichž se EES provozuje, by měly být hraniční kontroly prováděny v souladu s nařízením (EU) 2017/2226 a Schengenským hraničním kodexem. V případě ověřování na hraničních přechodech, na nichž se provozuje EES bez biometrických funkcí, by se však měly uplatnit zvláštní odchylky od těchto nařízení s cílem umožnit postupné zprovoznění. Tím by nemělo být dotčeno ověřování držitelů víz pomocí otisků prstů v souladu s nařízením (ES) č. </w:t>
            </w:r>
            <w:r>
              <w:rPr>
                <w:b/>
                <w:i/>
                <w:strike w:val="0"/>
                <w:color w:val="auto"/>
                <w:highlight w:val="none"/>
                <w:u w:val="none" w:color="auto"/>
                <w:vertAlign w:val="baseline"/>
              </w:rPr>
              <w:t>767</w:t>
            </w:r>
            <w:r>
              <w:t>/2008.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Aby bylo možné </w:t>
            </w:r>
            <w:r>
              <w:rPr>
                <w:b/>
                <w:i/>
                <w:strike w:val="0"/>
                <w:color w:val="auto"/>
                <w:highlight w:val="none"/>
                <w:u w:val="none" w:color="auto"/>
                <w:vertAlign w:val="baseline"/>
              </w:rPr>
              <w:t>během postupného zprovoznění EES v jednotlivých členských státech</w:t>
            </w:r>
            <w:r>
              <w:t xml:space="preserve"> provádět technická a organizační opatření a řešit výjimečné situace selhání ústředního systému EES, vnitrostátních systémů nebo komunikační infrastruktury či nadměrně dlouhé čekací doby na hranicích členských států, měly by mít členské státy možnost provoz EES na některých hraničních přechodech zcela nebo částečně pozastavit. V případě částečného pozastavení by měla být pozastavena registrace biometrických údajů v EES. V případě úplného pozastavení by v EES neměly být registrovány žádné údaje. </w:t>
            </w:r>
            <w:r>
              <w:rPr>
                <w:b/>
                <w:i/>
                <w:strike w:val="0"/>
                <w:color w:val="auto"/>
                <w:highlight w:val="none"/>
                <w:u w:val="none" w:color="auto"/>
                <w:vertAlign w:val="baseline"/>
              </w:rPr>
              <w:t>Aby se zmírnila další rizika spojená se zaváděním EES s biometrickými funkcemi, měly by mít členské státy za výjimečných okolností vedoucích k takové intenzitě provozu, že na hranicích vzniká nadměrně dlouhá čekací doba, možnost registraci biometrických údajů v EES po ukončení postupného zprovoznění pozastavit. Toto pozastavení by mělo být možné na omezenou dobu 60 dnů po ukončení postupného zprovoznění EES a mělo by být prodlouženo o 60 dnů, pokud biometrické údaje obsahuje méně než 80 % individuálních souborů zaregistrovaných v EES během postupného zprovoznění EES.</w:t>
            </w:r>
          </w:p>
        </w:tc>
        <w:tc>
          <w:tcPr>
            <w:tcW w:w="4876" w:type="dxa"/>
            <w:vAlign w:val="top"/>
          </w:tcPr>
          <w:p>
            <w:pPr>
              <w:pStyle w:val="Normal6a"/>
            </w:pPr>
            <w:r>
              <w:t>(24)</w:t>
            </w:r>
            <w:r>
              <w:tab/>
            </w:r>
            <w:r>
              <w:t xml:space="preserve">Aby bylo možné provádět technická a organizační opatření a řešit </w:t>
            </w:r>
            <w:r>
              <w:rPr>
                <w:b/>
                <w:i/>
                <w:strike w:val="0"/>
                <w:color w:val="auto"/>
                <w:highlight w:val="none"/>
                <w:u w:val="none" w:color="auto"/>
                <w:vertAlign w:val="baseline"/>
              </w:rPr>
              <w:t>možné</w:t>
            </w:r>
            <w:r>
              <w:t xml:space="preserve"> výjimečné situace selhání ústředního systému EES, vnitrostátních systémů nebo komunikační infrastruktury či nadměrně dlouhé čekací doby na hranicích členských států </w:t>
            </w:r>
            <w:r>
              <w:rPr>
                <w:b/>
                <w:i/>
                <w:strike w:val="0"/>
                <w:color w:val="auto"/>
                <w:highlight w:val="none"/>
                <w:u w:val="none" w:color="auto"/>
                <w:vertAlign w:val="baseline"/>
              </w:rPr>
              <w:t>během postupného zprovoznění EES</w:t>
            </w:r>
            <w:r>
              <w:t>, měly by mít členské státy možnost provoz EES na některých hraničních přechodech zcela nebo částečně pozastavit. V případě částečného pozastavení by měla být pozastavena registrace biometrických údajů v EES. V případě úplného pozastavení by v EES neměly být registrovány žádné údaje.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Aby se zmírnila další rizika spojená se zaváděním EES s biometrickými funkcemi, měly by mít členské státy za výjimečných okolností vedoucích k takové intenzitě provozu, že na hranicích vzniká nadměrně dlouhá čekací doba, možnost registraci biometrických údajů v EES po ukončení jeho postupného zprovoznění pozastavit. Toto pozastavení by mělo být možné na omezenou dobu 60 dnů po ukončení postupného zprovoznění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Cíle tohoto nařízení, kterým se povolují odchylky od nařízení (EU) 2017/2226 a nařízení (EU) 2016/</w:t>
            </w:r>
            <w:r>
              <w:rPr>
                <w:b/>
                <w:i/>
                <w:strike w:val="0"/>
                <w:color w:val="auto"/>
                <w:highlight w:val="none"/>
                <w:u w:val="none" w:color="auto"/>
                <w:vertAlign w:val="baseline"/>
              </w:rPr>
              <w:t>299</w:t>
            </w:r>
            <w:r>
              <w:t xml:space="preserve"> za účelem postupného zprovoznění EES, nemůže být dosaženo uspokojivě členskými státy, ale spíše jej, z důvodu rozsahu a účinků, může být lépe dosaženo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vAlign w:val="top"/>
          </w:tcPr>
          <w:p>
            <w:pPr>
              <w:pStyle w:val="Normal6a"/>
            </w:pPr>
            <w:r>
              <w:t>(27)</w:t>
            </w:r>
            <w:r>
              <w:tab/>
            </w:r>
            <w:r>
              <w:t>Cíle tohoto nařízení, kterým se povolují odchylky od nařízení (EU) 2017/2226 a nařízení (EU) 2016/</w:t>
            </w:r>
            <w:r>
              <w:rPr>
                <w:b/>
                <w:i/>
                <w:strike w:val="0"/>
                <w:color w:val="auto"/>
                <w:highlight w:val="none"/>
                <w:u w:val="none" w:color="auto"/>
                <w:vertAlign w:val="baseline"/>
              </w:rPr>
              <w:t>399</w:t>
            </w:r>
            <w:r>
              <w:t xml:space="preserve"> za účelem postupného zprovoznění EES, nemůže být dosaženo uspokojivě členskými státy, ale spíše jej, z důvodu rozsahu a účinků, může být lépe dosaženo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„odhadovaným počtem překročení hranic“ odhad členského státu týkající se počtu překročení hranic státními příslušníky třetích zemí uvedenými v čl. 2 odst. 1 a 2 nařízení (EU) 2017/2226 v jednotlivém členském státě na základě ročního průměru celkového počtu překročení hranic státními příslušníky třetích zemí cestujícími za účelem krátkodobého pobytu v daném členském státě, vypočtený za </w:t>
            </w:r>
            <w:r>
              <w:rPr>
                <w:b/>
                <w:i/>
                <w:strike w:val="0"/>
                <w:color w:val="auto"/>
                <w:highlight w:val="none"/>
                <w:u w:val="none" w:color="auto"/>
                <w:vertAlign w:val="baseline"/>
              </w:rPr>
              <w:t>tři roky</w:t>
            </w:r>
            <w:r>
              <w:t xml:space="preserve"> předcházející dnu použitelnosti uvedenému v čl. 8 odst. 1 druhém pododstavci tohoto nařízení.</w:t>
            </w:r>
          </w:p>
        </w:tc>
        <w:tc>
          <w:tcPr>
            <w:tcW w:w="4876" w:type="dxa"/>
            <w:vAlign w:val="top"/>
          </w:tcPr>
          <w:p>
            <w:pPr>
              <w:pStyle w:val="Normal6a"/>
            </w:pPr>
            <w:r>
              <w:t>c)</w:t>
            </w:r>
            <w:r>
              <w:tab/>
            </w:r>
            <w:r>
              <w:t xml:space="preserve">„odhadovaným počtem překročení hranic“ odhad členského státu týkající se počtu překročení hranic státními příslušníky třetích zemí uvedenými v čl. 2 odst. 1 a 2 nařízení (EU) 2017/2226 v jednotlivém členském státě na základě ročního průměru celkového počtu překročení hranic státními příslušníky třetích zemí cestujícími za účelem krátkodobého pobytu v daném členském státě, vypočtený za </w:t>
            </w:r>
            <w:r>
              <w:rPr>
                <w:b/>
                <w:i/>
                <w:strike w:val="0"/>
                <w:color w:val="auto"/>
                <w:highlight w:val="none"/>
                <w:u w:val="none" w:color="auto"/>
                <w:vertAlign w:val="baseline"/>
              </w:rPr>
              <w:t>kalendářní rok</w:t>
            </w:r>
            <w:r>
              <w:t xml:space="preserve"> předcházející dnu použitelnosti uvedenému v čl. 8 odst. 1 druhém pododstavci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Plány zavádění</w:t>
            </w:r>
          </w:p>
        </w:tc>
        <w:tc>
          <w:tcPr>
            <w:tcW w:w="4876" w:type="dxa"/>
            <w:vAlign w:val="top"/>
          </w:tcPr>
          <w:p>
            <w:pPr>
              <w:pStyle w:val="Normal6a"/>
            </w:pPr>
            <w:r>
              <w:t xml:space="preserve">Plány zavádění </w:t>
            </w:r>
            <w:r>
              <w:rPr>
                <w:b/>
                <w:i/>
                <w:strike w:val="0"/>
                <w:color w:val="auto"/>
                <w:highlight w:val="none"/>
                <w:u w:val="none" w:color="auto"/>
                <w:vertAlign w:val="baseline"/>
              </w:rPr>
              <w:t>a měsíční zprávy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Do [30. kalendářního dne po vstupu 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a Europol týkající se používání EES</w:t>
            </w:r>
            <w:r>
              <w:rPr>
                <w:b/>
                <w:i/>
                <w:strike w:val="0"/>
                <w:color w:val="auto"/>
                <w:highlight w:val="none"/>
                <w:u w:val="none" w:color="auto"/>
                <w:vertAlign w:val="baseline"/>
              </w:rPr>
              <w:t>, včetně kapacitních limitů ústředního systému EES</w:t>
            </w:r>
            <w:r>
              <w:t>.</w:t>
            </w:r>
          </w:p>
        </w:tc>
        <w:tc>
          <w:tcPr>
            <w:tcW w:w="4876" w:type="dxa"/>
            <w:vAlign w:val="top"/>
          </w:tcPr>
          <w:p>
            <w:pPr>
              <w:pStyle w:val="Normal6a"/>
            </w:pPr>
            <w:r>
              <w:t>1.</w:t>
            </w:r>
            <w:r>
              <w:tab/>
            </w:r>
            <w:r>
              <w:t>Do [30. kalendářního dne po vstupu 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a Europol týkající se používání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Do [60. kalendářního dne po vstupu tohoto nařízení v platnost] vypracují členské státy po konzultaci s Komisí a agenturou eu-LISA vnitrostátní </w:t>
            </w:r>
            <w:r>
              <w:rPr>
                <w:b/>
                <w:i/>
                <w:strike w:val="0"/>
                <w:color w:val="auto"/>
                <w:highlight w:val="none"/>
                <w:u w:val="none" w:color="auto"/>
                <w:vertAlign w:val="baseline"/>
              </w:rPr>
              <w:t>plán</w:t>
            </w:r>
            <w:r>
              <w:t xml:space="preserve"> zavádění pro postupné zprovoznění EES, přičemž zohlední plán zavádění na vysoké úrovni uvedený v odstavci 1 tohoto článku a </w:t>
            </w:r>
            <w:r>
              <w:rPr>
                <w:b/>
                <w:i/>
                <w:strike w:val="0"/>
                <w:color w:val="auto"/>
                <w:highlight w:val="none"/>
                <w:u w:val="none" w:color="auto"/>
                <w:vertAlign w:val="baseline"/>
              </w:rPr>
              <w:t>fáze stanovené</w:t>
            </w:r>
            <w:r>
              <w:t xml:space="preserve"> v článku 4.</w:t>
            </w:r>
          </w:p>
        </w:tc>
        <w:tc>
          <w:tcPr>
            <w:tcW w:w="4876" w:type="dxa"/>
            <w:vAlign w:val="top"/>
          </w:tcPr>
          <w:p>
            <w:pPr>
              <w:pStyle w:val="Normal6a"/>
            </w:pPr>
            <w:r>
              <w:t>2.</w:t>
            </w:r>
            <w:r>
              <w:tab/>
            </w:r>
            <w:r>
              <w:t xml:space="preserve">Do [60. kalendářního dne po vstupu tohoto nařízení v platnost] vypracují členské státy po konzultaci s Komisí a agenturou eu-LISA vnitrostátní </w:t>
            </w:r>
            <w:r>
              <w:rPr>
                <w:b/>
                <w:i/>
                <w:strike w:val="0"/>
                <w:color w:val="auto"/>
                <w:highlight w:val="none"/>
                <w:u w:val="none" w:color="auto"/>
                <w:vertAlign w:val="baseline"/>
              </w:rPr>
              <w:t>plány</w:t>
            </w:r>
            <w:r>
              <w:t xml:space="preserve"> zavádění pro postupné zprovoznění EES, přičemž zohlední plán zavádění na vysoké úrovni uvedený v odstavci 1 tohoto článku</w:t>
            </w:r>
            <w:r>
              <w:rPr>
                <w:b/>
                <w:i/>
                <w:strike w:val="0"/>
                <w:color w:val="auto"/>
                <w:highlight w:val="none"/>
                <w:u w:val="none" w:color="auto"/>
                <w:vertAlign w:val="baseline"/>
              </w:rPr>
              <w:t>,</w:t>
            </w:r>
            <w:r>
              <w:t xml:space="preserve"> a </w:t>
            </w:r>
            <w:r>
              <w:rPr>
                <w:b/>
                <w:i/>
                <w:strike w:val="0"/>
                <w:color w:val="auto"/>
                <w:highlight w:val="none"/>
                <w:u w:val="none" w:color="auto"/>
                <w:vertAlign w:val="baseline"/>
              </w:rPr>
              <w:t>předloží tyto plány Komisi.</w:t>
            </w:r>
            <w:r>
              <w:rPr>
                <w:b/>
                <w:i/>
                <w:strike w:val="0"/>
                <w:color w:val="auto"/>
                <w:highlight w:val="none"/>
                <w:u w:val="none" w:color="auto"/>
                <w:vertAlign w:val="baseline"/>
              </w:rPr>
              <w:t xml:space="preserve"> </w:t>
            </w:r>
            <w:r>
              <w:rPr>
                <w:b/>
                <w:i/>
                <w:strike w:val="0"/>
                <w:color w:val="auto"/>
                <w:highlight w:val="none"/>
                <w:u w:val="none" w:color="auto"/>
                <w:vertAlign w:val="baseline"/>
              </w:rPr>
              <w:t>Pokud některý členský stát nezahájí provoz EES v plném rozsahu od začátku postupného zprovoznění systému, upřesní vnitrostátní plán zavádění, jak bude dosaženo prahových hodnot a požadavků stanovených</w:t>
            </w:r>
            <w:r>
              <w:t xml:space="preserve"> v článku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Pro jednotlivé fáze stanovené v článku 4 jsou ve vnitrostátních plánech zavádění obsaženy informace týkající se prahových hodnot a požadavků, jež jsou v uvedeném článku stanoveny.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Od 30. kalendářního dne po </w:t>
            </w:r>
            <w:r>
              <w:rPr>
                <w:b/>
                <w:i/>
                <w:strike w:val="0"/>
                <w:color w:val="auto"/>
                <w:highlight w:val="none"/>
                <w:u w:val="none" w:color="auto"/>
                <w:vertAlign w:val="baseline"/>
              </w:rPr>
              <w:t>postupném</w:t>
            </w:r>
            <w:r>
              <w:t xml:space="preserve"> zprovoznění EES poskytují členské státy Komisi a agentuře eu-LISA měsíční zprávy o provádění svých vnitrostátních plánů zavádění, včetně nápravných opatření, je-li to nezbytné ke splnění povinností stanovených v článku 4.</w:t>
            </w:r>
          </w:p>
        </w:tc>
        <w:tc>
          <w:tcPr>
            <w:tcW w:w="4876" w:type="dxa"/>
            <w:vAlign w:val="top"/>
          </w:tcPr>
          <w:p>
            <w:pPr>
              <w:pStyle w:val="Normal6a"/>
            </w:pPr>
            <w:r>
              <w:t>4.</w:t>
            </w:r>
            <w:r>
              <w:tab/>
            </w:r>
            <w:r>
              <w:t xml:space="preserve">Od 30. kalendářního dne po </w:t>
            </w:r>
            <w:r>
              <w:rPr>
                <w:b/>
                <w:i/>
                <w:strike w:val="0"/>
                <w:color w:val="auto"/>
                <w:highlight w:val="none"/>
                <w:u w:val="none" w:color="auto"/>
                <w:vertAlign w:val="baseline"/>
              </w:rPr>
              <w:t>datu</w:t>
            </w:r>
            <w:r>
              <w:t xml:space="preserve"> zprovoznění EES </w:t>
            </w:r>
            <w:r>
              <w:rPr>
                <w:b/>
                <w:i/>
                <w:strike w:val="0"/>
                <w:color w:val="auto"/>
                <w:highlight w:val="none"/>
                <w:u w:val="none" w:color="auto"/>
                <w:vertAlign w:val="baseline"/>
              </w:rPr>
              <w:t>stanoveném Komisí v souladu s čl. 66 odst. 1 nařízení (EU) 2017/2226</w:t>
            </w:r>
            <w:r>
              <w:t xml:space="preserve"> poskytují členské státy Komisi a agentuře eu-LISA měsíční zprávy o provádění svých vnitrostátních plánů zavádění, včetně nápravných opatření, je-li to nezbytné ke splnění povinností stanovených v článku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Agentura eu-LISA poskytne Komisi na její žádost statistiky nezbytné pro sledování vnitrostátních plánů zavádění v souladu s čl. 63 odst. 6 nařízení (EU) 2017/2226.</w:t>
            </w:r>
          </w:p>
        </w:tc>
        <w:tc>
          <w:tcPr>
            <w:tcW w:w="4876" w:type="dxa"/>
            <w:vAlign w:val="top"/>
          </w:tcPr>
          <w:p>
            <w:pPr>
              <w:pStyle w:val="Normal6a"/>
            </w:pPr>
            <w:r>
              <w:t>5.</w:t>
            </w:r>
            <w:r>
              <w:tab/>
            </w:r>
            <w:r>
              <w:t xml:space="preserve">Agentura eu-LISA poskytne Komisi na její žádost statistiky nezbytné pro sledování </w:t>
            </w:r>
            <w:r>
              <w:rPr>
                <w:b/>
                <w:i/>
                <w:strike w:val="0"/>
                <w:color w:val="auto"/>
                <w:highlight w:val="none"/>
                <w:u w:val="none" w:color="auto"/>
                <w:vertAlign w:val="baseline"/>
              </w:rPr>
              <w:t>plánu zavádění na vysoké úrovni a</w:t>
            </w:r>
            <w:r>
              <w:t xml:space="preserve"> vnitrostátních plánů zavádění v souladu s čl. 63 odst. 6 nařízení (EU)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Od prvního dne postupného zprovoznění EES začne každý členský stát používat EES při vstupu a při výstupu na jednom nebo více hraničních přechodech, přičemž v příslušných případech pokud možno zahrne kombinaci vzdušných, pozemních a námořních hraničních přechodů, pro účely zaznamenávání a uchovávání údajů o státních příslušnících třetích zemí uvedených v čl. 2 odst. 1 a 2 nařízení (EU) 2017/2226. Členské státy </w:t>
            </w:r>
            <w:r>
              <w:rPr>
                <w:b/>
                <w:i/>
                <w:strike w:val="0"/>
                <w:color w:val="auto"/>
                <w:highlight w:val="none"/>
                <w:u w:val="none" w:color="auto"/>
                <w:vertAlign w:val="baseline"/>
              </w:rPr>
              <w:t>zaregistrují</w:t>
            </w:r>
            <w:r>
              <w:t xml:space="preserve"> v EES alespoň 10 % odhadovaného počtu překročení hranic v daném členském státě.</w:t>
            </w:r>
          </w:p>
        </w:tc>
        <w:tc>
          <w:tcPr>
            <w:tcW w:w="4876" w:type="dxa"/>
            <w:vAlign w:val="top"/>
          </w:tcPr>
          <w:p>
            <w:pPr>
              <w:pStyle w:val="Normal6a"/>
            </w:pPr>
            <w:r>
              <w:t xml:space="preserve">Od prvního dne postupného zprovoznění EES začne každý členský stát používat EES při vstupu a při výstupu na jednom nebo více hraničních přechodech, přičemž v příslušných případech pokud možno zahrne kombinaci vzdušných, pozemních a námořních hraničních přechodů, pro účely zaznamenávání a uchovávání údajů o státních příslušnících třetích zemí uvedených v čl. 2 odst. 1 a 2 nařízení (EU) 2017/2226. </w:t>
            </w:r>
            <w:r>
              <w:rPr>
                <w:b/>
                <w:i/>
                <w:strike w:val="0"/>
                <w:color w:val="auto"/>
                <w:highlight w:val="none"/>
                <w:u w:val="none" w:color="auto"/>
                <w:vertAlign w:val="baseline"/>
              </w:rPr>
              <w:t>Nejpozději od 30. kalendářního dne postupného zprovoznění EES zaregistrují</w:t>
            </w:r>
            <w:r>
              <w:t xml:space="preserve"> členské státy v EES alespoň 10 % odhadovaného počtu překročení hranic v daném členském státě.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Nejpozději od 90. kalendářního dne </w:t>
            </w:r>
            <w:r>
              <w:rPr>
                <w:b/>
                <w:i/>
                <w:strike w:val="0"/>
                <w:color w:val="auto"/>
                <w:highlight w:val="none"/>
                <w:u w:val="none" w:color="auto"/>
                <w:vertAlign w:val="baseline"/>
              </w:rPr>
              <w:t>po postupném</w:t>
            </w:r>
            <w:r>
              <w:t xml:space="preserve"> zprovoznění EES provozují členské státy EES s biometrickými funkcemi alespoň na polovině svých hraničních přechodů. Členské státy zaregistrují alespoň </w:t>
            </w:r>
            <w:r>
              <w:rPr>
                <w:b/>
                <w:i/>
                <w:strike w:val="0"/>
                <w:color w:val="auto"/>
                <w:highlight w:val="none"/>
                <w:u w:val="none" w:color="auto"/>
                <w:vertAlign w:val="baseline"/>
              </w:rPr>
              <w:t>50</w:t>
            </w:r>
            <w:r>
              <w:t> % odhadovaného počtu překročení hranic v daném členském státě. Individuální soubory státních příslušníků třetích zemí uvedených v čl. 2 odst. 1 a 2 nařízení (EU) 2017/2226, které jsou zaregistrovány v EES, musí obsahovat biometrické údaje.</w:t>
            </w:r>
          </w:p>
        </w:tc>
        <w:tc>
          <w:tcPr>
            <w:tcW w:w="4876" w:type="dxa"/>
            <w:vAlign w:val="top"/>
          </w:tcPr>
          <w:p>
            <w:pPr>
              <w:pStyle w:val="Normal6a"/>
            </w:pPr>
            <w:r>
              <w:t>3.</w:t>
            </w:r>
            <w:r>
              <w:tab/>
            </w:r>
            <w:r>
              <w:t xml:space="preserve">Nejpozději od 90. kalendářního dne </w:t>
            </w:r>
            <w:r>
              <w:rPr>
                <w:b/>
                <w:i/>
                <w:strike w:val="0"/>
                <w:color w:val="auto"/>
                <w:highlight w:val="none"/>
                <w:u w:val="none" w:color="auto"/>
                <w:vertAlign w:val="baseline"/>
              </w:rPr>
              <w:t>postupného</w:t>
            </w:r>
            <w:r>
              <w:t xml:space="preserve"> zprovoznění EES provozují členské státy EES s biometrickými funkcemi alespoň na polovině svých hraničních přechodů. Členské státy zaregistrují alespoň </w:t>
            </w:r>
            <w:r>
              <w:rPr>
                <w:b/>
                <w:i/>
                <w:strike w:val="0"/>
                <w:color w:val="auto"/>
                <w:highlight w:val="none"/>
                <w:u w:val="none" w:color="auto"/>
                <w:vertAlign w:val="baseline"/>
              </w:rPr>
              <w:t>35</w:t>
            </w:r>
            <w:r>
              <w:t> % odhadovaného počtu překročení hranic v daném členském státě. Individuální soubory státních příslušníků třetích zemí uvedených v čl. 2 odst. 1 a 2 nařízení (EU) 2017/2226, které jsou zaregistrovány v EES, musí obsahovat biometrické údaje.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Nejpozději od 150. kalendářního dne </w:t>
            </w:r>
            <w:r>
              <w:rPr>
                <w:b/>
                <w:i/>
                <w:strike w:val="0"/>
                <w:color w:val="auto"/>
                <w:highlight w:val="none"/>
                <w:u w:val="none" w:color="auto"/>
                <w:vertAlign w:val="baseline"/>
              </w:rPr>
              <w:t>po postupném</w:t>
            </w:r>
            <w:r>
              <w:t xml:space="preserve"> zprovoznění EES provozují členské státy EES s biometrickými funkcemi na všech svých hraničních přechodech a v EES i nadále registrují alespoň 50 % odhadovaného počtu překročení hranic v daném členském státě.</w:t>
            </w:r>
          </w:p>
        </w:tc>
        <w:tc>
          <w:tcPr>
            <w:tcW w:w="4876" w:type="dxa"/>
            <w:vAlign w:val="top"/>
          </w:tcPr>
          <w:p>
            <w:pPr>
              <w:pStyle w:val="Normal6a"/>
            </w:pPr>
            <w:r>
              <w:t>4.</w:t>
            </w:r>
            <w:r>
              <w:tab/>
            </w:r>
            <w:r>
              <w:t xml:space="preserve">Nejpozději od 150. kalendářního dne </w:t>
            </w:r>
            <w:r>
              <w:rPr>
                <w:b/>
                <w:i/>
                <w:strike w:val="0"/>
                <w:color w:val="auto"/>
                <w:highlight w:val="none"/>
                <w:u w:val="none" w:color="auto"/>
                <w:vertAlign w:val="baseline"/>
              </w:rPr>
              <w:t>postupného</w:t>
            </w:r>
            <w:r>
              <w:t xml:space="preserve"> zprovoznění EES provozují členské státy EES s biometrickými funkcemi na všech svých hraničních přechodech a v EES i nadále registrují alespoň 50 % odhadovaného počtu překročení hranic v daném členském státě.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Nejpozději od 170. kalendářního dne </w:t>
            </w:r>
            <w:r>
              <w:rPr>
                <w:b/>
                <w:i/>
                <w:strike w:val="0"/>
                <w:color w:val="auto"/>
                <w:highlight w:val="none"/>
                <w:u w:val="none" w:color="auto"/>
                <w:vertAlign w:val="baseline"/>
              </w:rPr>
              <w:t>po postupném</w:t>
            </w:r>
            <w:r>
              <w:t xml:space="preserve"> zprovoznění EES provozují členské státy EES s biometrickými funkcemi na všech svých hraničních přechodech a registrují v EES všechny státní příslušníky třetích zemí uvedené v čl. 2 odst. 1 a 2 nařízení (EU) 2017/2226.</w:t>
            </w:r>
          </w:p>
        </w:tc>
        <w:tc>
          <w:tcPr>
            <w:tcW w:w="4876" w:type="dxa"/>
            <w:vAlign w:val="top"/>
          </w:tcPr>
          <w:p>
            <w:pPr>
              <w:pStyle w:val="Normal6a"/>
            </w:pPr>
            <w:r>
              <w:t>5.</w:t>
            </w:r>
            <w:r>
              <w:tab/>
            </w:r>
            <w:r>
              <w:t xml:space="preserve">Nejpozději od 170. kalendářního dne </w:t>
            </w:r>
            <w:r>
              <w:rPr>
                <w:b/>
                <w:i/>
                <w:strike w:val="0"/>
                <w:color w:val="auto"/>
                <w:highlight w:val="none"/>
                <w:u w:val="none" w:color="auto"/>
                <w:vertAlign w:val="baseline"/>
              </w:rPr>
              <w:t>postupného</w:t>
            </w:r>
            <w:r>
              <w:t xml:space="preserve"> zprovoznění EES provozují členské státy EES s biometrickými funkcemi na všech svých hraničních přechodech a registrují v EES všechny státní příslušníky třetích zemí uvedené v čl. 2 odst. 1 a 2 nařízení (EU)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4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Tato domněnka se nevztahuje na státní příslušníky třetích zemí, kteří mohou jakýmkoli způsobem předložit věrohodné důkazy o tom, že požívají práva na volný pohyb v souladu s právními předpisy Unie</w:t>
            </w:r>
            <w:r>
              <w:rPr>
                <w:b/>
                <w:i/>
                <w:strike w:val="0"/>
                <w:color w:val="auto"/>
                <w:highlight w:val="none"/>
                <w:u w:val="none" w:color="auto"/>
                <w:vertAlign w:val="baseline"/>
              </w:rPr>
              <w:t>, mají právo pobytu v hostitelském členském státě podle dohody o vystoupení uzavřené mezi EU a Spojeným královstvím</w:t>
            </w:r>
            <w:r>
              <w:t xml:space="preserve"> nebo že jsou držiteli povolení k pobytu nebo dlouhodobého víza.</w:t>
            </w:r>
          </w:p>
        </w:tc>
        <w:tc>
          <w:tcPr>
            <w:tcW w:w="4876" w:type="dxa"/>
            <w:vAlign w:val="top"/>
          </w:tcPr>
          <w:p>
            <w:pPr>
              <w:pStyle w:val="Normal6a"/>
            </w:pPr>
            <w:r>
              <w:t>Tato domněnka se nevztahuje na státní příslušníky třetích zemí, kteří mohou jakýmkoli způsobem předložit věrohodné důkazy o tom, že požívají práva na volný pohyb v souladu s právními předpisy Unie nebo že jsou držiteli povolení k pobytu nebo dlouhodobého víza.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1 – pododstavec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 obou případech členské státy neprodleně a nejpozději do šesti hodin od zahájení pozastavení oznámí Komisi a agentuře eu-LISA důvod tohoto částečného nebo úplného pozastavení a jeho očekávanou dobu trvání </w:t>
            </w:r>
            <w:r>
              <w:rPr>
                <w:b/>
                <w:i/>
                <w:strike w:val="0"/>
                <w:color w:val="auto"/>
                <w:highlight w:val="none"/>
                <w:u w:val="none" w:color="auto"/>
                <w:vertAlign w:val="baseline"/>
              </w:rPr>
              <w:t>a zajistí, aby provozovatelé infrastruktury hraničních přechodů a dopravci byli o tomto pozastavení řádně informováni</w:t>
            </w:r>
            <w:r>
              <w:t xml:space="preserve">. Jakmile výjimečné okolnosti, které vedly k pozastavení, pominou, členské státy o tom </w:t>
            </w:r>
            <w:r>
              <w:rPr>
                <w:b/>
                <w:i/>
                <w:strike w:val="0"/>
                <w:color w:val="auto"/>
                <w:highlight w:val="none"/>
                <w:u w:val="none" w:color="auto"/>
                <w:vertAlign w:val="baseline"/>
              </w:rPr>
              <w:t>neprodleně</w:t>
            </w:r>
            <w:r>
              <w:t xml:space="preserve"> uvědomí Komisi </w:t>
            </w:r>
            <w:r>
              <w:rPr>
                <w:b/>
                <w:i/>
                <w:strike w:val="0"/>
                <w:color w:val="auto"/>
                <w:highlight w:val="none"/>
                <w:u w:val="none" w:color="auto"/>
                <w:vertAlign w:val="baseline"/>
              </w:rPr>
              <w:t>a</w:t>
            </w:r>
            <w:r>
              <w:t xml:space="preserve"> agenturu eu-LISA.</w:t>
            </w:r>
          </w:p>
        </w:tc>
        <w:tc>
          <w:tcPr>
            <w:tcW w:w="4876" w:type="dxa"/>
            <w:vAlign w:val="top"/>
          </w:tcPr>
          <w:p>
            <w:pPr>
              <w:pStyle w:val="Normal6a"/>
            </w:pPr>
            <w:r>
              <w:t xml:space="preserve">V obou případech členské státy neprodleně </w:t>
            </w:r>
            <w:r>
              <w:rPr>
                <w:b/>
                <w:i/>
                <w:strike w:val="0"/>
                <w:color w:val="auto"/>
                <w:highlight w:val="none"/>
                <w:u w:val="none" w:color="auto"/>
                <w:vertAlign w:val="baseline"/>
              </w:rPr>
              <w:t>informují provozovatele infrastruktury hraničních přechodů</w:t>
            </w:r>
            <w:r>
              <w:t xml:space="preserve"> a </w:t>
            </w:r>
            <w:r>
              <w:rPr>
                <w:b/>
                <w:i/>
                <w:strike w:val="0"/>
                <w:color w:val="auto"/>
                <w:highlight w:val="none"/>
                <w:u w:val="none" w:color="auto"/>
                <w:vertAlign w:val="baseline"/>
              </w:rPr>
              <w:t>dopravce.</w:t>
            </w:r>
            <w:r>
              <w:t xml:space="preserve"> Nejpozději do šesti hodin od zahájení pozastavení oznámí </w:t>
            </w:r>
            <w:r>
              <w:rPr>
                <w:b/>
                <w:i/>
                <w:strike w:val="0"/>
                <w:color w:val="auto"/>
                <w:highlight w:val="none"/>
                <w:u w:val="none" w:color="auto"/>
                <w:vertAlign w:val="baseline"/>
              </w:rPr>
              <w:t>členské státy</w:t>
            </w:r>
            <w:r>
              <w:t xml:space="preserve"> Komisi a agentuře eu-LISA důvod tohoto částečného nebo úplného pozastavení a jeho očekávanou dobu trvání. Jakmile výjimečné okolnosti, které vedly k pozastavení, pominou, členské státy </w:t>
            </w:r>
            <w:r>
              <w:rPr>
                <w:b/>
                <w:i/>
                <w:strike w:val="0"/>
                <w:color w:val="auto"/>
                <w:highlight w:val="none"/>
                <w:u w:val="none" w:color="auto"/>
                <w:vertAlign w:val="baseline"/>
              </w:rPr>
              <w:t>pozastavení ukončí a neprodleně</w:t>
            </w:r>
            <w:r>
              <w:t xml:space="preserve"> o tom uvědomí Komisi</w:t>
            </w:r>
            <w:r>
              <w:rPr>
                <w:b/>
                <w:i/>
                <w:strike w:val="0"/>
                <w:color w:val="auto"/>
                <w:highlight w:val="none"/>
                <w:u w:val="none" w:color="auto"/>
                <w:vertAlign w:val="baseline"/>
              </w:rPr>
              <w:t>,</w:t>
            </w:r>
            <w:r>
              <w:t xml:space="preserve"> agenturu eu-LISA</w:t>
            </w:r>
            <w:r>
              <w:rPr>
                <w:b/>
                <w:i/>
                <w:strike w:val="0"/>
                <w:color w:val="auto"/>
                <w:highlight w:val="none"/>
                <w:u w:val="none" w:color="auto"/>
                <w:vertAlign w:val="baseline"/>
              </w:rPr>
              <w:t>, provozovatele infrastruktury hraničních přechodů a dopravce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Pokud během postupného zprovoznění EES méně než 80 % individuálních souborů zaregistrovaných v EES obsahuje biometrické údaje, lhůta stanovená v odstavci 2 tohoto článku se automaticky prodlouží o 60 kalendářních dnů.</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Nejpozději do desátého kalendářního dne po ukončení postupného zprovoznění EES poskytne agentura eu-LISA Komisi statistiky, které jí umožní ověřit, zda bylo tohoto procentního podílu dosaženo. Nejpozději do 30. kalendářního dne po ukončení postupného zprovoznění EES informuje Komise členské státy o výsledku svého ověření.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pododstavec 1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ustanovení čl. 7 odst. 2 </w:t>
            </w:r>
            <w:r>
              <w:rPr>
                <w:b/>
                <w:i/>
                <w:strike w:val="0"/>
                <w:color w:val="auto"/>
                <w:highlight w:val="none"/>
                <w:u w:val="none" w:color="auto"/>
                <w:vertAlign w:val="baseline"/>
              </w:rPr>
              <w:t>a 3</w:t>
            </w:r>
            <w:r>
              <w:t xml:space="preserve"> se </w:t>
            </w:r>
            <w:r>
              <w:rPr>
                <w:b/>
                <w:i/>
                <w:strike w:val="0"/>
                <w:color w:val="auto"/>
                <w:highlight w:val="none"/>
                <w:u w:val="none" w:color="auto"/>
                <w:vertAlign w:val="baseline"/>
              </w:rPr>
              <w:t>přestanou</w:t>
            </w:r>
            <w:r>
              <w:t xml:space="preserve"> uplatňovat </w:t>
            </w:r>
            <w:r>
              <w:rPr>
                <w:b/>
                <w:i/>
                <w:strike w:val="0"/>
                <w:color w:val="auto"/>
                <w:highlight w:val="none"/>
                <w:u w:val="none" w:color="auto"/>
                <w:vertAlign w:val="baseline"/>
              </w:rPr>
              <w:t>300</w:t>
            </w:r>
            <w:r>
              <w:t xml:space="preserve"> kalendářních dnů od data stanoveného Komisí v souladu s čl. 66 odst. 1 nařízení (EU) 2017/2226;</w:t>
            </w:r>
          </w:p>
        </w:tc>
        <w:tc>
          <w:tcPr>
            <w:tcW w:w="4876" w:type="dxa"/>
            <w:vAlign w:val="top"/>
          </w:tcPr>
          <w:p>
            <w:pPr>
              <w:pStyle w:val="Normal6a"/>
            </w:pPr>
            <w:r>
              <w:t>d)</w:t>
            </w:r>
            <w:r>
              <w:tab/>
            </w:r>
            <w:r>
              <w:t xml:space="preserve">ustanovení čl. 7 odst. 2 se </w:t>
            </w:r>
            <w:r>
              <w:rPr>
                <w:b/>
                <w:i/>
                <w:strike w:val="0"/>
                <w:color w:val="auto"/>
                <w:highlight w:val="none"/>
                <w:u w:val="none" w:color="auto"/>
                <w:vertAlign w:val="baseline"/>
              </w:rPr>
              <w:t>přestane</w:t>
            </w:r>
            <w:r>
              <w:t xml:space="preserve"> uplatňovat </w:t>
            </w:r>
            <w:r>
              <w:rPr>
                <w:b/>
                <w:i/>
                <w:strike w:val="0"/>
                <w:color w:val="auto"/>
                <w:highlight w:val="none"/>
                <w:u w:val="none" w:color="auto"/>
                <w:vertAlign w:val="baseline"/>
              </w:rPr>
              <w:t>240</w:t>
            </w:r>
            <w:r>
              <w:t xml:space="preserve"> kalendářních dnů od data stanoveného Komisí v souladu s čl. 66 odst. 1 nařízení (EU)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VYSVĚTLUJÍCÍ PROHLÁŠENÍ</w:t>
      </w:r>
      <w:bookmarkEnd w:id="1"/>
    </w:p>
    <w:p>
      <w:pPr>
        <w:pStyle w:val="Normal12a"/>
      </w:pPr>
      <w:r>
        <w:rPr>
          <w:rStyle w:val="Bold"/>
        </w:rPr>
        <w:t>Úvod</w:t>
      </w:r>
    </w:p>
    <w:p>
      <w:pPr>
        <w:pStyle w:val="Normal12a"/>
      </w:pPr>
      <w:r>
        <w:t>Systém vstupu/výstupu (EES) stanovený nařízením 2017/2226 (dále jen „nařízení o EES“) je podstatnou součástí správy hranic schengenského prostoru. V centralizované databázi EES jsou registrovány vstupy, výstupy a odepření vstupu, pokud jde o státní příslušníky třetích zemí překračující vnější hranice 29 členských států, které jsou členy schengenského prostoru, za účelem krátkodobého pobytu. Jedná se o významný krok v úsilí EU o zvýšení bezpečnosti a účinnosti na vnějších hranicích. Systém bude kromě alfanumerických údajů vůbec poprvé shromažďovat biometrické údaje, konkrétně zobrazení obličeje a otisky prstů, státních příslušníků třetích zemí překračujících vnější hranice. EES poskytne členským státům, které jsou členy schengenského prostoru, v reálném čase přístup k osobním údajům státních příslušníků třetích zemí, jejich historii cest a informacím o tom, zda dodržují délku oprávněného krátkodobého pobytu v schengenském prostoru. EES by tak měl snížit pravděpodobnost podvodného zneužití totožnosti a překročení oprávněné délky pobytu, což v konečném důsledku posílí bezpečnost schengenského prostoru. Díky instalaci automatizované pohraniční infrastruktury by EES měl rovněž zkrátit dobu, kterou stráví cestující v dobré víře čekáním na hraničních přechodech.</w:t>
      </w:r>
    </w:p>
    <w:p>
      <w:pPr>
        <w:pStyle w:val="Normal12a"/>
      </w:pPr>
      <w:r>
        <w:t>Vývoj EES trval oproti předpokladům déle a plánované termíny zahájení provozu nebyly dodrženy. Jedním z předpokladů pro zprovoznění EES je, aby Komise obdržela od každého členského státu „oznámení o připravenosti“. V současnosti uvádějí tři členské státy, že nejsou schopny takové oznámení předložit. Jejich zpoždění způsobila kombinace vnitrostátních problémů a obav ohledně stability centrálního systému spravovaného agenturou eu-LISA.</w:t>
      </w:r>
    </w:p>
    <w:p>
      <w:pPr>
        <w:pStyle w:val="Normal12a"/>
      </w:pPr>
      <w:r>
        <w:t>S ohledem na výše uvedené skutečnosti dospěly různé zúčastněné strany zapojené do provozu EES k názoru, že před dojednaným zavedením nových postupů na vnějších hranicích by vnitrostátním orgánům a cestujícím měl být poskytnut čas na přizpůsobení. Úplné spuštění nového rozsáhlého informačního systému na všech hraničních přechodech by mohlo představovat riziko pro bezpečné a bezproblémové cestování.</w:t>
      </w:r>
    </w:p>
    <w:p>
      <w:pPr>
        <w:pStyle w:val="Normal12a"/>
      </w:pPr>
      <w:r>
        <w:t>Nařízení o EES však umožňuje pouze úplné zprovoznění, což vyžaduje, aby všechny členské státy začaly EES používat v plném rozsahu a současně pro všechny cestující, kteří podléhají registraci v EES, na všech svých hraničních přechodech na vnějších hranicích. Nepočítá s možností období na přizpůsobení.</w:t>
      </w:r>
    </w:p>
    <w:p>
      <w:pPr>
        <w:pStyle w:val="Normal12a"/>
      </w:pPr>
      <w:r>
        <w:t>V této souvislosti předložila Komise v prosinci 2024 návrh týkající se postupného zprovoznění EES. Pozvolné zprovoznění systému by znamenalo, že po dobu 180 dnů bude postupně stoupat využívání systému členskými státy, až bude plně zaveden.</w:t>
      </w:r>
    </w:p>
    <w:p>
      <w:pPr>
        <w:pStyle w:val="Normal12a"/>
      </w:pPr>
      <w:r>
        <w:rPr>
          <w:rStyle w:val="Bold"/>
        </w:rPr>
        <w:t>Postoj zpravodajky</w:t>
      </w:r>
    </w:p>
    <w:p>
      <w:pPr>
        <w:pStyle w:val="Normal12a"/>
      </w:pPr>
      <w:r>
        <w:t>Zpravodajka podporuje EES i jeho záměr zlepšit bezpečnost a usnadnit pohyb osob na vnějších hranicích EU. O nutnosti zvýšit bezpečnost na hranicích svědčí hrůzná vlna teroristických útoků v členských státech EU, mj. ve Francii a Belgii, v letech 2015 a 2016. Ačkoli zpravodajka chápe, že je obtížné vytvořit nový rozsáhlý systém, jehož součástí jsou i inovativní hardwarové a softwarové prvky, ale i úprava postupů na hraničních přechodech, vyjadřuje politování nad tím, že ani osm let po přijetí nařízení systém stále není v provozu. Od roku 2017 se bezpečnostní hrozby nesnížily, ba právě naopak. Aby se konečně umožnilo úplné zavedení EES, souhlasí zpravodajka v zásadě s navrhovaným postupným zprovozněním.</w:t>
      </w:r>
    </w:p>
    <w:p>
      <w:pPr>
        <w:pStyle w:val="Normal12a"/>
      </w:pPr>
      <w:r>
        <w:t>Zpravodajka navrhuje učinit následující změny v návrhu Komise:</w:t>
      </w:r>
    </w:p>
    <w:p>
      <w:pPr>
        <w:pStyle w:val="Normal12a"/>
      </w:pPr>
      <w:r>
        <w:t>1. Zdůrazňuje, že postupné zavádění EES během 180 dnů trvajícího postupného zprovoznění je dobrovolné. Členské státy, které se rozhodnou začít používat EES v plném rozsahu pro všechny státní příslušníky třetích zemí, kteří podléhají registraci v EES, od prvního dne na všech svých hraničních přechodech současně, by měly mít možnost tak učinit.</w:t>
      </w:r>
    </w:p>
    <w:p>
      <w:pPr>
        <w:pStyle w:val="Normal12a"/>
      </w:pPr>
      <w:r>
        <w:t>2. Členským státům, které se místo toho rozhodnou zavádět EES postupně, by však mělo být poskytnuto více flexibility, než předpokládá návrh Komise. Místo toho, aby členské státy zavedly systém od prvního dne alespoň na 10 %, měly by mít možnost dosáhnout těchto 10 % v průběhu prvních 30 dnů postupného zahájení provozu. Dále by do 90 dnů měly místo 50 % registrovat alespoň 35 % odhadovaného počtu překročení hranic. Tyto upravené procentní podíly odrážejí skutečnost, že zavádění nových komplexních systémů probíhá obvykle exponenciálně, a nikoli lineárně.</w:t>
      </w:r>
    </w:p>
    <w:p>
      <w:pPr>
        <w:pStyle w:val="Normal12a"/>
      </w:pPr>
      <w:r>
        <w:t>3. Zpravodajka zdůrazňuje, že zavádění systému členskými státy by již neměla brzdit omezení ústřední složky EES spravované agenturou eu-LISA.</w:t>
      </w:r>
    </w:p>
    <w:p>
      <w:pPr>
        <w:pStyle w:val="Normal12a"/>
      </w:pPr>
      <w:r>
        <w:t>4. Zpravodajka objasňuje některá ustanovení týkající se plánu zavádění a požadavků na měsíční podávání zpráv, základu pro výpočet procentních podílů a informačních toků během případného pozastavení používání systému.</w:t>
      </w:r>
    </w:p>
    <w:p>
      <w:pPr>
        <w:pStyle w:val="Normal12a"/>
      </w:pPr>
      <w:r>
        <w:t>5. Zpravodajka zkracuje navrhovanou lhůtu po postupném zprovoznění systému, během níž mohou členské státy částečně pozastavit provoz EES, a zdůrazňuje, že členské státy, které dosud nevydaly prohlášení o připravenosti, tak musí bezpodmínečně učinit nyní, aby systém mohl začít fungovat na podzim 2025. V tomto ročním období je totiž provoz na hranicích nejmenší.</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22</w:t>
    </w:r>
    <w:r>
      <w:fldChar w:fldCharType="end"/>
    </w:r>
    <w:r>
      <w:tab/>
    </w:r>
    <w:r>
      <w:rPr>
        <w:rStyle w:val="HideTWBExt"/>
      </w:rPr>
      <w:t>&lt;</w:t>
    </w:r>
    <w:r>
      <w:rPr>
        <w:rStyle w:val="HideTWBExt"/>
      </w:rPr>
      <w:t>PathFdR</w:t>
    </w:r>
    <w:r>
      <w:rPr>
        <w:rStyle w:val="HideTWBExt"/>
      </w:rPr>
      <w:t>&gt;</w:t>
    </w:r>
    <w:r>
      <w:t>PR\1316296CS.docx</w:t>
    </w:r>
    <w:r>
      <w:rPr>
        <w:rStyle w:val="HideTWBExt"/>
      </w:rPr>
      <w:t>&lt;/</w:t>
    </w:r>
    <w:r>
      <w:rPr>
        <w:rStyle w:val="HideTWBExt"/>
      </w:rPr>
      <w:t>PathFdR</w:t>
    </w:r>
    <w:r>
      <w:rPr>
        <w:rStyle w:val="HideTWBExt"/>
      </w:rPr>
      <w:t>&gt;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PR\1316296CS.docx</w:t>
    </w:r>
    <w:r>
      <w:rPr>
        <w:rStyle w:val="HideTWBExt"/>
      </w:rPr>
      <w:t>&lt;/</w:t>
    </w:r>
    <w:r>
      <w:rPr>
        <w:rStyle w:val="HideTWBExt"/>
      </w:rPr>
      <w:t>PathFdR</w:t>
    </w:r>
    <w:r>
      <w:rPr>
        <w:rStyle w:val="HideTWBExt"/>
      </w:rPr>
      <w:t>&gt;</w:t>
    </w:r>
    <w:r>
      <w:tab/>
    </w:r>
    <w:r>
      <w:fldChar w:fldCharType="begin"/>
    </w:r>
    <w:r>
      <w:instrText>PAGE</w:instrText>
    </w:r>
    <w:r>
      <w:fldChar w:fldCharType="separate"/>
    </w:r>
    <w:r>
      <w:t>21</w:t>
    </w:r>
    <w:r>
      <w:fldChar w:fldCharType="end"/>
    </w:r>
    <w:r>
      <w:t>/</w:t>
    </w:r>
    <w:r>
      <w:fldChar w:fldCharType="begin"/>
    </w:r>
    <w:r>
      <w:instrText>NUMPAGES</w:instrText>
    </w:r>
    <w:r>
      <w:fldChar w:fldCharType="separate"/>
    </w:r>
    <w:r>
      <w:t>22</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PR\1316296CS.docx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CS</w:t>
    </w:r>
    <w:r>
      <w:tab/>
    </w:r>
    <w:r>
      <w:rPr>
        <w:rStyle w:val="EPFooter2Motto"/>
      </w:rPr>
      <w:t>Jednotná v rozmanitosti</w:t>
    </w:r>
    <w:r>
      <w:tab/>
    </w:r>
    <w:r>
      <w:t>CS</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20250318-092002-000145-748426</vt:lpwstr>
  </property>
  <property fmtid="{D5CDD505-2E9C-101B-9397-08002B2CF9AE}" pid="7" name="FooterPath">
    <vt:lpwstr>PR\1316296CS.doc</vt:lpwstr>
  </property>
  <property fmtid="{D5CDD505-2E9C-101B-9397-08002B2CF9AE}" pid="8" name="PE Number">
    <vt:lpwstr>770.093</vt:lpwstr>
  </property>
  <property fmtid="{D5CDD505-2E9C-101B-9397-08002B2CF9AE}" pid="9" name="UID">
    <vt:lpwstr>eu.europa.europarl-DIN1-2025-0000040829_01.05-cs-01.00_text-xml</vt:lpwstr>
  </property>
</Properties>
</file>