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Europa-Parlamentet</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LIBE</w:t>
      </w:r>
      <w:r>
        <w:rPr>
          <w:rStyle w:val="HideTWBInt"/>
        </w:rPr>
        <w:t>}</w:t>
      </w:r>
      <w:r>
        <w:t>Udvalget om Borgernes Rettigheder og Retlige og Indre Anliggender</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2024/0315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(COD)</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04/03/2025</w:t>
      </w:r>
      <w:r>
        <w:rPr>
          <w:rStyle w:val="HideTWBInt"/>
        </w:rPr>
        <w:t>}</w:t>
      </w:r>
      <w:r>
        <w:t>04.03.2025</w:t>
      </w:r>
      <w:r>
        <w:rPr>
          <w:rStyle w:val="HideTWBExt"/>
        </w:rPr>
        <w:t>&lt;/</w:t>
      </w:r>
      <w:r>
        <w:rPr>
          <w:rStyle w:val="HideTWBExt"/>
        </w:rPr>
        <w:t>Date</w:t>
      </w:r>
      <w:r>
        <w:rPr>
          <w:rStyle w:val="HideTWBExt"/>
        </w:rPr>
        <w:t>&gt;</w:t>
      </w:r>
    </w:p>
    <w:p>
      <w:pPr>
        <w:pStyle w:val="CoverDocType"/>
      </w:pPr>
      <w:r>
        <w:rPr>
          <w:rStyle w:val="HideTWBExt"/>
        </w:rPr>
        <w:t>&lt;</w:t>
      </w:r>
      <w:r>
        <w:rPr>
          <w:rStyle w:val="HideTWBExt"/>
        </w:rPr>
        <w:t>RefProcLect</w:t>
      </w:r>
      <w:r>
        <w:rPr>
          <w:rStyle w:val="HideTWBExt"/>
        </w:rPr>
        <w:t>&gt;</w:t>
      </w:r>
      <w:r>
        <w:t>***I</w:t>
      </w:r>
      <w:r>
        <w:rPr>
          <w:rStyle w:val="HideTWBExt"/>
        </w:rPr>
        <w:t>&lt;/</w:t>
      </w:r>
      <w:r>
        <w:rPr>
          <w:rStyle w:val="HideTWBExt"/>
        </w:rPr>
        <w:t>RefProcLect</w:t>
      </w:r>
      <w:r>
        <w:rPr>
          <w:rStyle w:val="HideTWBExt"/>
        </w:rPr>
        <w:t>&gt;</w:t>
      </w:r>
    </w:p>
    <w:p>
      <w:pPr>
        <w:pStyle w:val="CoverDocType24a"/>
      </w:pPr>
      <w:r>
        <w:rPr>
          <w:rStyle w:val="HideTWBExt"/>
        </w:rPr>
        <w:t>&lt;</w:t>
      </w:r>
      <w:r>
        <w:rPr>
          <w:rStyle w:val="HideTWBExt"/>
        </w:rPr>
        <w:t>TitreType</w:t>
      </w:r>
      <w:r>
        <w:rPr>
          <w:rStyle w:val="HideTWBExt"/>
        </w:rPr>
        <w:t>&gt;</w:t>
      </w:r>
      <w:r>
        <w:t>UDKAST TIL BETÆNKNING</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om forslag til Europa-Parlamentets og Rådets forordning om midlertidig fravigelse af visse bestemmelser i forordning (EU) 2017/2226 og forordning (EU) 2016/399 for så vidt angår den gradvise idriftsættelse af ind- og udrejsesystemet</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(COM(2024)0567 – C10-0207/2024 – 2024/0315(COD))</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LIBE</w:t>
      </w:r>
      <w:r>
        <w:rPr>
          <w:rStyle w:val="HideTWBInt"/>
        </w:rPr>
        <w:t>}</w:t>
      </w:r>
      <w:r>
        <w:t>Udvalget om Borgernes Rettigheder og Retlige og Indre Anliggender</w:t>
      </w:r>
      <w:r>
        <w:rPr>
          <w:rStyle w:val="HideTWBExt"/>
        </w:rPr>
        <w:t>&lt;/</w:t>
      </w:r>
      <w:r>
        <w:rPr>
          <w:rStyle w:val="HideTWBExt"/>
        </w:rPr>
        <w:t>Commission</w:t>
      </w:r>
      <w:r>
        <w:rPr>
          <w:rStyle w:val="HideTWBExt"/>
        </w:rPr>
        <w:t>&gt;</w:t>
      </w:r>
    </w:p>
    <w:p>
      <w:pPr>
        <w:pStyle w:val="CoverNormal24a"/>
      </w:pPr>
      <w:r>
        <w:t>Ordfører</w:t>
      </w:r>
      <w:r>
        <w:t xml:space="preserve">: </w:t>
      </w:r>
      <w:r>
        <w:rPr>
          <w:rStyle w:val="HideTWBExt"/>
        </w:rPr>
        <w:t>&lt;</w:t>
      </w:r>
      <w:r>
        <w:rPr>
          <w:rStyle w:val="HideTWBExt"/>
        </w:rPr>
        <w:t>Depute</w:t>
      </w:r>
      <w:r>
        <w:rPr>
          <w:rStyle w:val="HideTWBExt"/>
        </w:rPr>
        <w:t>&gt;</w:t>
      </w:r>
      <w:r>
        <w:t>Assita Kanko</w:t>
      </w:r>
      <w:r>
        <w:rPr>
          <w:rStyle w:val="HideTWBExt"/>
        </w:rPr>
        <w:t>&lt;/</w:t>
      </w:r>
      <w:r>
        <w:rPr>
          <w:rStyle w:val="HideTWBExt"/>
        </w:rPr>
        <w:t>Depute</w:t>
      </w:r>
      <w:r>
        <w:rPr>
          <w:rStyle w:val="HideTWBExt"/>
        </w:rPr>
        <w:t>&gt;</w:t>
      </w:r>
    </w:p>
    <w:p>
      <w:r>
        <w:br w:type="page"/>
      </w:r>
      <w:r>
        <w:t>PR_COD_1amCom</w:t>
      </w:r>
    </w:p>
    <w:p/>
    <w:p/>
    <w:tbl>
      <w:tblPr>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
      <w:tblGrid>
        <w:gridCol w:w="5810"/>
      </w:tblGrid>
      <w:tr>
        <w:tblPrEx>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Ex>
        <w:trPr>
          <w:cantSplit w:val="0"/>
          <w:trHeight w:hRule="auto" w:val="0"/>
          <w:jc w:val="center"/>
        </w:trPr>
        <w:tc>
          <w:tcPr>
            <w:tcW w:w="5810" w:type="dxa"/>
            <w:vAlign w:val="top"/>
          </w:tcPr>
          <w:p>
            <w:pPr>
              <w:pStyle w:val="LegendTitle"/>
            </w:pPr>
            <w:r>
              <w:t>Tegnforklaring</w:t>
            </w:r>
          </w:p>
        </w:tc>
      </w:tr>
      <w:tr>
        <w:tblPrEx>
          <w:jc w:val="center"/>
          <w:tblLayout w:type="fixed"/>
          <w:tblCellMar>
            <w:top w:w="0" w:type="dxa"/>
            <w:left w:w="108" w:type="dxa"/>
            <w:bottom w:w="0" w:type="dxa"/>
            <w:right w:w="108" w:type="dxa"/>
          </w:tblCellMar>
        </w:tblPrEx>
        <w:trPr>
          <w:cantSplit w:val="0"/>
          <w:trHeight w:val="1944"/>
          <w:jc w:val="center"/>
        </w:trPr>
        <w:tc>
          <w:tcPr>
            <w:tcW w:w="5810" w:type="dxa"/>
            <w:vAlign w:val="top"/>
          </w:tcPr>
          <w:p>
            <w:pPr>
              <w:pStyle w:val="LegendSign"/>
            </w:pPr>
            <w:r>
              <w:tab/>
            </w:r>
            <w:r>
              <w:t>*</w:t>
            </w:r>
            <w:r>
              <w:tab/>
            </w:r>
            <w:r>
              <w:t>Høringsprocedure</w:t>
            </w:r>
          </w:p>
          <w:p>
            <w:pPr>
              <w:pStyle w:val="LegendSign"/>
            </w:pPr>
            <w:r>
              <w:tab/>
            </w:r>
            <w:r>
              <w:t>***</w:t>
            </w:r>
            <w:r>
              <w:tab/>
            </w:r>
            <w:r>
              <w:t>Godkendelsesprocedure</w:t>
            </w:r>
          </w:p>
          <w:p>
            <w:pPr>
              <w:pStyle w:val="LegendSign"/>
            </w:pPr>
            <w:r>
              <w:tab/>
            </w:r>
            <w:r>
              <w:t>***I</w:t>
            </w:r>
            <w:r>
              <w:tab/>
            </w:r>
            <w:r>
              <w:t>Almindelig lovgivningsprocedure (førstebehandling)</w:t>
            </w:r>
          </w:p>
          <w:p>
            <w:pPr>
              <w:pStyle w:val="LegendSign"/>
            </w:pPr>
            <w:r>
              <w:tab/>
            </w:r>
            <w:r>
              <w:t>***II</w:t>
            </w:r>
            <w:r>
              <w:tab/>
            </w:r>
            <w:r>
              <w:t>Almindelig lovgivningsprocedure (andenbehandling)</w:t>
            </w:r>
          </w:p>
          <w:p>
            <w:pPr>
              <w:pStyle w:val="LegendSign"/>
            </w:pPr>
            <w:r>
              <w:tab/>
            </w:r>
            <w:r>
              <w:t>***III</w:t>
            </w:r>
            <w:r>
              <w:tab/>
            </w:r>
            <w:r>
              <w:t>Almindelig lovgivningsprocedure (tredjebehandling)</w:t>
            </w:r>
          </w:p>
          <w:p>
            <w:pPr>
              <w:pStyle w:val="LegendSign"/>
            </w:pPr>
          </w:p>
          <w:p>
            <w:pPr>
              <w:pStyle w:val="LegendStandard"/>
            </w:pPr>
            <w:r>
              <w:t>(Proceduren afhænger af, hvilket retsgrundlag der er valgt i udkastet til retsakt)</w:t>
            </w:r>
          </w:p>
        </w:tc>
      </w:tr>
    </w:tbl>
    <w:p/>
    <w:p/>
    <w:p/>
    <w:p/>
    <w:tbl>
      <w:tblPr>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
      <w:tblGrid>
        <w:gridCol w:w="5810"/>
      </w:tblGrid>
      <w:tr>
        <w:tblPrEx>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Ex>
        <w:trPr>
          <w:cantSplit w:val="0"/>
          <w:trHeight w:hRule="auto" w:val="0"/>
          <w:jc w:val="center"/>
        </w:trPr>
        <w:tc>
          <w:tcPr>
            <w:tcW w:w="5810" w:type="dxa"/>
            <w:vAlign w:val="top"/>
          </w:tcPr>
          <w:p>
            <w:pPr>
              <w:pStyle w:val="LegendTitle"/>
            </w:pPr>
            <w:r>
              <w:t>Ændringsforslag til et udkast til retsakt</w:t>
            </w:r>
          </w:p>
        </w:tc>
      </w:tr>
      <w:tr>
        <w:tblPrEx>
          <w:jc w:val="center"/>
          <w:tblLayout w:type="fixed"/>
          <w:tblCellMar>
            <w:top w:w="0" w:type="dxa"/>
            <w:left w:w="108" w:type="dxa"/>
            <w:bottom w:w="0" w:type="dxa"/>
            <w:right w:w="108" w:type="dxa"/>
          </w:tblCellMar>
        </w:tblPrEx>
        <w:trPr>
          <w:cantSplit w:val="0"/>
          <w:trHeight w:hRule="auto" w:val="0"/>
          <w:jc w:val="center"/>
        </w:trPr>
        <w:tc>
          <w:tcPr>
            <w:tcW w:w="5810" w:type="dxa"/>
            <w:vAlign w:val="top"/>
          </w:tcPr>
          <w:p>
            <w:pPr>
              <w:pStyle w:val="LegendStandard"/>
            </w:pPr>
            <w:r>
              <w:rPr>
                <w:rStyle w:val="Bold"/>
              </w:rPr>
              <w:t>Ændringsforslag fra Parlamentet opstillet i to kolonner</w:t>
            </w:r>
          </w:p>
          <w:p>
            <w:pPr>
              <w:pStyle w:val="LegendStandard"/>
            </w:pPr>
          </w:p>
          <w:p>
            <w:pPr>
              <w:pStyle w:val="LegendStandard"/>
            </w:pPr>
            <w:r>
              <w:t xml:space="preserve">Tekst, der udgår, er markeret med </w:t>
            </w:r>
            <w:r>
              <w:rPr>
                <w:rStyle w:val="BoldItalic"/>
              </w:rPr>
              <w:t>fede typer og kursiv</w:t>
            </w:r>
            <w:r>
              <w:t xml:space="preserve"> i venstre kolonne. Tekst, der udskiftes, er markeret med </w:t>
            </w:r>
            <w:r>
              <w:rPr>
                <w:rStyle w:val="BoldItalic"/>
              </w:rPr>
              <w:t>fede typer og kursiv</w:t>
            </w:r>
            <w:r>
              <w:t xml:space="preserve"> i begge kolonner. Ny tekst er markeret med </w:t>
            </w:r>
            <w:r>
              <w:rPr>
                <w:rStyle w:val="BoldItalic"/>
              </w:rPr>
              <w:t>fede typer og kursiv</w:t>
            </w:r>
            <w:r>
              <w:t xml:space="preserve"> i højre kolonne.</w:t>
            </w:r>
          </w:p>
          <w:p>
            <w:pPr>
              <w:pStyle w:val="LegendStandard"/>
            </w:pPr>
          </w:p>
          <w:p>
            <w:pPr>
              <w:pStyle w:val="LegendStandard"/>
            </w:pPr>
            <w:r>
              <w:t>Den første og den anden linje i informationsblokken til hvert ændringsforslag angiver den relevante passage i det pågældende udkast til retsakt. Hvis et ændringsforslag angår en eksisterende retsakt, som udkastet til retsakt har til formål at ændre, indeholder informationsblokken tillige en tredje og en fjerde linje, hvori det er anført, hvilken eksisterende retsakt og hvilken bestemmelse heri der er berørt.</w:t>
            </w:r>
          </w:p>
          <w:p>
            <w:pPr>
              <w:pStyle w:val="LegendStandard"/>
            </w:pPr>
          </w:p>
          <w:p>
            <w:pPr>
              <w:pStyle w:val="LegendStandard"/>
            </w:pPr>
            <w:r>
              <w:rPr>
                <w:rStyle w:val="Bold"/>
              </w:rPr>
              <w:t>Ændringsforslag fra Parlamentet i form af en konsolideret tekst</w:t>
            </w:r>
          </w:p>
          <w:p>
            <w:pPr>
              <w:pStyle w:val="LegendStandard"/>
            </w:pPr>
          </w:p>
          <w:p>
            <w:pPr>
              <w:pStyle w:val="LegendStandard"/>
            </w:pPr>
            <w:r>
              <w:t xml:space="preserve">Ny tekst er markeret med </w:t>
            </w:r>
            <w:r>
              <w:rPr>
                <w:rStyle w:val="BoldItalic"/>
              </w:rPr>
              <w:t>fede typer og kursiv</w:t>
            </w:r>
            <w:r>
              <w:t xml:space="preserve">. Tekst, som er bortfaldet, markeres med symbolet ▌eller med overstregning. Ved udskiftninger markeres den nye tekst med </w:t>
            </w:r>
            <w:r>
              <w:rPr>
                <w:rStyle w:val="BoldItalic"/>
              </w:rPr>
              <w:t>fede typer og kursiv</w:t>
            </w:r>
            <w:r>
              <w:t>, og den udskiftede tekst slettes eller overstreges.</w:t>
            </w:r>
            <w:r>
              <w:br/>
            </w:r>
            <w:r>
              <w:t>Som en undtagelse bliver rent tekniske justeringer, der er foretaget af de berørte tjenestegrene med henblik på udarbejdelsen af den endelige tekst, ikke markeret.</w:t>
            </w:r>
          </w:p>
          <w:p>
            <w:pPr>
              <w:pStyle w:val="LegendStandard"/>
            </w:pPr>
          </w:p>
        </w:tc>
      </w:tr>
    </w:tbl>
    <w:p/>
    <w:p/>
    <w:p>
      <w:pPr>
        <w:pStyle w:val="TOCHeading"/>
      </w:pPr>
      <w:r>
        <w:br w:type="page"/>
      </w:r>
      <w:r>
        <w:t>INDHOLD</w:t>
      </w:r>
    </w:p>
    <w:p>
      <w:pPr>
        <w:pStyle w:val="TOCPage"/>
      </w:pPr>
      <w:r>
        <w:t>Side</w:t>
      </w:r>
    </w:p>
    <w:p>
      <w:pPr>
        <w:pStyle w:val="TOC1"/>
        <w:tabs>
          <w:tab w:val="right" w:leader="dot" w:pos="9062"/>
        </w:tabs>
        <w:rPr>
          <w:rFonts w:ascii="Calibri" w:hAnsi="Calibri"/>
          <w:noProof/>
          <w:sz w:val="22"/>
        </w:rPr>
      </w:pPr>
      <w:r>
        <w:fldChar w:fldCharType="begin"/>
      </w:r>
      <w:r>
        <w:instrText>TOC \t "PageHeading"</w:instrText>
      </w:r>
      <w:r>
        <w:fldChar w:fldCharType="separate"/>
      </w:r>
      <w:r>
        <w:t>FORSLAG TIL EUROPA-PARLAMENTETS LOVGIVNINGSMÆSSIGE BESLUTNING</w:t>
      </w:r>
      <w:r>
        <w:tab/>
      </w:r>
      <w:r>
        <w:fldChar w:fldCharType="begin"/>
      </w:r>
      <w:r>
        <w:instrText xml:space="preserve"> PAGEREF _Toc256000002 \h </w:instrText>
      </w:r>
      <w:r>
        <w:fldChar w:fldCharType="separate"/>
      </w:r>
      <w:r>
        <w:t>5</w:t>
      </w:r>
      <w:r>
        <w:fldChar w:fldCharType="end"/>
      </w:r>
    </w:p>
    <w:p>
      <w:pPr>
        <w:pStyle w:val="TOC1"/>
        <w:tabs>
          <w:tab w:val="right" w:leader="dot" w:pos="9062"/>
        </w:tabs>
        <w:rPr>
          <w:rFonts w:ascii="Calibri" w:hAnsi="Calibri"/>
          <w:noProof/>
          <w:sz w:val="22"/>
        </w:rPr>
      </w:pPr>
      <w:r>
        <w:t>BEGRUNDELSE</w:t>
      </w:r>
      <w:r>
        <w:tab/>
      </w:r>
      <w:r>
        <w:fldChar w:fldCharType="begin"/>
      </w:r>
      <w:r>
        <w:instrText xml:space="preserve"> PAGEREF _Toc256000003 \h </w:instrText>
      </w:r>
      <w:r>
        <w:fldChar w:fldCharType="separate"/>
      </w:r>
      <w:r>
        <w:t>22</w:t>
      </w:r>
      <w:r>
        <w:fldChar w:fldCharType="end"/>
      </w:r>
    </w:p>
    <w:p>
      <w:pPr>
        <w:pStyle w:val="Normal12b"/>
      </w:pPr>
      <w:r>
        <w:fldChar w:fldCharType="end"/>
      </w:r>
    </w:p>
    <w:p>
      <w:pPr>
        <w:pStyle w:val="CoverNormalLeft"/>
      </w:pPr>
    </w:p>
    <w:p>
      <w:pPr>
        <w:pStyle w:val="PageHeading"/>
      </w:pPr>
      <w:r>
        <w:br w:type="page"/>
      </w:r>
      <w:r>
        <w:br w:type="page"/>
      </w:r>
      <w:bookmarkStart w:id="0" w:name="_Toc256000002"/>
      <w:r>
        <w:t>FORSLAG TIL EUROPA-PARLAMENTETS LOVGIVNINGSMÆSSIGE BESLUTNING</w:t>
      </w:r>
      <w:bookmarkEnd w:id="0"/>
    </w:p>
    <w:p>
      <w:pPr>
        <w:pStyle w:val="NormalBold"/>
      </w:pPr>
      <w:r>
        <w:t>om forslag til Europa-Parlamentets og Rådets forordning om midlertidig fravigelse af visse bestemmelser i forordning (EU) 2017/2226 og forordning (EU) 2016/399 for så vidt angår den gradvise idriftsættelse af ind- og udrejsesystemet</w:t>
      </w:r>
    </w:p>
    <w:p>
      <w:pPr>
        <w:pStyle w:val="NormalBold12a"/>
      </w:pPr>
      <w:r>
        <w:t>(COM(2024)0567 – C10-0207/2024 – 2024/0315(COD))</w:t>
      </w:r>
    </w:p>
    <w:p>
      <w:pPr>
        <w:pStyle w:val="NormalBold12a"/>
      </w:pPr>
      <w:r>
        <w:t>(Almindelig lovgivningsprocedure: førstebehandling)</w:t>
      </w:r>
    </w:p>
    <w:p>
      <w:pPr>
        <w:pStyle w:val="EPComma"/>
      </w:pPr>
      <w:r>
        <w:rPr>
          <w:rStyle w:val="Italic"/>
        </w:rPr>
        <w:t>Europa-Parlamentet</w:t>
      </w:r>
      <w:r>
        <w:t>,</w:t>
      </w:r>
    </w:p>
    <w:p>
      <w:pPr>
        <w:pStyle w:val="NormalHanging12a"/>
      </w:pPr>
      <w:r>
        <w:t>–</w:t>
      </w:r>
      <w:r>
        <w:tab/>
      </w:r>
      <w:r>
        <w:t>der henviser til Kommissionens forslag til Europa-Parlamentet og Rådet (COM(2024)0567),</w:t>
      </w:r>
    </w:p>
    <w:p>
      <w:pPr>
        <w:pStyle w:val="NormalHanging12a"/>
      </w:pPr>
      <w:r>
        <w:t>–</w:t>
      </w:r>
      <w:r>
        <w:tab/>
      </w:r>
      <w:r>
        <w:t>der henviser til artikel 294, stk. 2, artikel 77, stk. 2, litra b) og d), og artikel 87, stk. 2, litra a), i traktaten om Den Europæiske Unions funktionsmåde, på grundlag af hvilke Kommissionen har forelagt forslaget for Parlamentet (C10-0207/2024),</w:t>
      </w:r>
    </w:p>
    <w:p>
      <w:pPr>
        <w:pStyle w:val="NormalHanging12a"/>
      </w:pPr>
      <w:r>
        <w:t>–</w:t>
      </w:r>
      <w:r>
        <w:tab/>
      </w:r>
      <w:r>
        <w:t>der henviser til artikel 294, stk. 3, i traktaten om Den Europæiske Unions funktionsmåde,</w:t>
      </w:r>
    </w:p>
    <w:p>
      <w:pPr>
        <w:pStyle w:val="NormalHanging12a"/>
      </w:pPr>
      <w:r>
        <w:t>–</w:t>
      </w:r>
      <w:r>
        <w:tab/>
      </w:r>
      <w:r>
        <w:t>der henviser til forretningsordenens artikel 60,</w:t>
      </w:r>
    </w:p>
    <w:p>
      <w:pPr>
        <w:pStyle w:val="NormalHanging12a"/>
      </w:pPr>
      <w:r>
        <w:t>–</w:t>
      </w:r>
      <w:r>
        <w:tab/>
      </w:r>
      <w:r>
        <w:t>der henviser til betænkning fra Udvalget om Borgernes Rettigheder og Retlige og Indre Anliggender (A10-0000/2025),</w:t>
      </w:r>
    </w:p>
    <w:p>
      <w:pPr>
        <w:pStyle w:val="NormalHanging12a"/>
      </w:pPr>
      <w:r>
        <w:t>1.</w:t>
      </w:r>
      <w:r>
        <w:tab/>
      </w:r>
      <w:r>
        <w:t>vedtager nedenstående holdning ved førstebehandling;</w:t>
      </w:r>
    </w:p>
    <w:p>
      <w:pPr>
        <w:pStyle w:val="NormalHanging12a"/>
      </w:pPr>
      <w:r>
        <w:t>2.</w:t>
      </w:r>
      <w:r>
        <w:tab/>
      </w:r>
      <w:r>
        <w:t>anmoder om fornyet forelæggelse, hvis Kommissionen erstatter, i væsentlig grad ændrer eller agter i væsentlig grad at ændre sit forslag;</w:t>
      </w:r>
    </w:p>
    <w:p>
      <w:pPr>
        <w:pStyle w:val="NormalHanging12a"/>
      </w:pPr>
      <w:r>
        <w:t>3.</w:t>
      </w:r>
      <w:r>
        <w:tab/>
      </w:r>
      <w:r>
        <w:t>pålægger sin formand at sende Parlamentets holdning til Rådet og Kommissionen samt til de nationale parlamenter.</w:t>
      </w:r>
    </w:p>
    <w:p>
      <w:pPr>
        <w:pStyle w:val="AmNumberTabs"/>
      </w:pPr>
      <w:r>
        <w:br w:type="page"/>
      </w: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Forordning (EU) 2017/2226 giver kun mulighed for fuld idriftsættelse, hvilket kræver, at alle medlemsstaterne begynder at anvende EES fuldt ud på alle tredjelandsstatsborgere, der er omfattet af EES-registrering, og anvender EES samtidigt ved alle deres grænseovergangssteder.</w:t>
            </w:r>
          </w:p>
        </w:tc>
        <w:tc>
          <w:tcPr>
            <w:tcW w:w="4876" w:type="dxa"/>
            <w:vAlign w:val="top"/>
          </w:tcPr>
          <w:p>
            <w:pPr>
              <w:pStyle w:val="Normal6a"/>
            </w:pPr>
            <w:r>
              <w:t>(3)</w:t>
            </w:r>
            <w:r>
              <w:tab/>
            </w:r>
            <w:r>
              <w:t xml:space="preserve">Forordning (EU) 2017/2226 giver kun mulighed for fuld idriftsættelse, hvilket kræver, at alle medlemsstaterne begynder at anvende EES fuldt ud på alle tredjelandsstatsborgere, der er omfattet af EES-registrering, og anvender EES samtidigt ved alle deres grænseovergangssteder. </w:t>
            </w:r>
            <w:r>
              <w:rPr>
                <w:b/>
                <w:i/>
                <w:strike w:val="0"/>
                <w:color w:val="auto"/>
                <w:highlight w:val="none"/>
                <w:u w:val="none" w:color="auto"/>
                <w:vertAlign w:val="baseline"/>
              </w:rPr>
              <w:t>En fuldstændig idriftsættelse af alle EES' funktioner ved alle grænseovergangssteder samtidigt udgør imidlertid en risikofaktor for modstandsdygtigheden af EES som helhed og for passagerstrømmene ved de ydre grænser.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For at give medlemsstaterne den nødvendige fleksibilitet </w:t>
            </w:r>
            <w:r>
              <w:rPr>
                <w:b/>
                <w:i/>
                <w:strike w:val="0"/>
                <w:color w:val="auto"/>
                <w:highlight w:val="none"/>
                <w:u w:val="none" w:color="auto"/>
                <w:vertAlign w:val="baseline"/>
              </w:rPr>
              <w:t>til at begynde</w:t>
            </w:r>
            <w:r>
              <w:t xml:space="preserve"> at anvende EES </w:t>
            </w:r>
            <w:r>
              <w:rPr>
                <w:b/>
                <w:i/>
                <w:strike w:val="0"/>
                <w:color w:val="auto"/>
                <w:highlight w:val="none"/>
                <w:u w:val="none" w:color="auto"/>
                <w:vertAlign w:val="baseline"/>
              </w:rPr>
              <w:t>på grundlag af, hvor parate de er,</w:t>
            </w:r>
            <w:r>
              <w:t xml:space="preserve"> og lette de tekniske og operationelle tilpasninger, når de påbegynder driften af EES, er det nødvendigt at fastsætte regler for en gradvis idriftsættelse af EES. For at sikre, at disse tilpasninger afspejler potentielle rejsestrømme og sæsonbestemte spidsbelastninger, bør en sådan gradvis idriftsættelse vare 180 kalenderdage.</w:t>
            </w:r>
          </w:p>
        </w:tc>
        <w:tc>
          <w:tcPr>
            <w:tcW w:w="4876" w:type="dxa"/>
            <w:vAlign w:val="top"/>
          </w:tcPr>
          <w:p>
            <w:pPr>
              <w:pStyle w:val="Normal6a"/>
            </w:pPr>
            <w:r>
              <w:t>(4)</w:t>
            </w:r>
            <w:r>
              <w:tab/>
            </w:r>
            <w:r>
              <w:t>For at give medlemsstaterne den nødvendige fleksibilitet</w:t>
            </w:r>
            <w:r>
              <w:rPr>
                <w:b/>
                <w:i/>
                <w:strike w:val="0"/>
                <w:color w:val="auto"/>
                <w:highlight w:val="none"/>
                <w:u w:val="none" w:color="auto"/>
                <w:vertAlign w:val="baseline"/>
              </w:rPr>
              <w:t>, hvor de begynder</w:t>
            </w:r>
            <w:r>
              <w:t xml:space="preserve"> at anvende EES, og lette de tekniske og operationelle tilpasninger, når de påbegynder driften af EES, er det nødvendigt at fastsætte regler for en gradvis idriftsættelse </w:t>
            </w:r>
            <w:r>
              <w:rPr>
                <w:b/>
                <w:i/>
                <w:strike w:val="0"/>
                <w:color w:val="auto"/>
                <w:highlight w:val="none"/>
                <w:u w:val="none" w:color="auto"/>
                <w:vertAlign w:val="baseline"/>
              </w:rPr>
              <w:t>af EES, under hvilken medlemsstaterne bør kunne vælge en gradvis udrulning</w:t>
            </w:r>
            <w:r>
              <w:t xml:space="preserve"> af EES. For at sikre, at disse tilpasninger afspejler potentielle rejsestrømme og sæsonbestemte spidsbelastninger, bør en sådan gradvis idriftsættelse vare 180 kalenderdage.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For at muliggøre en gradvis idriftsættelse af EES er det derfor nødvendigt at fravige visse bestemmelser i Europa-Parlamentets og Rådets forordning (EU) 2017/2226 og Europa-Parlamentets og Rådets forordning (EU) 2016/399 ("Schengengrænsekodeksen"). Andre regler i forordning (EU) 2017/2226, som ikke berøres af nærværende forordning, finder anvendelse som fastsat i nævnte forordning. Navnlig gælder det, at de oplysninger, der registreres i EES under den gradvise idriftsættelse, skal overholde reglerne i forordning (EU) 2017/2226, og anses for at være pålidelige og nøjagtige.</w:t>
            </w:r>
            <w:r>
              <w:rPr>
                <w:rStyle w:val="Sup"/>
              </w:rPr>
              <w:t>3</w:t>
            </w:r>
          </w:p>
        </w:tc>
        <w:tc>
          <w:tcPr>
            <w:tcW w:w="4876" w:type="dxa"/>
            <w:vAlign w:val="top"/>
          </w:tcPr>
          <w:p>
            <w:pPr>
              <w:pStyle w:val="Normal6a"/>
            </w:pPr>
            <w:r>
              <w:t>(5)</w:t>
            </w:r>
            <w:r>
              <w:tab/>
            </w:r>
            <w:r>
              <w:t>For at muliggøre en gradvis idriftsættelse af EES er det derfor nødvendigt at fravige visse bestemmelser i Europa-Parlamentets og Rådets forordning (EU) 2017/2226 og Europa-Parlamentets og Rådets forordning (EU) 2016/399</w:t>
            </w:r>
            <w:r>
              <w:rPr>
                <w:rStyle w:val="Sup"/>
              </w:rPr>
              <w:t>3</w:t>
            </w:r>
            <w:r>
              <w:t xml:space="preserve"> ("Schengengrænsekodeksen"). Andre regler i forordning (EU) 2017/2226, som ikke berøres af nærværende forordning, finder anvendelse som fastsat i nævnte forordning. Navnlig gælder det, at de oplysninger, der registreres i EES under den gradvise idriftsættelse, skal overholde reglerne i forordning (EU) 2017/2226, og anses for at være pålidelige og nøjagtige. </w:t>
            </w:r>
            <w:r>
              <w:rPr>
                <w:b/>
                <w:i/>
                <w:strike w:val="0"/>
                <w:color w:val="auto"/>
                <w:highlight w:val="none"/>
                <w:u w:val="none" w:color="auto"/>
                <w:vertAlign w:val="baseline"/>
              </w:rPr>
              <w:t>Nærværende forordning berører ikke gyldigheden af de underretninger til Kommissionen, som medlemsstaterne allerede har foretaget i henhold til artikel 66, stk. 1, i forordning (EU) 2017/2226.</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_________________</w:t>
            </w: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rStyle w:val="Sup"/>
              </w:rPr>
              <w:t>3</w:t>
            </w:r>
            <w:r>
              <w:t xml:space="preserve"> </w:t>
            </w:r>
            <w:r>
              <w:t>Europa-Parlamentets og Rådets forordning (EU) 2016/399 af 9. marts 2016 om en EU-kodeks for personers grænsepassage (Schengengrænsekodeks) (EUT L 77 af 23.3.2016, s. 1, ELI: http://data.europa.eu/eli/reg/2016/399/oj).</w:t>
            </w:r>
          </w:p>
        </w:tc>
        <w:tc>
          <w:tcPr>
            <w:tcW w:w="4876" w:type="dxa"/>
            <w:vAlign w:val="top"/>
          </w:tcPr>
          <w:p>
            <w:pPr>
              <w:pStyle w:val="Normal6a"/>
            </w:pPr>
            <w:r>
              <w:rPr>
                <w:rStyle w:val="Sup"/>
              </w:rPr>
              <w:t>3</w:t>
            </w:r>
            <w:r>
              <w:t xml:space="preserve"> </w:t>
            </w:r>
            <w:r>
              <w:t>Europa-Parlamentets og Rådets forordning (EU) 2016/399 af 9. marts 2016 om en EU-kodeks for personers grænsepassage (Schengengrænsekodeks) (EUT L 77 af 23.3.2016, s. 1, ELI: http://data.europa.eu/eli/reg/2016/399/oj).</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rPr>
                <w:b/>
                <w:i/>
                <w:strike w:val="0"/>
                <w:color w:val="auto"/>
                <w:highlight w:val="none"/>
                <w:u w:val="none" w:color="auto"/>
                <w:vertAlign w:val="baseline"/>
              </w:rPr>
              <w:t>Medlemsstaterne</w:t>
            </w:r>
            <w:r>
              <w:t xml:space="preserve"> bør ved et eller flere grænseovergangssteder gradvist begynde at anvende EES til ved ind- og udrejse at registrere oplysninger om de tredjelandsstatsborgere, der er omfattet af EES-registrering. Hvis det er muligt og relevant, bør medlemsstaterne gennemføre dette for en kombination af grænseovergangssteder ved luft-, land- og søgrænser. For at sikre en kontrolleret idriftsættelse af EES og for bedre at kunne forvalte og undgå potentielle lange ventetider ved grænserne bør medlemsstaterne, hvor det er relevant, gradvist anvende alle EES' funktioner og gradvist registrere oplysninger om alle de tredjelandsstatsborgere, der er omfattet af EES-registrering. For at sikre </w:t>
            </w:r>
            <w:r>
              <w:rPr>
                <w:b/>
                <w:i/>
                <w:strike w:val="0"/>
                <w:color w:val="auto"/>
                <w:highlight w:val="none"/>
                <w:u w:val="none" w:color="auto"/>
                <w:vertAlign w:val="baseline"/>
              </w:rPr>
              <w:t>en koordineret tilgang</w:t>
            </w:r>
            <w:r>
              <w:t xml:space="preserve"> bør den gradvise idriftsættelse </w:t>
            </w:r>
            <w:r>
              <w:rPr>
                <w:b/>
                <w:i/>
                <w:strike w:val="0"/>
                <w:color w:val="auto"/>
                <w:highlight w:val="none"/>
                <w:u w:val="none" w:color="auto"/>
                <w:vertAlign w:val="baseline"/>
              </w:rPr>
              <w:t>gennemføres i faser</w:t>
            </w:r>
            <w:r>
              <w:t xml:space="preserve">, for hvilke der skal fastsættes minimumskrav, som medlemsstaterne skal opfylde. </w:t>
            </w:r>
            <w:r>
              <w:rPr>
                <w:b/>
                <w:i/>
                <w:strike w:val="0"/>
                <w:color w:val="auto"/>
                <w:highlight w:val="none"/>
                <w:u w:val="none" w:color="auto"/>
                <w:vertAlign w:val="baseline"/>
              </w:rPr>
              <w:t>Medlemsstaterne vil have mulighed for at fremskynde gennemførelsen på nationalt plan eller påbegynde driften af EES fuldt ud fra begyndelsen af den gradvise idriftsættelse.</w:t>
            </w:r>
          </w:p>
        </w:tc>
        <w:tc>
          <w:tcPr>
            <w:tcW w:w="4876" w:type="dxa"/>
            <w:vAlign w:val="top"/>
          </w:tcPr>
          <w:p>
            <w:pPr>
              <w:pStyle w:val="Normal6a"/>
            </w:pPr>
            <w:r>
              <w:t>(6)</w:t>
            </w:r>
            <w:r>
              <w:tab/>
            </w:r>
            <w:r>
              <w:rPr>
                <w:b/>
                <w:i/>
                <w:strike w:val="0"/>
                <w:color w:val="auto"/>
                <w:highlight w:val="none"/>
                <w:u w:val="none" w:color="auto"/>
                <w:vertAlign w:val="baseline"/>
              </w:rPr>
              <w:t>Medlemsstater, som ikke påbegynder en fuldstændig drift af EES ved alle deres grænseovergangssteder samtidigt,</w:t>
            </w:r>
            <w:r>
              <w:t xml:space="preserve"> bør ved et eller flere grænseovergangssteder gradvist begynde at anvende EES til ved ind- og udrejse at registrere oplysninger om de tredjelandsstatsborgere, der er omfattet af EES-registrering. Hvis det er muligt og relevant, bør medlemsstaterne gennemføre dette for en kombination af grænseovergangssteder ved luft-, land- og søgrænser. For at sikre en kontrolleret idriftsættelse af EES og for bedre at kunne forvalte og undgå potentielle lange ventetider ved grænserne bør medlemsstaterne, hvor det er relevant, gradvist anvende alle EES' funktioner og gradvist registrere oplysninger om alle de tredjelandsstatsborgere, der er omfattet af EES-registrering. For at sikre </w:t>
            </w:r>
            <w:r>
              <w:rPr>
                <w:b/>
                <w:i/>
                <w:strike w:val="0"/>
                <w:color w:val="auto"/>
                <w:highlight w:val="none"/>
                <w:u w:val="none" w:color="auto"/>
                <w:vertAlign w:val="baseline"/>
              </w:rPr>
              <w:t>målet om fuld anvendelse af EES ved alle grænseovergangssteder i Unionen</w:t>
            </w:r>
            <w:r>
              <w:t xml:space="preserve"> bør den gradvise idriftsættelse </w:t>
            </w:r>
            <w:r>
              <w:rPr>
                <w:b/>
                <w:i/>
                <w:strike w:val="0"/>
                <w:color w:val="auto"/>
                <w:highlight w:val="none"/>
                <w:u w:val="none" w:color="auto"/>
                <w:vertAlign w:val="baseline"/>
              </w:rPr>
              <w:t>omfatte tærskler</w:t>
            </w:r>
            <w:r>
              <w:t>, for hvilke der skal fastsættes minimumskrav, som medlemsstaterne skal opfylde.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For at fremme en gnidningsløs udrulning af EES bør Den Europæiske Unions Agentur for den Operationelle Forvaltning af Store IT-Systemer inden for Området med Frihed, Sikkerhed og Retfærdighed (eu-LISA) udarbejde en overordnet udrulningsplan med henblik på at vejlede medlemsstaterne og EU-agenturerne om planlægningen og gennemførelsen af udrulningen af EES under den gradvise idriftsættelse, og agenturet bør forelægge den for Kommissionen, medlemsstaterne og EU-agenturerne. </w:t>
            </w:r>
            <w:r>
              <w:rPr>
                <w:b/>
                <w:i/>
                <w:strike w:val="0"/>
                <w:color w:val="auto"/>
                <w:highlight w:val="none"/>
                <w:u w:val="none" w:color="auto"/>
                <w:vertAlign w:val="baseline"/>
              </w:rPr>
              <w:t>Denne plan bør for hver udrulningsfase omfatte det centrale systems kapacitetsgrænser som angivet af eu-LISA. Medlemsstaternes beslutninger om at påbegynde eller fremskynde idriftsættelsen bør tage hensyn til det centrale systems kapacitet som skitseret i den overordnede udrulningsplan.</w:t>
            </w:r>
          </w:p>
        </w:tc>
        <w:tc>
          <w:tcPr>
            <w:tcW w:w="4876" w:type="dxa"/>
            <w:vAlign w:val="top"/>
          </w:tcPr>
          <w:p>
            <w:pPr>
              <w:pStyle w:val="Normal6a"/>
            </w:pPr>
            <w:r>
              <w:t>(7)</w:t>
            </w:r>
            <w:r>
              <w:tab/>
            </w:r>
            <w:r>
              <w:t>For at fremme en gnidningsløs udrulning af EES bør Den Europæiske Unions Agentur for den Operationelle Forvaltning af Store IT-Systemer inden for Området med Frihed, Sikkerhed og Retfærdighed (eu-LISA) udarbejde en overordnet udrulningsplan med henblik på at vejlede medlemsstaterne og EU-agenturerne om planlægningen og gennemførelsen af udrulningen af EES under den gradvise idriftsættelse, og agenturet bør forelægge den for Kommissionen, medlemsstaterne og EU-agenturerne.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8</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(8)</w:t>
            </w:r>
            <w:r>
              <w:tab/>
            </w:r>
            <w:r>
              <w:t xml:space="preserve">For at fremme en gnidningsløs udrulning af EES bør medlemsstaterne </w:t>
            </w:r>
            <w:r>
              <w:rPr>
                <w:b/>
                <w:i/>
                <w:strike w:val="0"/>
                <w:color w:val="auto"/>
                <w:highlight w:val="none"/>
                <w:u w:val="none" w:color="auto"/>
                <w:vertAlign w:val="baseline"/>
              </w:rPr>
              <w:t>udarbejde nationale udrulningsplaner</w:t>
            </w:r>
            <w:r>
              <w:t xml:space="preserve"> i samråd med Kommissionen og eu-LISA. For hver fase af den gradvise idriftsættelse af EES bør de nationale udrulningsplaner indeholde oplysninger om de fastsatte tærskler og krav, navnlig: i) den dato, hvorfra EES vil være i drift ved hvert grænseovergangssted ii) procentdelen af det anslåede antal grænsepassager, der skal registreres i EES, ud af det samlede antal tredjelandsstatsborgere, der er omfattet af EES-registrering, og iii) hvor det er relevant, de biometriske funktioner, der skal anvendes ved hvert udvalgt grænseovergangssted. Ved udarbejdelsen af deres respektive nationale udrulningsplaner opfordres medlemsstaterne til på passende vis at koordinere med operatørerne af infrastrukturen ved grænseovergangsstederne. For at overvåge overholdelsen af den gradvise idriftsættelse bør medlemsstaterne forelægge Kommissionen og eu-LISA månedlige rapporter om gennemførelsen af deres udrulningsplaner. Sådanne månedlige rapporter bør om nødvendigt indeholde korrigerende foranstaltninger for at sikre overholdelse af den gradvise idriftsættelse.</w:t>
            </w:r>
          </w:p>
        </w:tc>
        <w:tc>
          <w:tcPr>
            <w:tcW w:w="4876" w:type="dxa"/>
            <w:vAlign w:val="top"/>
          </w:tcPr>
          <w:p>
            <w:pPr>
              <w:pStyle w:val="Normal6a"/>
            </w:pPr>
            <w:r>
              <w:t>(8)</w:t>
            </w:r>
            <w:r>
              <w:tab/>
            </w:r>
            <w:r>
              <w:t>For at fremme en gnidningsløs udrulning af EES bør medlemsstaterne</w:t>
            </w:r>
            <w:r>
              <w:rPr>
                <w:b/>
                <w:i/>
                <w:strike w:val="0"/>
                <w:color w:val="auto"/>
                <w:highlight w:val="none"/>
                <w:u w:val="none" w:color="auto"/>
                <w:vertAlign w:val="baseline"/>
              </w:rPr>
              <w:t>,</w:t>
            </w:r>
            <w:r>
              <w:t xml:space="preserve"> i samråd med Kommissionen og eu-LISA</w:t>
            </w:r>
            <w:r>
              <w:rPr>
                <w:b/>
                <w:i/>
                <w:strike w:val="0"/>
                <w:color w:val="auto"/>
                <w:highlight w:val="none"/>
                <w:u w:val="none" w:color="auto"/>
                <w:vertAlign w:val="baseline"/>
              </w:rPr>
              <w:t>, udarbejde nationale udrulningsplaner og forelægge disse planer for Kommissionen</w:t>
            </w:r>
            <w:r>
              <w:t>. For hver fase af den gradvise idriftsættelse af EES bør de nationale udrulningsplaner indeholde oplysninger om de fastsatte tærskler og krav, navnlig: i) den dato, hvorfra EES vil være i drift ved hvert grænseovergangssted ii) procentdelen af det anslåede antal grænsepassager, der skal registreres i EES, ud af det samlede antal tredjelandsstatsborgere, der er omfattet af EES-registrering, og iii) hvor det er relevant, de biometriske funktioner, der skal anvendes ved hvert udvalgt grænseovergangssted. Ved udarbejdelsen af deres respektive nationale udrulningsplaner opfordres medlemsstaterne til på passende vis at koordinere med operatørerne af infrastrukturen ved grænseovergangsstederne. For at overvåge overholdelsen af den gradvise idriftsættelse bør medlemsstaterne forelægge Kommissionen og eu-LISA månedlige rapporter om gennemførelsen af deres udrulningsplaner. Sådanne månedlige rapporter bør om nødvendigt indeholde korrigerende foranstaltninger for at sikre overholdelse af den gradvise idriftsættelse.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(9)</w:t>
            </w:r>
            <w:r>
              <w:tab/>
            </w:r>
            <w:r>
              <w:t xml:space="preserve">På grund af den gradvise idriftsættelse af EES, og da de oplysninger, der er registreret i EES, </w:t>
            </w:r>
            <w:r>
              <w:rPr>
                <w:b/>
                <w:i/>
                <w:strike w:val="0"/>
                <w:color w:val="auto"/>
                <w:highlight w:val="none"/>
                <w:u w:val="none" w:color="auto"/>
                <w:vertAlign w:val="baseline"/>
              </w:rPr>
              <w:t>muligvis</w:t>
            </w:r>
            <w:r>
              <w:t xml:space="preserve"> er ufuldstændige, bør tredjelandsstatsborgeres rejsedokumenter systematisk stemples ved ind- og udrejse under den gradvise idriftsættelse af EES. De nationale myndigheder bør tage hensyn til, at registreringer af ind- og udrejser eller af nægtelser af indrejse muligvis er ufuldstændige, og bør anse stempler for at have forrang for de oplysninger, der er registreret i EES. Når de nationale myndigheder giver tredjelandsstatsborgere oplysninger om den maksimale resterende varighed af deres tilladte ophold, bør de desuden basere deres vurdering på stemplerne i rejsedokumenterne. De oplysninger, der er registreret i EES, bør have forrang, hvis der mangler et stempel.</w:t>
            </w:r>
          </w:p>
        </w:tc>
        <w:tc>
          <w:tcPr>
            <w:tcW w:w="4876" w:type="dxa"/>
            <w:vAlign w:val="top"/>
          </w:tcPr>
          <w:p>
            <w:pPr>
              <w:pStyle w:val="Normal6a"/>
            </w:pPr>
            <w:r>
              <w:t>(9)</w:t>
            </w:r>
            <w:r>
              <w:tab/>
            </w:r>
            <w:r>
              <w:t xml:space="preserve">På grund af den gradvise idriftsættelse af EES, og da de oplysninger, der er registreret i EES, </w:t>
            </w:r>
            <w:r>
              <w:rPr>
                <w:b/>
                <w:i/>
                <w:strike w:val="0"/>
                <w:color w:val="auto"/>
                <w:highlight w:val="none"/>
                <w:u w:val="none" w:color="auto"/>
                <w:vertAlign w:val="baseline"/>
              </w:rPr>
              <w:t>følgelig</w:t>
            </w:r>
            <w:r>
              <w:t xml:space="preserve"> er ufuldstændige, bør tredjelandsstatsborgeres rejsedokumenter systematisk stemples ved ind- og udrejse under den gradvise idriftsættelse af EES. De nationale myndigheder bør tage hensyn til, at registreringer af ind- og udrejser eller af nægtelser af indrejse muligvis er ufuldstændige, og bør anse stempler for at have forrang for de oplysninger, der er registreret i EES. Når de nationale myndigheder giver tredjelandsstatsborgere oplysninger om den maksimale resterende varighed af deres tilladte ophold, bør de desuden basere deres vurdering på stemplerne i rejsedokumenterne. De oplysninger, der er registreret i EES, bør have forrang, hvis der mangler et stempel.</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11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(11)</w:t>
            </w:r>
            <w:r>
              <w:tab/>
            </w:r>
            <w:r>
              <w:t xml:space="preserve">For at give medlemsstaterne den fornødne tid til at tilpasse sig til EES i de første 60 kalenderdage efter den gradvise idriftsættelse bør det ikke være obligatorisk at anvende biometriske funktioner ved grænseovergangsstederne. Senest den 90. kalenderdag </w:t>
            </w:r>
            <w:r>
              <w:rPr>
                <w:b/>
                <w:i/>
                <w:strike w:val="0"/>
                <w:color w:val="auto"/>
                <w:highlight w:val="none"/>
                <w:u w:val="none" w:color="auto"/>
                <w:vertAlign w:val="baseline"/>
              </w:rPr>
              <w:t>efter</w:t>
            </w:r>
            <w:r>
              <w:t xml:space="preserve"> den gradvise idriftsættelse bør medlemsstaterne anvende EES med biometriske funktioner ved mindst halvdelen af deres grænseovergangssteder. Forelæggelse af biometriske oplysninger bør ikke være en indrejsebetingelse for tredjelandsstatsborgere, der er omfattet af EES-registrering, ved de grænseovergangssteder, hvor EES anvendes uden biometriske funktioner.</w:t>
            </w:r>
          </w:p>
        </w:tc>
        <w:tc>
          <w:tcPr>
            <w:tcW w:w="4876" w:type="dxa"/>
            <w:vAlign w:val="top"/>
          </w:tcPr>
          <w:p>
            <w:pPr>
              <w:pStyle w:val="Normal6a"/>
            </w:pPr>
            <w:r>
              <w:t>(11)</w:t>
            </w:r>
            <w:r>
              <w:tab/>
            </w:r>
            <w:r>
              <w:t xml:space="preserve">For at give medlemsstaterne den fornødne tid til at tilpasse sig til EES i de første 60 kalenderdage efter den gradvise idriftsættelse bør det ikke være obligatorisk at anvende biometriske funktioner ved grænseovergangsstederne. Senest den 90. kalenderdag </w:t>
            </w:r>
            <w:r>
              <w:rPr>
                <w:b/>
                <w:i/>
                <w:strike w:val="0"/>
                <w:color w:val="auto"/>
                <w:highlight w:val="none"/>
                <w:u w:val="none" w:color="auto"/>
                <w:vertAlign w:val="baseline"/>
              </w:rPr>
              <w:t>af</w:t>
            </w:r>
            <w:r>
              <w:t xml:space="preserve"> den gradvise idriftsættelse bør medlemsstaterne anvende EES med biometriske funktioner ved mindst halvdelen af deres grænseovergangssteder. Forelæggelse af biometriske oplysninger bør ikke være en indrejsebetingelse for tredjelandsstatsborgere, der er omfattet af EES-registrering, ved de grænseovergangssteder, hvor EES anvendes uden biometriske funktioner.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23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(23)</w:t>
            </w:r>
            <w:r>
              <w:tab/>
            </w:r>
            <w:r>
              <w:t xml:space="preserve">For at sikre en effektiv forvaltning af de ydre grænser under den gradvise idriftsættelse af EES ved de grænseovergangssteder, hvor EES ikke anvendes, bør ind- og udrejsekontrollen foretages i overensstemmelse med forordning (EU) 2016/399 i den affattelse, som finder anvendelse [dagen før den dato, fra hvilken EES skal idriftsættes, som fastsat af Kommissionen i overensstemmelse med artikel 66, stk. 1, i forordning (EU) 2017/2226]. Ved de grænseovergangssteder, hvor EES anvendes, bør der foretages ind- og udrejsekontrol i overensstemmelse med forordning (EU) 2017/2226 og Schengengrænsekodeksen. Der bør dog gælde specifikke fravigelser af disse forordninger for så vidt angår kontrol ved de grænseovergangssteder, hvor EES anvendes uden biometriske funktioner, for at muliggøre en gradvis idriftsættelse. Det bør ske, uden at det berører kontrollen af visumindehavere ved hjælp af fingeraftryk i overensstemmelse med forordning (EF) nr. </w:t>
            </w:r>
            <w:r>
              <w:rPr>
                <w:b/>
                <w:i/>
                <w:strike w:val="0"/>
                <w:color w:val="auto"/>
                <w:highlight w:val="none"/>
                <w:u w:val="none" w:color="auto"/>
                <w:vertAlign w:val="baseline"/>
              </w:rPr>
              <w:t>787</w:t>
            </w:r>
            <w:r>
              <w:t>/2008</w:t>
            </w:r>
            <w:r>
              <w:t>.</w:t>
            </w:r>
          </w:p>
        </w:tc>
        <w:tc>
          <w:tcPr>
            <w:tcW w:w="4876" w:type="dxa"/>
            <w:vAlign w:val="top"/>
          </w:tcPr>
          <w:p>
            <w:pPr>
              <w:pStyle w:val="Normal6a"/>
            </w:pPr>
            <w:r>
              <w:t>(23)</w:t>
            </w:r>
            <w:r>
              <w:tab/>
            </w:r>
            <w:r>
              <w:t>For at sikre en effektiv forvaltning af de ydre grænser under den gradvise idriftsættelse af EES ved de grænseovergangssteder, hvor EES ikke anvendes, bør ind- og udrejsekontrollen foretages i overensstemmelse med forordning (EU) 2016/399 i den affattelse, som finder anvendelse [dagen før den dato, fra hvilken EES skal idriftsættes, som fastsat af Kommissionen i overensstemmelse med artikel 66, stk. 1, i forordning (EU) 2017/2226]. Ved de grænseovergangssteder, hvor EES anvendes, bør der foretages ind- og udrejsekontrol i overensstemmelse med forordning (EU) 2017/2226 og Schengengrænsekodeksen. Der bør dog gælde specifikke fravigelser af disse forordninger for så vidt angår kontrol ved de grænseovergangssteder, hvor EES anvendes uden biometriske funktioner, for at muliggøre en gradvis idriftsættelse. Det bør ske, uden at det berører kontrollen af visumindehavere ved hjælp af fingeraftryk i overensstemmelse med forordning (EF) nr. </w:t>
            </w:r>
            <w:r>
              <w:rPr>
                <w:b/>
                <w:i/>
                <w:strike w:val="0"/>
                <w:color w:val="auto"/>
                <w:highlight w:val="none"/>
                <w:u w:val="none" w:color="auto"/>
                <w:vertAlign w:val="baseline"/>
              </w:rPr>
              <w:t>767</w:t>
            </w:r>
            <w:r>
              <w:t>/2008</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24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(24)</w:t>
            </w:r>
            <w:r>
              <w:tab/>
            </w:r>
            <w:r>
              <w:t xml:space="preserve">For at muliggøre en effektiv tilpasning af de tekniske og organisatoriske ordninger </w:t>
            </w:r>
            <w:r>
              <w:rPr>
                <w:b/>
                <w:i/>
                <w:strike w:val="0"/>
                <w:color w:val="auto"/>
                <w:highlight w:val="none"/>
                <w:u w:val="none" w:color="auto"/>
                <w:vertAlign w:val="baseline"/>
              </w:rPr>
              <w:t>under den gradvise idriftsættelse af EES i hver medlemsstat</w:t>
            </w:r>
            <w:r>
              <w:t xml:space="preserve"> og for at håndtere ekstraordinære tilfælde, hvor der opstår fejl i EES' centrale system, de nationale systemer eller kommunikationsinfrastrukturen, eller hvor der opstår uforholdsmæssigt lange ventetider ved grænserne, bør medlemsstaterne have mulighed for helt eller delvist at suspendere driften af EES ved visse grænseovergangssteder. I tilfælde af delvis suspension bør registreringen af biometriske oplysninger i EES suspenderes. I tilfælde af fuldstændig suspension bør der ikke registreres oplysninger i EES. </w:t>
            </w:r>
            <w:r>
              <w:rPr>
                <w:b/>
                <w:i/>
                <w:strike w:val="0"/>
                <w:color w:val="auto"/>
                <w:highlight w:val="none"/>
                <w:u w:val="none" w:color="auto"/>
                <w:vertAlign w:val="baseline"/>
              </w:rPr>
              <w:t>For at afbøde yderligere risici i forbindelse med udrulningen af EES med biometriske funktioner bør medlemsstaterne under ekstraordinære omstændigheder, der fører til en så intensiv trafik, at ventetiderne ved grænserne bliver uforholdsmæssigt lange, have mulighed for at suspendere registreringen af biometriske oplysninger i EES efter afslutningen af den gradvise idriftsættelse. En sådan suspension bør være mulig i en begrænset periode på 60 dage efter afslutningen af den gradvise idriftsættelse af EES og bør forlænges med 60 dage, hvis mindre end 80 % af de individuelle sagsmapper, der er blevet registreret i EES under den gradvise idriftsættelse af EES, indeholder biometriske oplysninger.</w:t>
            </w:r>
          </w:p>
        </w:tc>
        <w:tc>
          <w:tcPr>
            <w:tcW w:w="4876" w:type="dxa"/>
            <w:vAlign w:val="top"/>
          </w:tcPr>
          <w:p>
            <w:pPr>
              <w:pStyle w:val="Normal6a"/>
            </w:pPr>
            <w:r>
              <w:t>(24)</w:t>
            </w:r>
            <w:r>
              <w:tab/>
            </w:r>
            <w:r>
              <w:t xml:space="preserve">For at muliggøre en effektiv tilpasning af de tekniske og organisatoriske ordninger og for at håndtere </w:t>
            </w:r>
            <w:r>
              <w:rPr>
                <w:b/>
                <w:i/>
                <w:strike w:val="0"/>
                <w:color w:val="auto"/>
                <w:highlight w:val="none"/>
                <w:u w:val="none" w:color="auto"/>
                <w:vertAlign w:val="baseline"/>
              </w:rPr>
              <w:t>eventuelle</w:t>
            </w:r>
            <w:r>
              <w:t xml:space="preserve"> ekstraordinære tilfælde, hvor der opstår fejl i EES' centrale system, de nationale systemer eller kommunikationsinfrastrukturen, eller hvor der opstår uforholdsmæssigt lange ventetider ved grænserne, </w:t>
            </w:r>
            <w:r>
              <w:rPr>
                <w:b/>
                <w:i/>
                <w:strike w:val="0"/>
                <w:color w:val="auto"/>
                <w:highlight w:val="none"/>
                <w:u w:val="none" w:color="auto"/>
                <w:vertAlign w:val="baseline"/>
              </w:rPr>
              <w:t>under perioden med EES' gradvise idriftsættelse,</w:t>
            </w:r>
            <w:r>
              <w:t xml:space="preserve"> bør medlemsstaterne have mulighed for helt eller delvist at suspendere driften af EES ved visse grænseovergangssteder. I tilfælde af delvis suspension bør registreringen af biometriske oplysninger i EES suspenderes. I tilfælde af fuldstændig suspension bør der ikke registreres oplysninger i EES.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24 a (ny)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(24a)</w:t>
            </w:r>
            <w:r>
              <w:tab/>
            </w:r>
            <w:r>
              <w:rPr>
                <w:b/>
                <w:i/>
                <w:strike w:val="0"/>
                <w:color w:val="auto"/>
                <w:highlight w:val="none"/>
                <w:u w:val="none" w:color="auto"/>
                <w:vertAlign w:val="baseline"/>
              </w:rPr>
              <w:t>For at afbøde yderligere risici i forbindelse med udrulningen af EES med biometriske funktioner bør medlemsstaterne – under ekstraordinære omstændigheder, der fører til en så intensiv trafik, at ventetiderne ved grænserne bliver uforholdsmæssigt lange – have mulighed for at suspendere registreringen af biometriske oplysninger i EES efter afslutningen af den gradvise idriftsættelse. En sådan suspension bør være mulig i en begrænset periode på 60 dage efter afslutningen af EES' gradvise idriftsættelse.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Betragtning 27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(27)</w:t>
            </w:r>
            <w:r>
              <w:tab/>
            </w:r>
            <w:r>
              <w:t>Målet for denne forordning, der giver mulighed for fravigelse af forordning (EU) 2017/2226 og forordning (EU) 2016/</w:t>
            </w:r>
            <w:r>
              <w:rPr>
                <w:b/>
                <w:i/>
                <w:strike w:val="0"/>
                <w:color w:val="auto"/>
                <w:highlight w:val="none"/>
                <w:u w:val="none" w:color="auto"/>
                <w:vertAlign w:val="baseline"/>
              </w:rPr>
              <w:t>299</w:t>
            </w:r>
            <w:r>
              <w:t xml:space="preserve"> for at sikre en gradvis idriftsættelse af EES, kan ikke i tilstrækkelig grad opfyldes af medlemsstaterne, men kan på grund af foranstaltningens omfang og virkninger bedre nås på EU-plan. Unionen kan derfor vedtage foranstaltninger i overensstemmelse med nærhedsprincippet, jf. artikel 5 i traktaten om Den Europæiske Union. I overensstemmelse med proportionalitetsprincippet, jf. nævnte artikel, går denne forordning ikke videre, end hvad der er nødvendigt for at nå disse mål.</w:t>
            </w:r>
          </w:p>
        </w:tc>
        <w:tc>
          <w:tcPr>
            <w:tcW w:w="4876" w:type="dxa"/>
            <w:vAlign w:val="top"/>
          </w:tcPr>
          <w:p>
            <w:pPr>
              <w:pStyle w:val="Normal6a"/>
            </w:pPr>
            <w:r>
              <w:t>(27)</w:t>
            </w:r>
            <w:r>
              <w:tab/>
            </w:r>
            <w:r>
              <w:t>Målet for denne forordning, der giver mulighed for fravigelse af forordning (EU) 2017/2226 og forordning (EU) 2016/</w:t>
            </w:r>
            <w:r>
              <w:rPr>
                <w:b/>
                <w:i/>
                <w:strike w:val="0"/>
                <w:color w:val="auto"/>
                <w:highlight w:val="none"/>
                <w:u w:val="none" w:color="auto"/>
                <w:vertAlign w:val="baseline"/>
              </w:rPr>
              <w:t>399</w:t>
            </w:r>
            <w:r>
              <w:t xml:space="preserve"> for at sikre en gradvis idriftsættelse af EES, kan ikke i tilstrækkelig grad opfyldes af medlemsstaterne, men kan på grund af foranstaltningens omfang og virkninger bedre nås på EU-plan. Unionen kan derfor vedtage foranstaltninger i overensstemmelse med nærhedsprincippet, jf. artikel 5 i traktaten om Den Europæiske Union. I overensstemmelse med proportionalitetsprincippet, jf. nævnte artikel, går denne forordning ikke videre, end hvad der er nødvendigt for at nå disse mål.</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2 – stk. 1 – litra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 xml:space="preserve">"anslået antal grænsepassager": en medlemsstats skøn over antallet af passager af grænsen til medlemsstaten foretaget af de tredjelandsstatsborgere, der er omhandlet i artikel 2, stk. 1 og 2, i forordning (EU) 2017/2226, baseret på det årlige gennemsnit af det samlede antal grænsepassager af tredjelandsstatsborgere, der indrejser med henblik på et kortvarigt ophold i den pågældende medlemsstat, beregnet for </w:t>
            </w:r>
            <w:r>
              <w:rPr>
                <w:b/>
                <w:i/>
                <w:strike w:val="0"/>
                <w:color w:val="auto"/>
                <w:highlight w:val="none"/>
                <w:u w:val="none" w:color="auto"/>
                <w:vertAlign w:val="baseline"/>
              </w:rPr>
              <w:t>de</w:t>
            </w:r>
            <w:r>
              <w:t xml:space="preserve"> foregående </w:t>
            </w:r>
            <w:r>
              <w:rPr>
                <w:b/>
                <w:i/>
                <w:strike w:val="0"/>
                <w:color w:val="auto"/>
                <w:highlight w:val="none"/>
                <w:u w:val="none" w:color="auto"/>
                <w:vertAlign w:val="baseline"/>
              </w:rPr>
              <w:t>3 år</w:t>
            </w:r>
            <w:r>
              <w:t xml:space="preserve"> fra den anvendelsesdato, der er omhandlet i nærværende forordnings artikel 8, stk. 1, andet afsnit.</w:t>
            </w:r>
          </w:p>
        </w:tc>
        <w:tc>
          <w:tcPr>
            <w:tcW w:w="4876" w:type="dxa"/>
            <w:vAlign w:val="top"/>
          </w:tcPr>
          <w:p>
            <w:pPr>
              <w:pStyle w:val="Normal6a"/>
            </w:pPr>
            <w:r>
              <w:t>c)</w:t>
            </w:r>
            <w:r>
              <w:tab/>
            </w:r>
            <w:r>
              <w:t xml:space="preserve">"anslået antal grænsepassager": en medlemsstats skøn over antallet af passager af grænsen til medlemsstaten foretaget af de tredjelandsstatsborgere, der er omhandlet i artikel 2, stk. 1 og 2, i forordning (EU) 2017/2226, baseret på det årlige gennemsnit af det samlede antal grænsepassager af tredjelandsstatsborgere, der indrejser med henblik på et kortvarigt ophold i den pågældende medlemsstat, beregnet for </w:t>
            </w:r>
            <w:r>
              <w:rPr>
                <w:b/>
                <w:i/>
                <w:strike w:val="0"/>
                <w:color w:val="auto"/>
                <w:highlight w:val="none"/>
                <w:u w:val="none" w:color="auto"/>
                <w:vertAlign w:val="baseline"/>
              </w:rPr>
              <w:t>det</w:t>
            </w:r>
            <w:r>
              <w:t xml:space="preserve"> foregående </w:t>
            </w:r>
            <w:r>
              <w:rPr>
                <w:b/>
                <w:i/>
                <w:strike w:val="0"/>
                <w:color w:val="auto"/>
                <w:highlight w:val="none"/>
                <w:u w:val="none" w:color="auto"/>
                <w:vertAlign w:val="baseline"/>
              </w:rPr>
              <w:t>kalenderår</w:t>
            </w:r>
            <w:r>
              <w:t xml:space="preserve"> fra den anvendelsesdato, der er omhandlet i nærværende forordnings artikel 8, stk. 1, andet afsnit.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overskrift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Udrulningsplan</w:t>
            </w:r>
          </w:p>
        </w:tc>
        <w:tc>
          <w:tcPr>
            <w:tcW w:w="4876" w:type="dxa"/>
            <w:vAlign w:val="top"/>
          </w:tcPr>
          <w:p>
            <w:pPr>
              <w:pStyle w:val="Normal6a"/>
            </w:pPr>
            <w:r>
              <w:rPr>
                <w:b/>
                <w:i/>
                <w:strike w:val="0"/>
                <w:color w:val="auto"/>
                <w:highlight w:val="none"/>
                <w:u w:val="none" w:color="auto"/>
                <w:vertAlign w:val="baseline"/>
              </w:rPr>
              <w:t>Udrulningsplaner og månedlige rapporter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stk.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Den Europæiske Unions Agentur for den Operationelle Forvaltning af Store IT-Systemer inden for Området med Frihed, Sikkerhed og Retfærdighed (eu-LISA) forelægger senest [den 30. kalenderdag efter denne forordnings ikrafttræden] Kommissionen, medlemsstaterne og Europol en overordnet udrulningsplan for den gradvise idriftsættelse af EES under hensyntagen til de faser, der er fastsat i artikel 4. Udrulningsplanen skal indeholde vejledning om anvendelsen af EES til medlemsstaterne og Europol</w:t>
            </w:r>
            <w:r>
              <w:rPr>
                <w:b/>
                <w:i/>
                <w:strike w:val="0"/>
                <w:color w:val="auto"/>
                <w:highlight w:val="none"/>
                <w:u w:val="none" w:color="auto"/>
                <w:vertAlign w:val="baseline"/>
              </w:rPr>
              <w:t>, herunder det centrale EES-systems kapacitetsbegrænsninger</w:t>
            </w:r>
            <w:r>
              <w:t>.</w:t>
            </w:r>
          </w:p>
        </w:tc>
        <w:tc>
          <w:tcPr>
            <w:tcW w:w="4876" w:type="dxa"/>
            <w:vAlign w:val="top"/>
          </w:tcPr>
          <w:p>
            <w:pPr>
              <w:pStyle w:val="Normal6a"/>
            </w:pPr>
            <w:r>
              <w:t>1.</w:t>
            </w:r>
            <w:r>
              <w:tab/>
            </w:r>
            <w:r>
              <w:t>Den Europæiske Unions Agentur for den Operationelle Forvaltning af Store IT-Systemer inden for Området med Frihed, Sikkerhed og Retfærdighed (eu-LISA) forelægger senest [den 30. kalenderdag efter denne forordnings ikrafttræden] Kommissionen, medlemsstaterne og Europol en overordnet udrulningsplan for den gradvise idriftsættelse af EES under hensyntagen til de faser, der er fastsat i artikel 4. Udrulningsplanen skal indeholde vejledning om anvendelsen af EES til medlemsstaterne og Europol.</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stk.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 xml:space="preserve">Medlemsstaterne udarbejder i samråd med Kommissionen og eu-LISA senest [den 60. kalenderdag efter denne forordnings ikrafttræden] </w:t>
            </w:r>
            <w:r>
              <w:rPr>
                <w:b/>
                <w:i/>
                <w:strike w:val="0"/>
                <w:color w:val="auto"/>
                <w:highlight w:val="none"/>
                <w:u w:val="none" w:color="auto"/>
                <w:vertAlign w:val="baseline"/>
              </w:rPr>
              <w:t>en national udrulningsplan</w:t>
            </w:r>
            <w:r>
              <w:t xml:space="preserve"> for den gradvise idriftsættelse af EES under hensyntagen til den overordnede udrulningsplan, der er omhandlet i denne artikels stk. 1, og </w:t>
            </w:r>
            <w:r>
              <w:rPr>
                <w:b/>
                <w:i/>
                <w:strike w:val="0"/>
                <w:color w:val="auto"/>
                <w:highlight w:val="none"/>
                <w:u w:val="none" w:color="auto"/>
                <w:vertAlign w:val="baseline"/>
              </w:rPr>
              <w:t>de faser</w:t>
            </w:r>
            <w:r>
              <w:t xml:space="preserve">, </w:t>
            </w:r>
            <w:r>
              <w:rPr>
                <w:b/>
                <w:i/>
                <w:strike w:val="0"/>
                <w:color w:val="auto"/>
                <w:highlight w:val="none"/>
                <w:u w:val="none" w:color="auto"/>
                <w:vertAlign w:val="baseline"/>
              </w:rPr>
              <w:t>der er fastsat</w:t>
            </w:r>
            <w:r>
              <w:t xml:space="preserve"> i artikel 4.</w:t>
            </w:r>
          </w:p>
        </w:tc>
        <w:tc>
          <w:tcPr>
            <w:tcW w:w="4876" w:type="dxa"/>
            <w:vAlign w:val="top"/>
          </w:tcPr>
          <w:p>
            <w:pPr>
              <w:pStyle w:val="Normal6a"/>
            </w:pPr>
            <w:r>
              <w:t>2.</w:t>
            </w:r>
            <w:r>
              <w:tab/>
            </w:r>
            <w:r>
              <w:t xml:space="preserve">Medlemsstaterne udarbejder i samråd med Kommissionen og eu-LISA senest [den 60. kalenderdag efter denne forordnings ikrafttræden] </w:t>
            </w:r>
            <w:r>
              <w:rPr>
                <w:b/>
                <w:i/>
                <w:strike w:val="0"/>
                <w:color w:val="auto"/>
                <w:highlight w:val="none"/>
                <w:u w:val="none" w:color="auto"/>
                <w:vertAlign w:val="baseline"/>
              </w:rPr>
              <w:t>nationale udrulningsplaner</w:t>
            </w:r>
            <w:r>
              <w:t xml:space="preserve"> for den gradvise idriftsættelse af EES under hensyntagen til den overordnede udrulningsplan, der er omhandlet i denne artikels stk. 1, og </w:t>
            </w:r>
            <w:r>
              <w:rPr>
                <w:b/>
                <w:i/>
                <w:strike w:val="0"/>
                <w:color w:val="auto"/>
                <w:highlight w:val="none"/>
                <w:u w:val="none" w:color="auto"/>
                <w:vertAlign w:val="baseline"/>
              </w:rPr>
              <w:t>forelægger disse planer for Kommissionen.</w:t>
            </w:r>
            <w:r>
              <w:rPr>
                <w:b/>
                <w:i/>
                <w:strike w:val="0"/>
                <w:color w:val="auto"/>
                <w:highlight w:val="none"/>
                <w:u w:val="none" w:color="auto"/>
                <w:vertAlign w:val="baseline"/>
              </w:rPr>
              <w:t xml:space="preserve"> </w:t>
            </w:r>
            <w:r>
              <w:rPr>
                <w:b/>
                <w:i/>
                <w:strike w:val="0"/>
                <w:color w:val="auto"/>
                <w:highlight w:val="none"/>
                <w:u w:val="none" w:color="auto"/>
                <w:vertAlign w:val="baseline"/>
              </w:rPr>
              <w:t>Hvis en medlemsstat ikke begynder at anvende EES fuldt ud fra begyndelsen af den gradvise idriftsættelse af EES</w:t>
            </w:r>
            <w:r>
              <w:t xml:space="preserve">, </w:t>
            </w:r>
            <w:r>
              <w:rPr>
                <w:b/>
                <w:i/>
                <w:strike w:val="0"/>
                <w:color w:val="auto"/>
                <w:highlight w:val="none"/>
                <w:u w:val="none" w:color="auto"/>
                <w:vertAlign w:val="baseline"/>
              </w:rPr>
              <w:t>skal det fremgå af den nationale udrulningsplan, hvordan tærsklerne og kravene</w:t>
            </w:r>
            <w:r>
              <w:t xml:space="preserve"> i artikel 4 </w:t>
            </w:r>
            <w:r>
              <w:rPr>
                <w:b/>
                <w:i/>
                <w:strike w:val="0"/>
                <w:color w:val="auto"/>
                <w:highlight w:val="none"/>
                <w:u w:val="none" w:color="auto"/>
                <w:vertAlign w:val="baseline"/>
              </w:rPr>
              <w:t>skal opfyldes</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stk.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3.</w:t>
            </w:r>
            <w:r>
              <w:tab/>
            </w:r>
            <w:r>
              <w:rPr>
                <w:b/>
                <w:i/>
                <w:strike w:val="0"/>
                <w:color w:val="auto"/>
                <w:highlight w:val="none"/>
                <w:u w:val="none" w:color="auto"/>
                <w:vertAlign w:val="baseline"/>
              </w:rPr>
              <w:t>For hver af de faser, der er fastsat i artikel 4, skal de nationale udrulningsplaner indeholde oplysninger om de tærskler og krav, der er fastsat i nævnte artikel.</w:t>
            </w:r>
          </w:p>
        </w:tc>
        <w:tc>
          <w:tcPr>
            <w:tcW w:w="4876" w:type="dxa"/>
            <w:vAlign w:val="top"/>
          </w:tcPr>
          <w:p>
            <w:pPr>
              <w:pStyle w:val="Normal6a"/>
            </w:pPr>
            <w:r>
              <w:rPr>
                <w:b/>
                <w:i/>
                <w:strike w:val="0"/>
                <w:color w:val="auto"/>
                <w:highlight w:val="none"/>
                <w:u w:val="none" w:color="auto"/>
                <w:vertAlign w:val="baseline"/>
              </w:rPr>
              <w:t>udgår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stk.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Fra den 30. kalenderdag efter den </w:t>
            </w:r>
            <w:r>
              <w:rPr>
                <w:b/>
                <w:i/>
                <w:strike w:val="0"/>
                <w:color w:val="auto"/>
                <w:highlight w:val="none"/>
                <w:u w:val="none" w:color="auto"/>
                <w:vertAlign w:val="baseline"/>
              </w:rPr>
              <w:t>gradvise idriftsættelse</w:t>
            </w:r>
            <w:r>
              <w:t xml:space="preserve"> af </w:t>
            </w:r>
            <w:r>
              <w:rPr>
                <w:b/>
                <w:i/>
                <w:strike w:val="0"/>
                <w:color w:val="auto"/>
                <w:highlight w:val="none"/>
                <w:u w:val="none" w:color="auto"/>
                <w:vertAlign w:val="baseline"/>
              </w:rPr>
              <w:t>ind- og udrejsesystemet</w:t>
            </w:r>
            <w:r>
              <w:t xml:space="preserve"> forelægger medlemsstaterne månedlige rapporter for Kommissionen og eu-LISA om gennemførelsen af deres nationale udrulningsplaner, herunder korrigerende foranstaltninger, hvis det er nødvendigt for at opfylde forpligtelserne i artikel 4.</w:t>
            </w:r>
          </w:p>
        </w:tc>
        <w:tc>
          <w:tcPr>
            <w:tcW w:w="4876" w:type="dxa"/>
            <w:vAlign w:val="top"/>
          </w:tcPr>
          <w:p>
            <w:pPr>
              <w:pStyle w:val="Normal6a"/>
            </w:pPr>
            <w:r>
              <w:t>4.</w:t>
            </w:r>
            <w:r>
              <w:tab/>
            </w:r>
            <w:r>
              <w:t xml:space="preserve">Fra den 30. kalenderdag efter den </w:t>
            </w:r>
            <w:r>
              <w:rPr>
                <w:b/>
                <w:i/>
                <w:strike w:val="0"/>
                <w:color w:val="auto"/>
                <w:highlight w:val="none"/>
                <w:u w:val="none" w:color="auto"/>
                <w:vertAlign w:val="baseline"/>
              </w:rPr>
              <w:t>dato, hvor EES sættes i drift, som fastsat</w:t>
            </w:r>
            <w:r>
              <w:t xml:space="preserve"> af </w:t>
            </w:r>
            <w:r>
              <w:rPr>
                <w:b/>
                <w:i/>
                <w:strike w:val="0"/>
                <w:color w:val="auto"/>
                <w:highlight w:val="none"/>
                <w:u w:val="none" w:color="auto"/>
                <w:vertAlign w:val="baseline"/>
              </w:rPr>
              <w:t>Kommissionen i overensstemmelse med artikel 66, stk. 1, i forordning (EU) 2017/2226,</w:t>
            </w:r>
            <w:r>
              <w:t xml:space="preserve"> forelægger medlemsstaterne månedlige rapporter for Kommissionen og eu-LISA om gennemførelsen af deres nationale udrulningsplaner, herunder korrigerende foranstaltninger, hvis det er nødvendigt for at opfylde forpligtelserne i artikel 4.</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19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stk.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På Kommissionens anmodning forelægger eu-LISA Kommissionen de statistikker, der er nødvendige for overvågningen af de nationale udrulningsplaner, jf. artikel 63, stk. 6, i forordning (EU) 2017/2226.</w:t>
            </w:r>
          </w:p>
        </w:tc>
        <w:tc>
          <w:tcPr>
            <w:tcW w:w="4876" w:type="dxa"/>
            <w:vAlign w:val="top"/>
          </w:tcPr>
          <w:p>
            <w:pPr>
              <w:pStyle w:val="Normal6a"/>
            </w:pPr>
            <w:r>
              <w:t>5.</w:t>
            </w:r>
            <w:r>
              <w:tab/>
            </w:r>
            <w:r>
              <w:t xml:space="preserve">På Kommissionens anmodning forelægger eu-LISA Kommissionen de statistikker, der er nødvendige for overvågningen af </w:t>
            </w:r>
            <w:r>
              <w:rPr>
                <w:b/>
                <w:i/>
                <w:strike w:val="0"/>
                <w:color w:val="auto"/>
                <w:highlight w:val="none"/>
                <w:u w:val="none" w:color="auto"/>
                <w:vertAlign w:val="baseline"/>
              </w:rPr>
              <w:t>den overordnede udrulningsplan og</w:t>
            </w:r>
            <w:r>
              <w:t xml:space="preserve"> de nationale udrulningsplaner, jf. artikel 63, stk. 6, i forordning (EU) 2017/2226.</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20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 – stk. 2 – afsnit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Fra den første dag af den gradvise idriftsættelse af EES begynder hver medlemsstat at anvende EES på ind- og udrejser ved et eller flere grænseovergangssteder, hvis det er muligt og relevant, for en kombination af grænseovergangssteder ved luft-, land- og søgrænser til at registrere og lagre oplysninger om de i artikel 2, stk. 1 og 2, i forordning (EU) 2017/2226 omhandlede tredjelandsstatsborgere. </w:t>
            </w:r>
            <w:r>
              <w:rPr>
                <w:b/>
                <w:i/>
                <w:strike w:val="0"/>
                <w:color w:val="auto"/>
                <w:highlight w:val="none"/>
                <w:u w:val="none" w:color="auto"/>
                <w:vertAlign w:val="baseline"/>
              </w:rPr>
              <w:t>Medlemsstaterne</w:t>
            </w:r>
            <w:r>
              <w:t xml:space="preserve"> registrerer mindst 10 % af det anslåede antal grænsepassager i den pågældende medlemsstat i EES.</w:t>
            </w:r>
          </w:p>
        </w:tc>
        <w:tc>
          <w:tcPr>
            <w:tcW w:w="4876" w:type="dxa"/>
            <w:vAlign w:val="top"/>
          </w:tcPr>
          <w:p>
            <w:pPr>
              <w:pStyle w:val="Normal6a"/>
            </w:pPr>
            <w:r>
              <w:t xml:space="preserve">Fra den første dag af den gradvise idriftsættelse af EES begynder hver medlemsstat at anvende EES på ind- og udrejser ved et eller flere grænseovergangssteder, hvis det er muligt og relevant, for en kombination af grænseovergangssteder ved luft-, land- og søgrænser til at registrere og lagre oplysninger om de i artikel 2, stk. 1 og 2, i forordning (EU) 2017/2226 omhandlede tredjelandsstatsborgere. </w:t>
            </w:r>
            <w:r>
              <w:rPr>
                <w:b/>
                <w:i/>
                <w:strike w:val="0"/>
                <w:color w:val="auto"/>
                <w:highlight w:val="none"/>
                <w:u w:val="none" w:color="auto"/>
                <w:vertAlign w:val="baseline"/>
              </w:rPr>
              <w:t xml:space="preserve">Senest den 30. kalenderdag af EES' gradvise idriftsættelse </w:t>
            </w:r>
            <w:r>
              <w:t xml:space="preserve">registrerer </w:t>
            </w:r>
            <w:r>
              <w:rPr>
                <w:b/>
                <w:i/>
                <w:strike w:val="0"/>
                <w:color w:val="auto"/>
                <w:highlight w:val="none"/>
                <w:u w:val="none" w:color="auto"/>
                <w:vertAlign w:val="baseline"/>
              </w:rPr>
              <w:t>medlemsstaterne</w:t>
            </w:r>
            <w:r>
              <w:t xml:space="preserve"> mindst 10 % af det anslåede antal grænsepassager i den pågældende medlemsstat i EES.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21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 – stk.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Medlemsstaterne anvender senest den 90. kalenderdag </w:t>
            </w:r>
            <w:r>
              <w:rPr>
                <w:b/>
                <w:i/>
                <w:strike w:val="0"/>
                <w:color w:val="auto"/>
                <w:highlight w:val="none"/>
                <w:u w:val="none" w:color="auto"/>
                <w:vertAlign w:val="baseline"/>
              </w:rPr>
              <w:t>efter</w:t>
            </w:r>
            <w:r>
              <w:t xml:space="preserve"> den gradvise idriftsættelse af EES systemet med biometriske funktioner ved mindst halvdelen af deres grænseovergangssteder. Medlemsstaterne registrerer mindst </w:t>
            </w:r>
            <w:r>
              <w:rPr>
                <w:b/>
                <w:i/>
                <w:strike w:val="0"/>
                <w:color w:val="auto"/>
                <w:highlight w:val="none"/>
                <w:u w:val="none" w:color="auto"/>
                <w:vertAlign w:val="baseline"/>
              </w:rPr>
              <w:t>50</w:t>
            </w:r>
            <w:r>
              <w:t> % af det anslåede antal grænsepassager i den pågældende medlemsstat. De individuelle sagsmapper for de i artikel 2, stk. 1 og 2, i forordning (EU) 2017/2226 omhandlede tredjelandsstatsborgere, som er registreret i EES, skal indeholde biometriske oplysninger.</w:t>
            </w:r>
          </w:p>
        </w:tc>
        <w:tc>
          <w:tcPr>
            <w:tcW w:w="4876" w:type="dxa"/>
            <w:vAlign w:val="top"/>
          </w:tcPr>
          <w:p>
            <w:pPr>
              <w:pStyle w:val="Normal6a"/>
            </w:pPr>
            <w:r>
              <w:t>3.</w:t>
            </w:r>
            <w:r>
              <w:tab/>
            </w:r>
            <w:r>
              <w:t xml:space="preserve">Medlemsstaterne anvender senest den 90. kalenderdag </w:t>
            </w:r>
            <w:r>
              <w:rPr>
                <w:b/>
                <w:i/>
                <w:strike w:val="0"/>
                <w:color w:val="auto"/>
                <w:highlight w:val="none"/>
                <w:u w:val="none" w:color="auto"/>
                <w:vertAlign w:val="baseline"/>
              </w:rPr>
              <w:t>af</w:t>
            </w:r>
            <w:r>
              <w:t xml:space="preserve"> den gradvise idriftsættelse af EES systemet med biometriske funktioner ved mindst halvdelen af deres grænseovergangssteder. Medlemsstaterne registrerer mindst </w:t>
            </w:r>
            <w:r>
              <w:rPr>
                <w:b/>
                <w:i/>
                <w:strike w:val="0"/>
                <w:color w:val="auto"/>
                <w:highlight w:val="none"/>
                <w:u w:val="none" w:color="auto"/>
                <w:vertAlign w:val="baseline"/>
              </w:rPr>
              <w:t>35</w:t>
            </w:r>
            <w:r>
              <w:t> % af det anslåede antal grænsepassager i den pågældende medlemsstat. De individuelle sagsmapper for de i artikel 2, stk. 1 og 2, i forordning (EU) 2017/2226 omhandlede tredjelandsstatsborgere, som er registreret i EES, skal indeholde biometriske oplysninger.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22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 – stk.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Medlemsstaterne anvender senest den 150. kalenderdag </w:t>
            </w:r>
            <w:r>
              <w:rPr>
                <w:b/>
                <w:i/>
                <w:strike w:val="0"/>
                <w:color w:val="auto"/>
                <w:highlight w:val="none"/>
                <w:u w:val="none" w:color="auto"/>
                <w:vertAlign w:val="baseline"/>
              </w:rPr>
              <w:t>efter</w:t>
            </w:r>
            <w:r>
              <w:t xml:space="preserve"> den gradvise idriftsættelse af EES systemet med biometriske funktioner ved alle deres grænseovergangssteder og registrerer fortsat mindst 50 % af det anslåede antal grænsepassager i den pågældende medlemsstat i EES.</w:t>
            </w:r>
          </w:p>
        </w:tc>
        <w:tc>
          <w:tcPr>
            <w:tcW w:w="4876" w:type="dxa"/>
            <w:vAlign w:val="top"/>
          </w:tcPr>
          <w:p>
            <w:pPr>
              <w:pStyle w:val="Normal6a"/>
            </w:pPr>
            <w:r>
              <w:t>4.</w:t>
            </w:r>
            <w:r>
              <w:tab/>
            </w:r>
            <w:r>
              <w:t xml:space="preserve">Medlemsstaterne anvender senest den 150. kalenderdag </w:t>
            </w:r>
            <w:r>
              <w:rPr>
                <w:b/>
                <w:i/>
                <w:strike w:val="0"/>
                <w:color w:val="auto"/>
                <w:highlight w:val="none"/>
                <w:u w:val="none" w:color="auto"/>
                <w:vertAlign w:val="baseline"/>
              </w:rPr>
              <w:t>af</w:t>
            </w:r>
            <w:r>
              <w:t xml:space="preserve"> den gradvise idriftsættelse af EES systemet med biometriske funktioner ved alle deres grænseovergangssteder og registrerer fortsat mindst 50 % af det anslåede antal grænsepassager i den pågældende medlemsstat i EES.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23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 – stk.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 xml:space="preserve">Medlemsstaterne anvender senest den 170. kalenderdag </w:t>
            </w:r>
            <w:r>
              <w:rPr>
                <w:b/>
                <w:i/>
                <w:strike w:val="0"/>
                <w:color w:val="auto"/>
                <w:highlight w:val="none"/>
                <w:u w:val="none" w:color="auto"/>
                <w:vertAlign w:val="baseline"/>
              </w:rPr>
              <w:t>efter</w:t>
            </w:r>
            <w:r>
              <w:t xml:space="preserve"> den gradvise idriftsættelse af EES systemet med biometriske funktioner ved alle deres grænseovergangssteder og registrerer alle de i artikel 2, stk. 1 og 2, i forordning (EU) 2017/2226 omhandlede tredjelandsstatsborgere i EES.</w:t>
            </w:r>
          </w:p>
        </w:tc>
        <w:tc>
          <w:tcPr>
            <w:tcW w:w="4876" w:type="dxa"/>
            <w:vAlign w:val="top"/>
          </w:tcPr>
          <w:p>
            <w:pPr>
              <w:pStyle w:val="Normal6a"/>
            </w:pPr>
            <w:r>
              <w:t>5.</w:t>
            </w:r>
            <w:r>
              <w:tab/>
            </w:r>
            <w:r>
              <w:t xml:space="preserve">Medlemsstaterne anvender senest den 170. kalenderdag </w:t>
            </w:r>
            <w:r>
              <w:rPr>
                <w:b/>
                <w:i/>
                <w:strike w:val="0"/>
                <w:color w:val="auto"/>
                <w:highlight w:val="none"/>
                <w:u w:val="none" w:color="auto"/>
                <w:vertAlign w:val="baseline"/>
              </w:rPr>
              <w:t>af</w:t>
            </w:r>
            <w:r>
              <w:t xml:space="preserve"> den gradvise idriftsættelse af EES systemet med biometriske funktioner ved alle deres grænseovergangssteder og registrerer alle de i artikel 2, stk. 1 og 2, i forordning (EU) 2017/2226 omhandlede tredjelandsstatsborgere i EES.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24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5 – stk. 4 – afsnit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Denne formodning finder ikke anvendelse på tredjelandsstatsborgere, der kan fremlægge troværdig dokumentation uanset form for, at de har ret til fri bevægelighed i henhold til EU-retten, </w:t>
            </w:r>
            <w:r>
              <w:rPr>
                <w:b/>
                <w:i/>
                <w:strike w:val="0"/>
                <w:color w:val="auto"/>
                <w:highlight w:val="none"/>
                <w:u w:val="none" w:color="auto"/>
                <w:vertAlign w:val="baseline"/>
              </w:rPr>
              <w:t>at de har ret til ophold i en værtsmedlemsstat i henhold til udtrædelsesaftalen mellem EU og Det Forenede Kongerige,</w:t>
            </w:r>
            <w:r>
              <w:t xml:space="preserve"> eller at de er i besiddelse af en opholdstilladelse eller et visum til længerevarende ophold.</w:t>
            </w:r>
          </w:p>
        </w:tc>
        <w:tc>
          <w:tcPr>
            <w:tcW w:w="4876" w:type="dxa"/>
            <w:vAlign w:val="top"/>
          </w:tcPr>
          <w:p>
            <w:pPr>
              <w:pStyle w:val="Normal6a"/>
            </w:pPr>
            <w:r>
              <w:t>Denne formodning finder ikke anvendelse på tredjelandsstatsborgere, der kan fremlægge troværdig dokumentation uanset form for, at de har ret til fri bevægelighed i henhold til EU-retten, eller at de er i besiddelse af en opholdstilladelse eller et visum til længerevarende ophold.</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25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7 – stk. 1 – afsnit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I begge tilfælde underretter medlemsstaterne straks og senest 6 timer efter suspensionens begyndelse Kommissionen og eu-LISA om årsagen til den delvise eller fuldstændige suspension og dens forventede varighed </w:t>
            </w:r>
            <w:r>
              <w:rPr>
                <w:b/>
                <w:i/>
                <w:strike w:val="0"/>
                <w:color w:val="auto"/>
                <w:highlight w:val="none"/>
                <w:u w:val="none" w:color="auto"/>
                <w:vertAlign w:val="baseline"/>
              </w:rPr>
              <w:t>og sikrer, at operatører af infrastruktur ved grænseovergangssteder og transportvirksomheder underrettes behørigt om en sådan suspension</w:t>
            </w:r>
            <w:r>
              <w:t xml:space="preserve">. Når de ekstraordinære omstændigheder, der førte til suspensionen, ophører, </w:t>
            </w:r>
            <w:r>
              <w:rPr>
                <w:b/>
                <w:i/>
                <w:strike w:val="0"/>
                <w:color w:val="auto"/>
                <w:highlight w:val="none"/>
                <w:u w:val="none" w:color="auto"/>
                <w:vertAlign w:val="baseline"/>
              </w:rPr>
              <w:t>underretter</w:t>
            </w:r>
            <w:r>
              <w:t xml:space="preserve"> medlemsstaterne straks Kommissionen og </w:t>
            </w:r>
            <w:r>
              <w:rPr>
                <w:b/>
                <w:i/>
                <w:strike w:val="0"/>
                <w:color w:val="auto"/>
                <w:highlight w:val="none"/>
                <w:u w:val="none" w:color="auto"/>
                <w:vertAlign w:val="baseline"/>
              </w:rPr>
              <w:t>eu-LISA</w:t>
            </w:r>
            <w:r>
              <w:t>.</w:t>
            </w:r>
          </w:p>
        </w:tc>
        <w:tc>
          <w:tcPr>
            <w:tcW w:w="4876" w:type="dxa"/>
            <w:vAlign w:val="top"/>
          </w:tcPr>
          <w:p>
            <w:pPr>
              <w:pStyle w:val="Normal6a"/>
            </w:pPr>
            <w:r>
              <w:t xml:space="preserve">I begge tilfælde underretter medlemsstaterne straks </w:t>
            </w:r>
            <w:r>
              <w:rPr>
                <w:b/>
                <w:i/>
                <w:strike w:val="0"/>
                <w:color w:val="auto"/>
                <w:highlight w:val="none"/>
                <w:u w:val="none" w:color="auto"/>
                <w:vertAlign w:val="baseline"/>
              </w:rPr>
              <w:t>operatørerne af infrastruktur ved grænseovergangssteder</w:t>
            </w:r>
            <w:r>
              <w:t xml:space="preserve"> og </w:t>
            </w:r>
            <w:r>
              <w:rPr>
                <w:b/>
                <w:i/>
                <w:strike w:val="0"/>
                <w:color w:val="auto"/>
                <w:highlight w:val="none"/>
                <w:u w:val="none" w:color="auto"/>
                <w:vertAlign w:val="baseline"/>
              </w:rPr>
              <w:t>transportvirksomheder.</w:t>
            </w:r>
            <w:r>
              <w:t xml:space="preserve"> Senest 6 timer efter suspensionens begyndelse </w:t>
            </w:r>
            <w:r>
              <w:rPr>
                <w:b/>
                <w:i/>
                <w:strike w:val="0"/>
                <w:color w:val="auto"/>
                <w:highlight w:val="none"/>
                <w:u w:val="none" w:color="auto"/>
                <w:vertAlign w:val="baseline"/>
              </w:rPr>
              <w:t>underretter medlemsstaterne</w:t>
            </w:r>
            <w:r>
              <w:t xml:space="preserve"> Kommissionen og eu-LISA om årsagen til den delvise eller fuldstændige suspension og dens forventede varighed. Når de ekstraordinære omstændigheder, der førte til suspensionen, ophører, </w:t>
            </w:r>
            <w:r>
              <w:rPr>
                <w:b/>
                <w:i/>
                <w:strike w:val="0"/>
                <w:color w:val="auto"/>
                <w:highlight w:val="none"/>
                <w:u w:val="none" w:color="auto"/>
                <w:vertAlign w:val="baseline"/>
              </w:rPr>
              <w:t>ophæver</w:t>
            </w:r>
            <w:r>
              <w:t xml:space="preserve"> medlemsstaterne </w:t>
            </w:r>
            <w:r>
              <w:rPr>
                <w:b/>
                <w:i/>
                <w:strike w:val="0"/>
                <w:color w:val="auto"/>
                <w:highlight w:val="none"/>
                <w:u w:val="none" w:color="auto"/>
                <w:vertAlign w:val="baseline"/>
              </w:rPr>
              <w:t>suspensionen og underretter</w:t>
            </w:r>
            <w:r>
              <w:t xml:space="preserve"> straks Kommissionen</w:t>
            </w:r>
            <w:r>
              <w:rPr>
                <w:b/>
                <w:i/>
                <w:strike w:val="0"/>
                <w:color w:val="auto"/>
                <w:highlight w:val="none"/>
                <w:u w:val="none" w:color="auto"/>
                <w:vertAlign w:val="baseline"/>
              </w:rPr>
              <w:t>, eu-LISA, operatører af infrastruktur ved grænseovergangsstederne</w:t>
            </w:r>
            <w:r>
              <w:t xml:space="preserve"> og </w:t>
            </w:r>
            <w:r>
              <w:rPr>
                <w:b/>
                <w:i/>
                <w:strike w:val="0"/>
                <w:color w:val="auto"/>
                <w:highlight w:val="none"/>
                <w:u w:val="none" w:color="auto"/>
                <w:vertAlign w:val="baseline"/>
              </w:rPr>
              <w:t>transportvirksomheder herom</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26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7 – stk.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3.</w:t>
            </w:r>
            <w:r>
              <w:tab/>
            </w:r>
            <w:r>
              <w:rPr>
                <w:b/>
                <w:i/>
                <w:strike w:val="0"/>
                <w:color w:val="auto"/>
                <w:highlight w:val="none"/>
                <w:u w:val="none" w:color="auto"/>
                <w:vertAlign w:val="baseline"/>
              </w:rPr>
              <w:t>Hvis mindre end 80 % af de individuelle sagsmapper, der er oprettet i EES under den gradvise idriftsættelse af systemet, indeholder biometriske oplysninger, forlænges den periode, der er fastsat i denne artikels stk. 2, automatisk med 60 kalenderdage.</w:t>
            </w:r>
          </w:p>
        </w:tc>
        <w:tc>
          <w:tcPr>
            <w:tcW w:w="4876" w:type="dxa"/>
            <w:vAlign w:val="top"/>
          </w:tcPr>
          <w:p>
            <w:pPr>
              <w:pStyle w:val="Normal6a"/>
            </w:pPr>
            <w:r>
              <w:rPr>
                <w:b/>
                <w:i/>
                <w:strike w:val="0"/>
                <w:color w:val="auto"/>
                <w:highlight w:val="none"/>
                <w:u w:val="none" w:color="auto"/>
                <w:vertAlign w:val="baseline"/>
              </w:rPr>
              <w:t>udgår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27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7 – stk.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4.</w:t>
            </w:r>
            <w:r>
              <w:tab/>
            </w:r>
            <w:r>
              <w:rPr>
                <w:b/>
                <w:i/>
                <w:strike w:val="0"/>
                <w:color w:val="auto"/>
                <w:highlight w:val="none"/>
                <w:u w:val="none" w:color="auto"/>
                <w:vertAlign w:val="baseline"/>
              </w:rPr>
              <w:t>Senest den 10. kalenderdag efter afslutningen af den gradvise idriftsættelse af EES forelægger eu-LISA Kommissionen statistikker, der gør det muligt for Kommissionen at kontrollere, om denne procentdel er nået. Senest den 30. kalenderdag efter afslutningen af den gradvise idriftsættelse af EES underretter Kommissionen medlemsstaterne om resultatet af sin kontrol.</w:t>
            </w:r>
          </w:p>
        </w:tc>
        <w:tc>
          <w:tcPr>
            <w:tcW w:w="4876" w:type="dxa"/>
            <w:vAlign w:val="top"/>
          </w:tcPr>
          <w:p>
            <w:pPr>
              <w:pStyle w:val="Normal6a"/>
            </w:pPr>
            <w:r>
              <w:rPr>
                <w:b/>
                <w:i/>
                <w:strike w:val="0"/>
                <w:color w:val="auto"/>
                <w:highlight w:val="none"/>
                <w:u w:val="none" w:color="auto"/>
                <w:vertAlign w:val="baseline"/>
              </w:rPr>
              <w:t>udgår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Ændringsforslag</w:t>
      </w:r>
      <w:r>
        <w:tab/>
      </w:r>
      <w:r>
        <w:tab/>
      </w:r>
      <w:r>
        <w:rPr>
          <w:rStyle w:val="HideTWBExt"/>
        </w:rPr>
        <w:t>&lt;</w:t>
      </w:r>
      <w:r>
        <w:rPr>
          <w:rStyle w:val="HideTWBExt"/>
        </w:rPr>
        <w:t>NumAm</w:t>
      </w:r>
      <w:r>
        <w:rPr>
          <w:rStyle w:val="HideTWBExt"/>
        </w:rPr>
        <w:t>&gt;</w:t>
      </w:r>
      <w:r>
        <w:t>28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Forslag til forordning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8 – stk. 2 – afsnit 1 – litra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Kommissionens forslag</w:t>
            </w:r>
          </w:p>
        </w:tc>
        <w:tc>
          <w:tcPr>
            <w:tcW w:w="4876" w:type="dxa"/>
            <w:vAlign w:val="top"/>
          </w:tcPr>
          <w:p>
            <w:pPr>
              <w:pStyle w:val="AmColumnHeading"/>
            </w:pPr>
            <w:r>
              <w:t>Ændringsforslag</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d)</w:t>
            </w:r>
            <w:r>
              <w:tab/>
            </w:r>
            <w:r>
              <w:t xml:space="preserve">artikel 7, stk. 2 </w:t>
            </w:r>
            <w:r>
              <w:rPr>
                <w:b/>
                <w:i/>
                <w:strike w:val="0"/>
                <w:color w:val="auto"/>
                <w:highlight w:val="none"/>
                <w:u w:val="none" w:color="auto"/>
                <w:vertAlign w:val="baseline"/>
              </w:rPr>
              <w:t>og 3</w:t>
            </w:r>
            <w:r>
              <w:t xml:space="preserve">, ophører med at finde anvendelse </w:t>
            </w:r>
            <w:r>
              <w:rPr>
                <w:b/>
                <w:i/>
                <w:strike w:val="0"/>
                <w:color w:val="auto"/>
                <w:highlight w:val="none"/>
                <w:u w:val="none" w:color="auto"/>
                <w:vertAlign w:val="baseline"/>
              </w:rPr>
              <w:t>300</w:t>
            </w:r>
            <w:r>
              <w:t xml:space="preserve"> kalenderdage efter den dato, som Kommissionen har fastsat i overensstemmelse med artikel 66, stk. 1, i forordning (EU) 2017/2226</w:t>
            </w:r>
          </w:p>
        </w:tc>
        <w:tc>
          <w:tcPr>
            <w:tcW w:w="4876" w:type="dxa"/>
            <w:vAlign w:val="top"/>
          </w:tcPr>
          <w:p>
            <w:pPr>
              <w:pStyle w:val="Normal6a"/>
            </w:pPr>
            <w:r>
              <w:t>d)</w:t>
            </w:r>
            <w:r>
              <w:tab/>
            </w:r>
            <w:r>
              <w:t xml:space="preserve">artikel 7, stk. 2, ophører med at finde anvendelse </w:t>
            </w:r>
            <w:r>
              <w:rPr>
                <w:b/>
                <w:i/>
                <w:strike w:val="0"/>
                <w:color w:val="auto"/>
                <w:highlight w:val="none"/>
                <w:u w:val="none" w:color="auto"/>
                <w:vertAlign w:val="baseline"/>
              </w:rPr>
              <w:t>240</w:t>
            </w:r>
            <w:r>
              <w:t xml:space="preserve"> kalenderdage efter den dato, som Kommissionen har fastsat i overensstemmelse med artikel 66, stk. 1, i forordning (EU) 2017/2226</w:t>
            </w:r>
            <w:r>
              <w:rPr>
                <w:b/>
                <w:i/>
                <w:strike w:val="0"/>
                <w:color w:val="auto"/>
                <w:highlight w:val="none"/>
                <w:u w:val="none" w:color="auto"/>
                <w:vertAlign w:val="baseline"/>
              </w:rP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r>
        <w:rPr>
          <w:rStyle w:val="HideTWBExt"/>
        </w:rPr>
        <w:t>&lt;/</w:t>
      </w:r>
      <w:r>
        <w:rPr>
          <w:rStyle w:val="HideTWBExt"/>
        </w:rPr>
        <w:t>RepeatBlock-Amend</w:t>
      </w:r>
      <w:r>
        <w:rPr>
          <w:rStyle w:val="HideTWBExt"/>
        </w:rPr>
        <w:t>&gt;</w:t>
      </w:r>
    </w:p>
    <w:p>
      <w:pPr>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pPr>
    </w:p>
    <w:p>
      <w:pPr>
        <w:pStyle w:val="PageHeading"/>
      </w:pPr>
      <w:bookmarkStart w:id="1" w:name="_Toc256000003"/>
      <w:r>
        <w:t>BEGRUNDELSE</w:t>
      </w:r>
      <w:bookmarkEnd w:id="1"/>
    </w:p>
    <w:p>
      <w:pPr>
        <w:pStyle w:val="Normal12a"/>
      </w:pPr>
      <w:r>
        <w:rPr>
          <w:rStyle w:val="Bold"/>
        </w:rPr>
        <w:t>Indledning</w:t>
      </w:r>
    </w:p>
    <w:p>
      <w:pPr>
        <w:pStyle w:val="Normal12a"/>
      </w:pPr>
      <w:r>
        <w:t>Ind- og udrejsesystemet (EES), der er fastsat i forordning 2017/2226 ("EES-forordningen"), er et centralt element i grænseforvaltningen af Schengenområdet. Indrejser, udrejser og nægtelser af indrejse for tredjelandsstatsborgere, der passerer de 29 Schengenmedlemsstaters ydre grænser med henblik på et kortvarigt ophold, registreres i EES' centrale database. Det udgør et vigtigt skridt i EU's bestræbelser på at øge sikkerheden og effektiviteten ved de ydre grænser. For første gang vil der i et system blive indsamlet biometriske oplysninger, nærmere bestemt ansigtsbilleder og fingeraftryk, i tillæg til alfanumeriske oplysninger, om tredjelandsstatsborgere, der passerer de ydre grænser. EES vil give Schengenmedlemsstaterne realtidsadgang til tredjelandsstatsborgeres personoplysninger og rejsehistorik samt oplysninger om, hvorvidt de overholder den tilladte periode for kortvarigt ophold i Schengenområdet. Som følge heraf bør EES i væsentlig grad mindske sandsynligheden for identitetsbedrageri og for, at tredjelandsstatsborgere bliver længere end tilladt, hvilket i sidste ende vil øge sikkerheden i Schengenområdet. Som følge af installationen af automatiseret grænseinfrastruktur bør EES også i sidste ende reducere ventetiden ved grænseovergangsstederne for rejsende i god tro.</w:t>
      </w:r>
    </w:p>
    <w:p>
      <w:pPr>
        <w:pStyle w:val="Normal12a"/>
      </w:pPr>
      <w:r>
        <w:t>Udviklingen af EES har taget længere tid end ventet, og måldatoerne for idriftsættelsen er blevet overskredet. Et af kravene for idriftsættelsen af EES er, at Kommissionen modtager en meddelelse fra hver enkelt medlemsstat om, at de er parat. I øjeblikket har tre medlemsstater tilkendegivet, at de ikke er i stand til at give en sådan meddelelse. Forsinkelsen skyldes en kombination af nationale spørgsmål og bekymringer vedrørende stabiliteten af det centrale system, der forvaltes af eu-LISA.</w:t>
      </w:r>
    </w:p>
    <w:p>
      <w:pPr>
        <w:pStyle w:val="Normal12a"/>
      </w:pPr>
      <w:r>
        <w:t>I lyset af ovenstående har flere interesserede parter, der er involveret i driften af EES, fremført, at der forud for den vedtagne indførelse af nye procedurer ved de ydre grænser bør være en tilpasningsperiode for de nationale myndigheder og de rejsende. En fuldstændig indførelse af et stort nyt IT-system ved alle grænseovergangssteder kunne udgøre en risiko for en sikker og gnidningsløs rejse.</w:t>
      </w:r>
    </w:p>
    <w:p>
      <w:pPr>
        <w:pStyle w:val="Normal12a"/>
      </w:pPr>
      <w:r>
        <w:t>EES-forordningen giver imidlertid kun mulighed for fuld idriftsættelse, hvilket kræver, at alle medlemsstaterne begynder at anvende EES fuldt ud og samtidigt på alle rejsende, der er omfattet af EES-registrering, ved alle deres grænseovergangssteder ved de ydre grænser. Den giver ikke mulighed for en tilpasningsperiode.</w:t>
      </w:r>
    </w:p>
    <w:p>
      <w:pPr>
        <w:pStyle w:val="Normal12a"/>
      </w:pPr>
      <w:r>
        <w:t>I den henseende fremlagde Kommissionen i december 2024 et forslag om gradvis idriftsættelse af EES. En gradvis indførelse af systemet ville indebære en øget anvendelse fra medlemsstaternes side i en periode på 180 dage, indtil systemet anvendes fuldt ud.</w:t>
      </w:r>
    </w:p>
    <w:p>
      <w:pPr>
        <w:pStyle w:val="Normal12a"/>
      </w:pPr>
      <w:r>
        <w:rPr>
          <w:rStyle w:val="Bold"/>
        </w:rPr>
        <w:t>Ordførerens holdning</w:t>
      </w:r>
    </w:p>
    <w:p>
      <w:pPr>
        <w:pStyle w:val="Normal12a"/>
      </w:pPr>
      <w:r>
        <w:t>Ordføreren støtter EES og dets mål om at forbedre sikkerheden og lette menneskestrømme ved EU's ydre grænser. Behovet for øget grænsesikkerhed blev tydeliggjort af den forfærdelige bølge af terrorangreb, der ramte EU's medlemsstater, herunder i Frankrig og Belgien, i 2015 og 2016. Ordføreren forstår, at det er vanskeligt at oprette et større nyt system, der omfatter nye hardware- og softwarekomponenter samt ændringer af procedurerne ved grænseovergangsstederne, men beklager, at systemet endnu ikke er i drift otte år efter vedtagelsen af forordningen. Siden 2017 er sikkerhedstruslerne ikke blevet mindre, snarere tværtimod. For endelig at muliggøre en fuldstændig udrulning af EES tilslutter ordføreren sig i princippet den foreslåede gradvise idriftsættelse.</w:t>
      </w:r>
    </w:p>
    <w:p>
      <w:pPr>
        <w:pStyle w:val="Normal12a"/>
      </w:pPr>
      <w:r>
        <w:t>Ordføreren foreslår følgende ændringer af Kommissionens forslag:</w:t>
      </w:r>
    </w:p>
    <w:p>
      <w:pPr>
        <w:pStyle w:val="Normal12a"/>
      </w:pPr>
      <w:r>
        <w:t>1. Ordføreren understreger, at den gradvise indførelse af EES i perioden på 180 dage, som den gradvise idriftsættelse varer, er frivillig. Medlemsstater, der beslutter at begynde at anvende EES fuldt ud for alle tredjelandsstatsborgere, der skal registreres i EES, fra dag ét ved alle deres grænseovergangssteder samtidigt, bør have mulighed for dette.</w:t>
      </w:r>
    </w:p>
    <w:p>
      <w:pPr>
        <w:pStyle w:val="Normal12a"/>
      </w:pPr>
      <w:r>
        <w:t>2. Når det er sagt, bør medlemsstater, der i stedet beslutter at anvende en gradvis indførelse af EES, have større fleksibilitet end den, der foreskrives i Kommissionens forslag. I stedet for at starte ved mindst 10 % fra dag ét bør medlemsstaterne have mulighed for at nå op på 10 % i løbet af de første 30 dage af den gradvise idriftsættelse. Og i stedet for at registrere mindst 50 % af det anslåede antal grænsepassager i EES senest på dag 90 bør de nå op på mindst 35 %. Disse justerede procentsatser afspejler den kendsgerning, at udrulningen af nye komplekse systemer normalt foregår eksponentielt og ikke lineært.</w:t>
      </w:r>
    </w:p>
    <w:p>
      <w:pPr>
        <w:pStyle w:val="Normal12a"/>
      </w:pPr>
      <w:r>
        <w:t>3. Ordføreren understreger, at medlemsstaternes udrulning af EES ikke længere bør hæmmes af begrænsninger i EES' centrale komponent, der forvaltes af eu-LISA.</w:t>
      </w:r>
    </w:p>
    <w:p>
      <w:pPr>
        <w:pStyle w:val="Normal12a"/>
      </w:pPr>
      <w:r>
        <w:t>4. Ordføreren præciserer visse bestemmelser vedrørende udrulningsplanen og månedlige rapporteringskrav, grundlaget for beregningen af procentsatserne og informationsstrømme under en eventuel suspension af systemets anvendelse.</w:t>
      </w:r>
    </w:p>
    <w:p>
      <w:pPr>
        <w:pStyle w:val="Normal12a"/>
      </w:pPr>
      <w:r>
        <w:t>5. Ordføreren afkorter den foreslåede periode efter den gradvise idriftsættelse, hvor medlemsstaterne delvist kan suspendere driften af EES, og understreger, at de medlemsstater, der endnu ikke har meddelt, at de er parate, nu hurtigst muligt skal gøre dette, således at systemet kan starte i efteråret 2025 – en lavsæson hvad angår grænseoverskridende rejser.</w:t>
      </w:r>
    </w:p>
    <w:p>
      <w:pPr>
        <w:pStyle w:val="Normal12a"/>
      </w:pPr>
    </w:p>
    <w:sect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770.093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22</w:t>
    </w:r>
    <w:r>
      <w:fldChar w:fldCharType="end"/>
    </w:r>
    <w:r>
      <w:t>/</w:t>
    </w:r>
    <w:r>
      <w:fldChar w:fldCharType="begin"/>
    </w:r>
    <w:r>
      <w:instrText>NUMPAGES</w:instrText>
    </w:r>
    <w:r>
      <w:fldChar w:fldCharType="separate"/>
    </w:r>
    <w:r>
      <w:t>23</w:t>
    </w:r>
    <w:r>
      <w:fldChar w:fldCharType="end"/>
    </w:r>
    <w:r>
      <w:tab/>
    </w:r>
    <w:r>
      <w:rPr>
        <w:rStyle w:val="HideTWBExt"/>
      </w:rPr>
      <w:t>&lt;</w:t>
    </w:r>
    <w:r>
      <w:rPr>
        <w:rStyle w:val="HideTWBExt"/>
      </w:rPr>
      <w:t>PathFdR</w:t>
    </w:r>
    <w:r>
      <w:rPr>
        <w:rStyle w:val="HideTWBExt"/>
      </w:rPr>
      <w:t>&gt;</w:t>
    </w:r>
    <w:r>
      <w:t>PR\1316296DA.docx</w:t>
    </w:r>
    <w:r>
      <w:rPr>
        <w:rStyle w:val="HideTWBExt"/>
      </w:rPr>
      <w:t>&lt;/</w:t>
    </w:r>
    <w:r>
      <w:rPr>
        <w:rStyle w:val="HideTWBExt"/>
      </w:rPr>
      <w:t>PathFdR</w:t>
    </w:r>
    <w:r>
      <w:rPr>
        <w:rStyle w:val="HideTWBExt"/>
      </w:rPr>
      <w:t>&gt;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PR\1316296DA.docx</w:t>
    </w:r>
    <w:r>
      <w:rPr>
        <w:rStyle w:val="HideTWBExt"/>
      </w:rPr>
      <w:t>&lt;/</w:t>
    </w:r>
    <w:r>
      <w:rPr>
        <w:rStyle w:val="HideTWBExt"/>
      </w:rPr>
      <w:t>PathFdR</w:t>
    </w:r>
    <w:r>
      <w:rPr>
        <w:rStyle w:val="HideTWBExt"/>
      </w:rPr>
      <w:t>&gt;</w:t>
    </w:r>
    <w:r>
      <w:tab/>
    </w:r>
    <w:r>
      <w:fldChar w:fldCharType="begin"/>
    </w:r>
    <w:r>
      <w:instrText>PAGE</w:instrText>
    </w:r>
    <w:r>
      <w:fldChar w:fldCharType="separate"/>
    </w:r>
    <w:r>
      <w:t>23</w:t>
    </w:r>
    <w:r>
      <w:fldChar w:fldCharType="end"/>
    </w:r>
    <w:r>
      <w:t>/</w:t>
    </w:r>
    <w:r>
      <w:fldChar w:fldCharType="begin"/>
    </w:r>
    <w:r>
      <w:instrText>NUMPAGES</w:instrText>
    </w:r>
    <w:r>
      <w:fldChar w:fldCharType="separate"/>
    </w:r>
    <w:r>
      <w:t>23</w:t>
    </w:r>
    <w:r>
      <w:fldChar w:fldCharType="end"/>
    </w:r>
    <w:r>
      <w:tab/>
    </w:r>
    <w:r>
      <w:t>PE</w:t>
    </w:r>
    <w:r>
      <w:rPr>
        <w:rStyle w:val="HideTWBExt"/>
      </w:rPr>
      <w:t>&lt;</w:t>
    </w:r>
    <w:r>
      <w:rPr>
        <w:rStyle w:val="HideTWBExt"/>
      </w:rPr>
      <w:t>NoPE</w:t>
    </w:r>
    <w:r>
      <w:rPr>
        <w:rStyle w:val="HideTWBExt"/>
      </w:rPr>
      <w:t>&gt;</w:t>
    </w:r>
    <w:r>
      <w:t>770.093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PR\1316296DA.docx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770.093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DA</w:t>
    </w:r>
    <w:r>
      <w:tab/>
    </w:r>
    <w:r>
      <w:rPr>
        <w:rStyle w:val="EPFooter2Motto"/>
      </w:rPr>
      <w:t>Forenet i mangfoldighed</w:t>
    </w:r>
    <w:r>
      <w:tab/>
    </w:r>
    <w:r>
      <w:t>DA</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1316296</vt:lpwstr>
  </property>
  <property fmtid="{D5CDD505-2E9C-101B-9397-08002B2CF9AE}" pid="4" name="&lt;Model&gt;">
    <vt:lpwstr>PR_COD_1amCom</vt:lpwstr>
  </property>
  <property fmtid="{D5CDD505-2E9C-101B-9397-08002B2CF9AE}" pid="5" name="&lt;Type&gt;">
    <vt:lpwstr>PR</vt:lpwstr>
  </property>
  <property fmtid="{D5CDD505-2E9C-101B-9397-08002B2CF9AE}" pid="6" name="DMXMLUID">
    <vt:lpwstr>20250318-170206-000391-251943</vt:lpwstr>
  </property>
  <property fmtid="{D5CDD505-2E9C-101B-9397-08002B2CF9AE}" pid="7" name="FooterPath">
    <vt:lpwstr>PR\1316296DA.doc</vt:lpwstr>
  </property>
  <property fmtid="{D5CDD505-2E9C-101B-9397-08002B2CF9AE}" pid="8" name="PE Number">
    <vt:lpwstr>770.093</vt:lpwstr>
  </property>
  <property fmtid="{D5CDD505-2E9C-101B-9397-08002B2CF9AE}" pid="9" name="UID">
    <vt:lpwstr>eu.europa.europarl-DIN1-2025-0000040829_01.05-da-01.00_text-xml</vt:lpwstr>
  </property>
</Properties>
</file>