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Euroopan parlamentti</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Kansalaisvapauksien sekä oikeus- ja sisäasioiden valiokunta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4.3.2025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MIETINTÖLUONNOS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ehdotuksesta Euroopan parlamentin ja neuvoston asetukseksi tilapäisestä poikkeamisesta asetuksen (EU) 2017/2226 ja asetuksen (EU) 2016/399 tietyistä säännöksistä rajanylitystietojärjestelmän asteittaisen käyttöönoton osalta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Kansalaisvapauksien sekä oikeus- ja sisäasioiden valiokunta</w:t>
      </w:r>
      <w:r>
        <w:rPr>
          <w:rStyle w:val="HideTWBExt"/>
        </w:rPr>
        <w:t>&lt;/</w:t>
      </w:r>
      <w:r>
        <w:rPr>
          <w:rStyle w:val="HideTWBExt"/>
        </w:rPr>
        <w:t>Commission</w:t>
      </w:r>
      <w:r>
        <w:rPr>
          <w:rStyle w:val="HideTWBExt"/>
        </w:rPr>
        <w:t>&gt;</w:t>
      </w:r>
    </w:p>
    <w:p>
      <w:pPr>
        <w:pStyle w:val="CoverNormal24a"/>
      </w:pPr>
      <w:r>
        <w:t>Esittelijä:</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Menettelyjen symbolit</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Kuulemismenettely</w:t>
            </w:r>
          </w:p>
          <w:p>
            <w:pPr>
              <w:pStyle w:val="LegendSign"/>
            </w:pPr>
            <w:r>
              <w:tab/>
            </w:r>
            <w:r>
              <w:t>***</w:t>
            </w:r>
            <w:r>
              <w:tab/>
            </w:r>
            <w:r>
              <w:t>Hyväksyntämenettely</w:t>
            </w:r>
          </w:p>
          <w:p>
            <w:pPr>
              <w:pStyle w:val="LegendSign"/>
            </w:pPr>
            <w:r>
              <w:tab/>
            </w:r>
            <w:r>
              <w:t>***I</w:t>
            </w:r>
            <w:r>
              <w:tab/>
            </w:r>
            <w:r>
              <w:t>Tavallinen lainsäätämisjärjestys (ensimmäinen käsittely)</w:t>
            </w:r>
          </w:p>
          <w:p>
            <w:pPr>
              <w:pStyle w:val="LegendSign"/>
            </w:pPr>
            <w:r>
              <w:tab/>
            </w:r>
            <w:r>
              <w:t>***II</w:t>
            </w:r>
            <w:r>
              <w:tab/>
            </w:r>
            <w:r>
              <w:t>Tavallinen lainsäätämisjärjestys (toinen käsittely)</w:t>
            </w:r>
          </w:p>
          <w:p>
            <w:pPr>
              <w:pStyle w:val="LegendSign"/>
            </w:pPr>
            <w:r>
              <w:tab/>
            </w:r>
            <w:r>
              <w:t>***III</w:t>
            </w:r>
            <w:r>
              <w:tab/>
            </w:r>
            <w:r>
              <w:t>Tavallinen lainsäätämisjärjestys (kolmas käsittely)</w:t>
            </w:r>
          </w:p>
          <w:p>
            <w:pPr>
              <w:pStyle w:val="LegendSign"/>
            </w:pPr>
          </w:p>
          <w:p>
            <w:pPr>
              <w:pStyle w:val="LegendStandard"/>
            </w:pPr>
            <w:r>
              <w:t>(Menettely määräytyy säädösesityksessä ehdotetun oikeusperustan mukaan.)</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Tarkistukset säädösesitykseen</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Palstoina esitettävät parlamentin tarkistukset</w:t>
            </w:r>
          </w:p>
          <w:p>
            <w:pPr>
              <w:pStyle w:val="LegendStandard"/>
            </w:pPr>
          </w:p>
          <w:p>
            <w:pPr>
              <w:pStyle w:val="LegendStandard"/>
            </w:pPr>
            <w:r>
              <w:t xml:space="preserve">Poistettava teksti merkitään vasempaan palstaan </w:t>
            </w:r>
            <w:r>
              <w:rPr>
                <w:rStyle w:val="BoldItalic"/>
              </w:rPr>
              <w:t>lihavoidulla kursiivilla</w:t>
            </w:r>
            <w:r>
              <w:t xml:space="preserve">. Tekstiä korvattaessa muutosmerkinnät tehdään molempiin palstoihin </w:t>
            </w:r>
            <w:r>
              <w:rPr>
                <w:rStyle w:val="BoldItalic"/>
              </w:rPr>
              <w:t>lihavoidulla kursiivilla</w:t>
            </w:r>
            <w:r>
              <w:t xml:space="preserve">. Uusi teksti merkitään oikeaan palstaan </w:t>
            </w:r>
            <w:r>
              <w:rPr>
                <w:rStyle w:val="BoldItalic"/>
              </w:rPr>
              <w:t>lihavoidulla kursiivilla</w:t>
            </w:r>
            <w:r>
              <w:t>.</w:t>
            </w:r>
          </w:p>
          <w:p>
            <w:pPr>
              <w:pStyle w:val="LegendStandard"/>
            </w:pPr>
          </w:p>
          <w:p>
            <w:pPr>
              <w:pStyle w:val="LegendStandard"/>
            </w:pPr>
            <w:r>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pPr>
              <w:pStyle w:val="LegendStandard"/>
            </w:pPr>
          </w:p>
          <w:p>
            <w:pPr>
              <w:pStyle w:val="LegendStandard"/>
            </w:pPr>
            <w:r>
              <w:rPr>
                <w:rStyle w:val="Bold"/>
              </w:rPr>
              <w:t>Konsolidoituna tekstinä esitettävät parlamentin tarkistukset</w:t>
            </w:r>
          </w:p>
          <w:p>
            <w:pPr>
              <w:pStyle w:val="LegendStandard"/>
            </w:pPr>
          </w:p>
          <w:p>
            <w:pPr>
              <w:pStyle w:val="LegendStandard"/>
            </w:pPr>
            <w:r>
              <w:t xml:space="preserve">Uusi teksti merkitään </w:t>
            </w:r>
            <w:r>
              <w:rPr>
                <w:rStyle w:val="BoldItalic"/>
              </w:rPr>
              <w:t>lihavoidulla kursiivilla</w:t>
            </w:r>
            <w:r>
              <w:t xml:space="preserve">. Poistettava teksti merkitään symbolilla ▌tai yliviivauksella. Tekstiä korvattaessa muutosmerkinnät tehdään siten, että uusi teksti merkitään </w:t>
            </w:r>
            <w:r>
              <w:rPr>
                <w:rStyle w:val="BoldItalic"/>
              </w:rPr>
              <w:t>lihavoidulla kursiivilla</w:t>
            </w:r>
            <w:r>
              <w:t xml:space="preserve"> ja korvattava teksti poistetaan tai viivataan yli.</w:t>
            </w:r>
            <w:r>
              <w:br/>
            </w:r>
            <w:r>
              <w:t>Parlamentin yksiköiden tekemiä lopullisen tekstin teknisiä muutoksia ei merkitä.</w:t>
            </w:r>
          </w:p>
          <w:p>
            <w:pPr>
              <w:pStyle w:val="LegendStandard"/>
            </w:pPr>
          </w:p>
        </w:tc>
      </w:tr>
    </w:tbl>
    <w:p/>
    <w:p/>
    <w:p>
      <w:pPr>
        <w:pStyle w:val="TOCHeading"/>
      </w:pPr>
      <w:r>
        <w:br w:type="page"/>
      </w:r>
      <w:r>
        <w:t>SISÄLTÖ</w:t>
      </w:r>
    </w:p>
    <w:p>
      <w:pPr>
        <w:pStyle w:val="TOCPage"/>
      </w:pPr>
      <w:r>
        <w:t>Sivu</w:t>
      </w:r>
    </w:p>
    <w:p>
      <w:pPr>
        <w:pStyle w:val="TOC1"/>
        <w:tabs>
          <w:tab w:val="right" w:leader="dot" w:pos="9062"/>
        </w:tabs>
        <w:rPr>
          <w:rFonts w:ascii="Calibri" w:hAnsi="Calibri"/>
          <w:noProof/>
          <w:sz w:val="22"/>
        </w:rPr>
      </w:pPr>
      <w:r>
        <w:fldChar w:fldCharType="begin"/>
      </w:r>
      <w:r>
        <w:instrText>TOC \t "PageHeading"</w:instrText>
      </w:r>
      <w:r>
        <w:fldChar w:fldCharType="separate"/>
      </w:r>
      <w:r>
        <w:t>LUONNOS EUROOPAN PARLAMENTIN LAINSÄÄDÄNTÖPÄÄTÖSLAUSELMAKSI</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PERUSTELUT</w:t>
      </w:r>
      <w:r>
        <w:tab/>
      </w:r>
      <w:r>
        <w:fldChar w:fldCharType="begin"/>
      </w:r>
      <w:r>
        <w:instrText xml:space="preserve"> PAGEREF _Toc256000003 \h </w:instrText>
      </w:r>
      <w:r>
        <w:fldChar w:fldCharType="separate"/>
      </w:r>
      <w:r>
        <w:t>22</w:t>
      </w:r>
      <w:r>
        <w:fldChar w:fldCharType="end"/>
      </w:r>
    </w:p>
    <w:p>
      <w:pPr>
        <w:pStyle w:val="Normal12b"/>
      </w:pPr>
      <w:r>
        <w:fldChar w:fldCharType="end"/>
      </w:r>
    </w:p>
    <w:p>
      <w:pPr>
        <w:pStyle w:val="CoverNormalLeft"/>
      </w:pPr>
    </w:p>
    <w:p>
      <w:pPr>
        <w:pStyle w:val="PageHeading"/>
      </w:pPr>
      <w:r>
        <w:br w:type="page"/>
      </w:r>
      <w:r>
        <w:br w:type="page"/>
      </w:r>
      <w:bookmarkStart w:id="0" w:name="_Toc256000002"/>
      <w:r>
        <w:t>LUONNOS EUROOPAN PARLAMENTIN LAINSÄÄDÄNTÖPÄÄTÖSLAUSELMAKSI</w:t>
      </w:r>
      <w:bookmarkEnd w:id="0"/>
    </w:p>
    <w:p>
      <w:pPr>
        <w:pStyle w:val="NormalBold"/>
      </w:pPr>
      <w:r>
        <w:t>ehdotuksesta Euroopan parlamentin ja neuvoston asetukseksi tilapäisestä poikkeamisesta asetuksen (EU) 2017/2226 ja asetuksen (EU) 2016/399 tietyistä säännöksistä rajanylitystietojärjestelmän asteittaisen käyttöönoton osalta</w:t>
      </w:r>
    </w:p>
    <w:p>
      <w:pPr>
        <w:pStyle w:val="NormalBold12a"/>
      </w:pPr>
      <w:r>
        <w:t>(COM(2024)0567 – C10-0207/2024 – 2024/0315(COD))</w:t>
      </w:r>
    </w:p>
    <w:p>
      <w:pPr>
        <w:pStyle w:val="NormalBold12a"/>
      </w:pPr>
      <w:r>
        <w:t>(Tavallinen lainsäätämisjärjestys: ensimmäinen käsittely)</w:t>
      </w:r>
    </w:p>
    <w:p>
      <w:pPr>
        <w:pStyle w:val="EPComma"/>
      </w:pPr>
      <w:r>
        <w:rPr>
          <w:rStyle w:val="Italic"/>
        </w:rPr>
        <w:t>Euroopan parlamentti</w:t>
      </w:r>
      <w:r>
        <w:t>, joka</w:t>
      </w:r>
    </w:p>
    <w:p>
      <w:pPr>
        <w:pStyle w:val="NormalHanging12a"/>
      </w:pPr>
      <w:r>
        <w:t>–</w:t>
      </w:r>
      <w:r>
        <w:tab/>
      </w:r>
      <w:r>
        <w:t>ottaa huomioon komission ehdotuksen Euroopan parlamentille ja neuvostolle (COM(2024)0567),</w:t>
      </w:r>
    </w:p>
    <w:p>
      <w:pPr>
        <w:pStyle w:val="NormalHanging12a"/>
      </w:pPr>
      <w:r>
        <w:t>–</w:t>
      </w:r>
      <w:r>
        <w:tab/>
      </w:r>
      <w:r>
        <w:t>ottaa huomioon Euroopan unionin toiminnasta tehdyn sopimuksen 294 artiklan 2 kohdan, 77 artiklan 2 kohdan b ja d alakohdan ja 87 artiklan 2 kohdan a alakohdan, joiden mukaisesti komissio on antanut ehdotuksen Euroopan parlamentille (C10-0207/2024),</w:t>
      </w:r>
    </w:p>
    <w:p>
      <w:pPr>
        <w:pStyle w:val="NormalHanging12a"/>
      </w:pPr>
      <w:r>
        <w:t>–</w:t>
      </w:r>
      <w:r>
        <w:tab/>
      </w:r>
      <w:r>
        <w:t>ottaa huomioon Euroopan unionin toiminnasta tehdyn sopimuksen 294 artiklan 3 kohdan,</w:t>
      </w:r>
    </w:p>
    <w:p>
      <w:pPr>
        <w:pStyle w:val="NormalHanging12a"/>
      </w:pPr>
      <w:r>
        <w:t>–</w:t>
      </w:r>
      <w:r>
        <w:tab/>
      </w:r>
      <w:r>
        <w:t>ottaa huomioon työjärjestyksen 60 artiklan,</w:t>
      </w:r>
    </w:p>
    <w:p>
      <w:pPr>
        <w:pStyle w:val="NormalHanging12a"/>
      </w:pPr>
      <w:r>
        <w:t>–</w:t>
      </w:r>
      <w:r>
        <w:tab/>
      </w:r>
      <w:r>
        <w:t>ottaa huomioon kansalaisvapauksien sekä oikeus- ja sisäasioiden valiokunnan mietinnön (A10-0000/2025),</w:t>
      </w:r>
    </w:p>
    <w:p>
      <w:pPr>
        <w:pStyle w:val="NormalHanging12a"/>
      </w:pPr>
      <w:r>
        <w:t>1.</w:t>
      </w:r>
      <w:r>
        <w:tab/>
      </w:r>
      <w:r>
        <w:t>vahvistaa jäljempänä esitetyn ensimmäisen käsittelyn kannan;</w:t>
      </w:r>
    </w:p>
    <w:p>
      <w:pPr>
        <w:pStyle w:val="NormalHanging12a"/>
      </w:pPr>
      <w:r>
        <w:t>2.</w:t>
      </w:r>
      <w:r>
        <w:tab/>
      </w:r>
      <w:r>
        <w:t>pyytää komissiota antamaan asian uudelleen Euroopan parlamentin käsiteltäväksi, jos se korvaa ehdotuksensa, muuttaa sitä huomattavasti tai aikoo muuttaa sitä huomattavasti;</w:t>
      </w:r>
    </w:p>
    <w:p>
      <w:pPr>
        <w:pStyle w:val="NormalHanging12a"/>
      </w:pPr>
      <w:r>
        <w:t>3.</w:t>
      </w:r>
      <w:r>
        <w:tab/>
      </w:r>
      <w:r>
        <w:t>kehottaa puhemiestä välittämään parlamentin kannan neuvostolle ja komissiolle sekä kansallisille parlamenteille.</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3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Asetuksessa (EU) 2017/2226 sallitaan ainoastaan järjestelmän käyttöönotto kokonaisuudessaan, mikä edellyttää, että kaikki jäsenvaltiot aloittavat EES:n täysimittaisen käytön kaikkien EES:ään rekisteröitävien kolmansien maiden kansalaisten osalta ja käyttävät EES:ää samanaikaisesti kaikilla rajanylityspaikoillaan.</w:t>
            </w:r>
          </w:p>
        </w:tc>
        <w:tc>
          <w:tcPr>
            <w:tcW w:w="4876" w:type="dxa"/>
            <w:vAlign w:val="top"/>
          </w:tcPr>
          <w:p>
            <w:pPr>
              <w:pStyle w:val="Normal6a"/>
            </w:pPr>
            <w:r>
              <w:t>(3)</w:t>
            </w:r>
            <w:r>
              <w:tab/>
            </w:r>
            <w:r>
              <w:t xml:space="preserve">Asetuksessa (EU) 2017/2226 sallitaan ainoastaan järjestelmän käyttöönotto kokonaisuudessaan, mikä edellyttää, että kaikki jäsenvaltiot aloittavat EES:n täysimittaisen käytön kaikkien EES:ään rekisteröitävien kolmansien maiden kansalaisten osalta ja käyttävät EES:ää samanaikaisesti kaikilla rajanylityspaikoillaan. </w:t>
            </w:r>
            <w:r>
              <w:rPr>
                <w:b/>
                <w:i/>
                <w:strike w:val="0"/>
                <w:color w:val="auto"/>
                <w:highlight w:val="none"/>
                <w:u w:val="none" w:color="auto"/>
                <w:vertAlign w:val="baseline"/>
              </w:rPr>
              <w:t>Kaikkien EES:n toimintojen täysimittainen käyttöönotto kaikilla rajanylityspaikoilla samanaikaisesti on kuitenkin riskitekijä koko EES:n häiriönsietokyvylle ja matkustajavirroille ulkorajoilla.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4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Jotta jäsenvaltiot voisivat aloittaa EES:n käytön joustavasti </w:t>
            </w:r>
            <w:r>
              <w:rPr>
                <w:b/>
                <w:i/>
                <w:strike w:val="0"/>
                <w:color w:val="auto"/>
                <w:highlight w:val="none"/>
                <w:u w:val="none" w:color="auto"/>
                <w:vertAlign w:val="baseline"/>
              </w:rPr>
              <w:t>valmiustasonsa mukaan ja jotta</w:t>
            </w:r>
            <w:r>
              <w:t xml:space="preserve"> voitaisiin helpottaa teknisiä ja toiminnallisia mukautuksia EES:n käyttöönoton alussa, on tarpeen vahvistaa </w:t>
            </w:r>
            <w:r>
              <w:rPr>
                <w:b/>
                <w:i/>
                <w:strike w:val="0"/>
                <w:color w:val="auto"/>
                <w:highlight w:val="none"/>
                <w:u w:val="none" w:color="auto"/>
                <w:vertAlign w:val="baseline"/>
              </w:rPr>
              <w:t>säännöt</w:t>
            </w:r>
            <w:r>
              <w:t xml:space="preserve"> EES:n asteittaista käyttöönottoa </w:t>
            </w:r>
            <w:r>
              <w:rPr>
                <w:b/>
                <w:i/>
                <w:strike w:val="0"/>
                <w:color w:val="auto"/>
                <w:highlight w:val="none"/>
                <w:u w:val="none" w:color="auto"/>
                <w:vertAlign w:val="baseline"/>
              </w:rPr>
              <w:t>varten</w:t>
            </w:r>
            <w:r>
              <w:t>. Sen varmistamiseksi, että näissä mukautuksissa otetaan huomioon mahdolliset matkustusvirrat ja kausihuiput, tällaisen asteittaisen käyttöönottovaiheen tulisi kestää 180 kalenteripäivää.</w:t>
            </w:r>
          </w:p>
        </w:tc>
        <w:tc>
          <w:tcPr>
            <w:tcW w:w="4876" w:type="dxa"/>
            <w:vAlign w:val="top"/>
          </w:tcPr>
          <w:p>
            <w:pPr>
              <w:pStyle w:val="Normal6a"/>
            </w:pPr>
            <w:r>
              <w:t>(4)</w:t>
            </w:r>
            <w:r>
              <w:tab/>
            </w:r>
            <w:r>
              <w:t xml:space="preserve">Jotta jäsenvaltiot voisivat aloittaa EES:n käytön joustavasti </w:t>
            </w:r>
            <w:r>
              <w:rPr>
                <w:b/>
                <w:i/>
                <w:strike w:val="0"/>
                <w:color w:val="auto"/>
                <w:highlight w:val="none"/>
                <w:u w:val="none" w:color="auto"/>
                <w:vertAlign w:val="baseline"/>
              </w:rPr>
              <w:t>niin, että</w:t>
            </w:r>
            <w:r>
              <w:t xml:space="preserve"> voitaisiin helpottaa teknisiä ja toiminnallisia mukautuksia EES:n käyttöönoton alussa, on tarpeen vahvistaa EES:n asteittaista käyttöönottoa </w:t>
            </w:r>
            <w:r>
              <w:rPr>
                <w:b/>
                <w:i/>
                <w:strike w:val="0"/>
                <w:color w:val="auto"/>
                <w:highlight w:val="none"/>
                <w:u w:val="none" w:color="auto"/>
                <w:vertAlign w:val="baseline"/>
              </w:rPr>
              <w:t>koskevat säännöt, joiden mukaan jäsenvaltioiden olisi voitava päättää EES:n asteittaisesta käyttöönotosta</w:t>
            </w:r>
            <w:r>
              <w:t>. Sen varmistamiseksi, että näissä mukautuksissa otetaan huomioon mahdolliset matkustusvirrat ja kausihuiput, tällaisen asteittaisen käyttöönottovaiheen tulisi kestää 180 kalenteripäivää.</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5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Jotta EES voidaan ottaa käyttöön asteittain, on </w:t>
            </w:r>
            <w:r>
              <w:rPr>
                <w:b/>
                <w:i/>
                <w:strike w:val="0"/>
                <w:color w:val="auto"/>
                <w:highlight w:val="none"/>
                <w:u w:val="none" w:color="auto"/>
                <w:vertAlign w:val="baseline"/>
              </w:rPr>
              <w:t>sen vuoksi</w:t>
            </w:r>
            <w:r>
              <w:t xml:space="preserve"> tarpeen poiketa tietyistä asetuksen (EU) 2017/2226 ja Euroopan parlamentin ja neuvoston asetuksen (EU) 2016/399</w:t>
            </w:r>
            <w:r>
              <w:rPr>
                <w:rStyle w:val="Sup"/>
              </w:rPr>
              <w:t>3</w:t>
            </w:r>
            <w:r>
              <w:t>, jäljempänä ’Schengenin rajasäännöstö’, säännöksistä. Muita asetuksessa (EU) 2017/2226 vahvistettuja sääntöjä, joihin tämä asetus ei vaikuta, sovelletaan kyseisessä asetuksessa säädetyllä tavalla. Erityisesti niiden tietojen osalta, jotka tallennetaan EES:ään sen asteittaisen käyttöönoton aikana, noudatetaan asetuksessa (EU) 2017/2226 vahvistettuja sääntöjä, ja näitä tietoja pidetään luotettavina ja paikkansapitävinä.</w:t>
            </w:r>
          </w:p>
        </w:tc>
        <w:tc>
          <w:tcPr>
            <w:tcW w:w="4876" w:type="dxa"/>
            <w:vAlign w:val="top"/>
          </w:tcPr>
          <w:p>
            <w:pPr>
              <w:pStyle w:val="Normal6a"/>
            </w:pPr>
            <w:r>
              <w:t>(5)</w:t>
            </w:r>
            <w:r>
              <w:tab/>
            </w:r>
            <w:r>
              <w:t>Jotta EES voidaan ottaa käyttöön asteittain, on tarpeen poiketa tietyistä asetuksen (EU) 2017/2226 ja Euroopan parlamentin ja neuvoston asetuksen (EU) 2016/399</w:t>
            </w:r>
            <w:r>
              <w:rPr>
                <w:rStyle w:val="Sup"/>
              </w:rPr>
              <w:t>3</w:t>
            </w:r>
            <w:r>
              <w:t xml:space="preserve">, jäljempänä ’Schengenin rajasäännöstö’, säännöksistä. Muita asetuksessa (EU) 2017/2226 vahvistettuja sääntöjä, joihin tämä asetus ei vaikuta, sovelletaan kyseisessä asetuksessa säädetyllä tavalla. Erityisesti niiden tietojen osalta, jotka tallennetaan EES:ään sen asteittaisen käyttöönoton aikana, noudatetaan asetuksessa (EU) 2017/2226 vahvistettuja sääntöjä, ja näitä tietoja pidetään luotettavina ja paikkansapitävinä. </w:t>
            </w:r>
            <w:r>
              <w:rPr>
                <w:b/>
                <w:i/>
                <w:strike w:val="0"/>
                <w:color w:val="auto"/>
                <w:highlight w:val="none"/>
                <w:u w:val="none" w:color="auto"/>
                <w:vertAlign w:val="baseline"/>
              </w:rPr>
              <w:t>Tämä asetus ei vaikuta niiden ilmoitusten pätevyyteen, jotka jäsenvaltiot ovat jo toimittaneet komissiolle asetuksen (EU) 2017/2226 66 artiklan 1 kohdan mukaisesti.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c>
          <w:tcPr>
            <w:tcW w:w="4876" w:type="dxa"/>
            <w:vAlign w:val="top"/>
          </w:tcPr>
          <w:p>
            <w:pPr>
              <w:pStyle w:val="Normal6a"/>
            </w:pPr>
            <w:r>
              <w:rPr>
                <w:rStyle w:val="Sup"/>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6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w:t>
            </w:r>
            <w:r>
              <w:rPr>
                <w:b/>
                <w:i/>
                <w:strike w:val="0"/>
                <w:color w:val="auto"/>
                <w:highlight w:val="none"/>
                <w:u w:val="none" w:color="auto"/>
                <w:vertAlign w:val="baseline"/>
              </w:rPr>
              <w:t>Koordinoidun lähestymistavan varmistamiseksi</w:t>
            </w:r>
            <w:r>
              <w:t xml:space="preserve"> järjestelmän </w:t>
            </w:r>
            <w:r>
              <w:rPr>
                <w:b/>
                <w:i/>
                <w:strike w:val="0"/>
                <w:color w:val="auto"/>
                <w:highlight w:val="none"/>
                <w:u w:val="none" w:color="auto"/>
                <w:vertAlign w:val="baseline"/>
              </w:rPr>
              <w:t>asteittainen käyttöönotto</w:t>
            </w:r>
            <w:r>
              <w:t xml:space="preserve"> olisi </w:t>
            </w:r>
            <w:r>
              <w:rPr>
                <w:b/>
                <w:i/>
                <w:strike w:val="0"/>
                <w:color w:val="auto"/>
                <w:highlight w:val="none"/>
                <w:u w:val="none" w:color="auto"/>
                <w:vertAlign w:val="baseline"/>
              </w:rPr>
              <w:t>toteutettava vaiheissa</w:t>
            </w:r>
            <w:r>
              <w:t xml:space="preserve">, joita varten olisi asetettava vähimmäisvaatimukset, jotka jäsenvaltioiden on saavutettava. </w:t>
            </w:r>
            <w:r>
              <w:rPr>
                <w:b/>
                <w:i/>
                <w:strike w:val="0"/>
                <w:color w:val="auto"/>
                <w:highlight w:val="none"/>
                <w:u w:val="none" w:color="auto"/>
                <w:vertAlign w:val="baseline"/>
              </w:rPr>
              <w:t>Jäsenvaltiot voivat nopeuttaa täytäntöönpanoa kansallisella tasolla tai aloittaa EES:n täysimittaisen käytön heti asteittaisen käyttöönoton alusta lähtien.</w:t>
            </w:r>
          </w:p>
        </w:tc>
        <w:tc>
          <w:tcPr>
            <w:tcW w:w="4876" w:type="dxa"/>
            <w:vAlign w:val="top"/>
          </w:tcPr>
          <w:p>
            <w:pPr>
              <w:pStyle w:val="Normal6a"/>
            </w:pPr>
            <w:r>
              <w:t>(6)</w:t>
            </w:r>
            <w:r>
              <w:tab/>
            </w:r>
            <w:r>
              <w:t>Jäsenvaltioiden</w:t>
            </w:r>
            <w:r>
              <w:rPr>
                <w:b/>
                <w:i/>
                <w:strike w:val="0"/>
                <w:color w:val="auto"/>
                <w:highlight w:val="none"/>
                <w:u w:val="none" w:color="auto"/>
                <w:vertAlign w:val="baseline"/>
              </w:rPr>
              <w:t>, jotka eivät aloita EES:n täysimittaista käyttöä kaikilla rajanylityspaikoillaan samanaikaisesti,</w:t>
            </w:r>
            <w:r>
              <w:t xml:space="preserve">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w:t>
            </w:r>
            <w:r>
              <w:rPr>
                <w:b/>
                <w:i/>
                <w:strike w:val="0"/>
                <w:color w:val="auto"/>
                <w:highlight w:val="none"/>
                <w:u w:val="none" w:color="auto"/>
                <w:vertAlign w:val="baseline"/>
              </w:rPr>
              <w:t>Jotta EES:n täysimittaista käyttöä koskeva tavoite voidaan saavuttaa kaikilla unionin rajanylityspaikoilla,</w:t>
            </w:r>
            <w:r>
              <w:t xml:space="preserve"> järjestelmän </w:t>
            </w:r>
            <w:r>
              <w:rPr>
                <w:b/>
                <w:i/>
                <w:strike w:val="0"/>
                <w:color w:val="auto"/>
                <w:highlight w:val="none"/>
                <w:u w:val="none" w:color="auto"/>
                <w:vertAlign w:val="baseline"/>
              </w:rPr>
              <w:t>asteittaiseen käyttöönottoon</w:t>
            </w:r>
            <w:r>
              <w:t xml:space="preserve"> olisi </w:t>
            </w:r>
            <w:r>
              <w:rPr>
                <w:b/>
                <w:i/>
                <w:strike w:val="0"/>
                <w:color w:val="auto"/>
                <w:highlight w:val="none"/>
                <w:u w:val="none" w:color="auto"/>
                <w:vertAlign w:val="baseline"/>
              </w:rPr>
              <w:t>sisällyttävä kynnysarvoja</w:t>
            </w:r>
            <w:r>
              <w:t>, joita varten olisi asetettava vähimmäisvaatimukset, jotka jäsenvaltioiden on saavutettava.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7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ja toimitettava se komissiolle, jäsenvaltioille ja unionin virastoille. </w:t>
            </w:r>
            <w:r>
              <w:rPr>
                <w:b/>
                <w:i/>
                <w:strike w:val="0"/>
                <w:color w:val="auto"/>
                <w:highlight w:val="none"/>
                <w:u w:val="none" w:color="auto"/>
                <w:vertAlign w:val="baseline"/>
              </w:rPr>
              <w:t>Suunnitelmassa olisi esitettävä eu-LISAn kullekin käyttöönottovaiheelle määrittelemät keskusjärjestelmän kapasiteettirajoitukset. Jäsenvaltioiden päätöksissä, jotka koskevat toiminnan aloittamista tai lisäämistä, olisi otettava huomioon korkean tason käyttöönottosuunnitelmassa esitetty keskusjärjestelmän kapasiteetti.</w:t>
            </w:r>
          </w:p>
        </w:tc>
        <w:tc>
          <w:tcPr>
            <w:tcW w:w="4876" w:type="dxa"/>
            <w:vAlign w:val="top"/>
          </w:tcPr>
          <w:p>
            <w:pPr>
              <w:pStyle w:val="Normal6a"/>
            </w:pPr>
            <w:r>
              <w:t>(7)</w:t>
            </w:r>
            <w:r>
              <w:tab/>
            </w:r>
            <w:r>
              <w:t>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ja toimitettava se komissiolle, jäsenvaltioille ja unionin virastoille.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8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c>
          <w:tcPr>
            <w:tcW w:w="4876" w:type="dxa"/>
            <w:vAlign w:val="top"/>
          </w:tcPr>
          <w:p>
            <w:pPr>
              <w:pStyle w:val="Normal6a"/>
            </w:pPr>
            <w:r>
              <w:t>(8)</w:t>
            </w:r>
            <w:r>
              <w:tab/>
            </w:r>
            <w:r>
              <w:t xml:space="preserve">EES:n sujuvan käyttöönoton helpottamiseksi jäsenvaltioiden olisi laadittava kansalliset käyttöönottosuunnitelmat komissiota ja eu-LISAa kuullen </w:t>
            </w:r>
            <w:r>
              <w:rPr>
                <w:b/>
                <w:i/>
                <w:strike w:val="0"/>
                <w:color w:val="auto"/>
                <w:highlight w:val="none"/>
                <w:u w:val="none" w:color="auto"/>
                <w:vertAlign w:val="baseline"/>
              </w:rPr>
              <w:t>ja esitettävä kyseiset suunnitelmat komissiolle</w:t>
            </w:r>
            <w:r>
              <w:t>.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9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EES:n asteittaisen käyttöönoton ja järjestelmään rekisteröityjen tietojen </w:t>
            </w:r>
            <w:r>
              <w:rPr>
                <w:b/>
                <w:i/>
                <w:strike w:val="0"/>
                <w:color w:val="auto"/>
                <w:highlight w:val="none"/>
                <w:u w:val="none" w:color="auto"/>
                <w:vertAlign w:val="baseline"/>
              </w:rPr>
              <w:t>mahdollisen</w:t>
            </w:r>
            <w:r>
              <w:t xml:space="preserve"> puutteellisuuden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Jos leima puuttuu, EES:ään tallennettujen tietojen olisi oltava etusijalla.</w:t>
            </w:r>
          </w:p>
        </w:tc>
        <w:tc>
          <w:tcPr>
            <w:tcW w:w="4876" w:type="dxa"/>
            <w:vAlign w:val="top"/>
          </w:tcPr>
          <w:p>
            <w:pPr>
              <w:pStyle w:val="Normal6a"/>
            </w:pPr>
            <w:r>
              <w:t>(9)</w:t>
            </w:r>
            <w:r>
              <w:tab/>
            </w:r>
            <w:r>
              <w:t xml:space="preserve">EES:n asteittaisen käyttöönoton ja </w:t>
            </w:r>
            <w:r>
              <w:rPr>
                <w:b/>
                <w:i/>
                <w:strike w:val="0"/>
                <w:color w:val="auto"/>
                <w:highlight w:val="none"/>
                <w:u w:val="none" w:color="auto"/>
                <w:vertAlign w:val="baseline"/>
              </w:rPr>
              <w:t>siitä johtuvan</w:t>
            </w:r>
            <w:r>
              <w:t xml:space="preserve"> järjestelmään rekisteröityjen tietojen puutteellisuuden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Jos leima puuttuu, EES:ään tallennettujen tietojen olisi oltava etusijalla.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11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60 kalenteripäivän aikana. Viimeistään 90 </w:t>
            </w:r>
            <w:r>
              <w:rPr>
                <w:b/>
                <w:i/>
                <w:strike w:val="0"/>
                <w:color w:val="auto"/>
                <w:highlight w:val="none"/>
                <w:u w:val="none" w:color="auto"/>
                <w:vertAlign w:val="baseline"/>
              </w:rPr>
              <w:t>kalenteripäivän kuluttua</w:t>
            </w:r>
            <w:r>
              <w:t xml:space="preserve">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sellaisilla rajanylityspaikoilla, joilla EES:ää käytetään ilman biometrisiä toimintoja.</w:t>
            </w:r>
          </w:p>
        </w:tc>
        <w:tc>
          <w:tcPr>
            <w:tcW w:w="4876" w:type="dxa"/>
            <w:vAlign w:val="top"/>
          </w:tcPr>
          <w:p>
            <w:pPr>
              <w:pStyle w:val="Normal6a"/>
            </w:pPr>
            <w:r>
              <w:t>(11)</w:t>
            </w:r>
            <w:r>
              <w:tab/>
            </w:r>
            <w:r>
              <w:t>Jotta jäsenvaltioilla olisi riittävästi aikaa mukautua EES:n käyttöönottoon, biometristen toimintojen käytön rajanylityspaikoilla ei tulisi olla pakollista asteittaisen käyttöönoton ensimmäisten 60 kalenteripäivän aikana. Viimeistään 90</w:t>
            </w:r>
            <w:r>
              <w:rPr>
                <w:b/>
                <w:i/>
                <w:strike w:val="0"/>
                <w:color w:val="auto"/>
                <w:highlight w:val="none"/>
                <w:u w:val="none" w:color="auto"/>
                <w:vertAlign w:val="baseline"/>
              </w:rPr>
              <w:t>. kalenteripäivään mennessä</w:t>
            </w:r>
            <w:r>
              <w:t xml:space="preserve">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sellaisilla rajanylityspaikoilla, joilla EES:ää käytetään ilman biometrisiä toimintoja.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23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Jotta voidaan varmistaa ulkorajojen vaikuttava valvonta EES:n asteittaisen käyttöönoton aikana niillä rajanylityspaikoilla, joilla EES:ää ei käytetä, rajatarkastukset olisi suoritettava asetuksen (EU) 2016/399 mukaisesti, sellaisena kuin sitä sovelletaan [päivänä, joka edeltää komission asetuksen (EU) 2017/2226 66 artiklan 1 kohdan mukaisesti päättämää EES:n käyttöönottopäivää]. Niillä rajanylityspaikoilla, joilla EES:ää käytetään, rajatarkastukset olisi suoritettava asetuksen (EU) 2017/2226 ja Schengenin rajasäännöstön mukaisesti. Näitä asetuksia koskevia erityisiä poikkeuksia olisi kuitenkin sovellettava todentamiseen niillä rajanylityspaikoilla, joilla EES:ää käytetään ilman biometrisiä toimintoja, jotta järjestelmä voidaan ottaa käyttöön asteittain. Tämä ei saisi vaikuttaa viisuminhaltijoiden todentamiseen sormenjälkien avulla asetuksen (EY) N:o </w:t>
            </w:r>
            <w:r>
              <w:rPr>
                <w:b/>
                <w:i/>
                <w:strike w:val="0"/>
                <w:color w:val="auto"/>
                <w:highlight w:val="none"/>
                <w:u w:val="none" w:color="auto"/>
                <w:vertAlign w:val="baseline"/>
              </w:rPr>
              <w:t>787</w:t>
            </w:r>
            <w:r>
              <w:t>/2008 mukaisesti.</w:t>
            </w:r>
          </w:p>
        </w:tc>
        <w:tc>
          <w:tcPr>
            <w:tcW w:w="4876" w:type="dxa"/>
            <w:vAlign w:val="top"/>
          </w:tcPr>
          <w:p>
            <w:pPr>
              <w:pStyle w:val="Normal6a"/>
            </w:pPr>
            <w:r>
              <w:t>(23)</w:t>
            </w:r>
            <w:r>
              <w:tab/>
            </w:r>
            <w:r>
              <w:t xml:space="preserve">Jotta voidaan varmistaa ulkorajojen vaikuttava valvonta EES:n asteittaisen käyttöönoton aikana niillä rajanylityspaikoilla, joilla EES:ää ei käytetä, rajatarkastukset olisi suoritettava asetuksen (EU) 2016/399 mukaisesti, sellaisena kuin sitä sovelletaan [päivänä, joka edeltää komission asetuksen (EU) 2017/2226 66 artiklan 1 kohdan mukaisesti päättämää EES:n käyttöönottopäivää]. Niillä rajanylityspaikoilla, joilla EES:ää käytetään, rajatarkastukset olisi suoritettava asetuksen (EU) 2017/2226 ja Schengenin rajasäännöstön mukaisesti. Näitä asetuksia koskevia erityisiä poikkeuksia olisi kuitenkin sovellettava todentamiseen niillä rajanylityspaikoilla, joilla EES:ää käytetään ilman biometrisiä toimintoja, jotta järjestelmä voidaan ottaa käyttöön asteittain. Tämä ei saisi vaikuttaa viisuminhaltijoiden todentamiseen sormenjälkien avulla asetuksen (EY) N:o </w:t>
            </w:r>
            <w:r>
              <w:rPr>
                <w:b/>
                <w:i/>
                <w:strike w:val="0"/>
                <w:color w:val="auto"/>
                <w:highlight w:val="none"/>
                <w:u w:val="none" w:color="auto"/>
                <w:vertAlign w:val="baseline"/>
              </w:rPr>
              <w:t>767</w:t>
            </w:r>
            <w:r>
              <w:t>/2008 mukaisesti.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24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Jotta teknisiä ja organisatorisia järjestelyjä voidaan mukauttaa toimivasti </w:t>
            </w:r>
            <w:r>
              <w:rPr>
                <w:b/>
                <w:i/>
                <w:strike w:val="0"/>
                <w:color w:val="auto"/>
                <w:highlight w:val="none"/>
                <w:u w:val="none" w:color="auto"/>
                <w:vertAlign w:val="baseline"/>
              </w:rPr>
              <w:t>EES:n asteittaisen käyttöönoton aikana kussakin jäsenvaltiossa</w:t>
            </w:r>
            <w:r>
              <w:t xml:space="preserve"> ja puuttua poikkeuksellisiin olosuhteisiin, jotka liittyvät EES:n keskusjärjestelmän, kansallisten järjestelmien tai viestintäinfrastruktuurin toimintahäiriöihin tai liiallisiin odotusaikoihin niiden rajoilla,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 </w:t>
            </w:r>
            <w:r>
              <w:rPr>
                <w:b/>
                <w:i/>
                <w:strike w:val="0"/>
                <w:color w:val="auto"/>
                <w:highlight w:val="none"/>
                <w:u w:val="none" w:color="auto"/>
                <w:vertAlign w:val="baseline"/>
              </w:rPr>
              <w:t>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 ja sitä olisi jatkettava 60 päivällä, jos alle 80 prosenttia EES:ään sen asteittaisen käyttöönoton aikana rekisteröidyistä henkilökohtaisista tiedostoista sisältää biometrisiä tietoja.</w:t>
            </w:r>
          </w:p>
        </w:tc>
        <w:tc>
          <w:tcPr>
            <w:tcW w:w="4876" w:type="dxa"/>
            <w:vAlign w:val="top"/>
          </w:tcPr>
          <w:p>
            <w:pPr>
              <w:pStyle w:val="Normal6a"/>
            </w:pPr>
            <w:r>
              <w:t>(24)</w:t>
            </w:r>
            <w:r>
              <w:tab/>
            </w:r>
            <w:r>
              <w:t xml:space="preserve">Jotta teknisiä ja organisatorisia järjestelyjä voidaan mukauttaa toimivasti ja puuttua </w:t>
            </w:r>
            <w:r>
              <w:rPr>
                <w:b/>
                <w:i/>
                <w:strike w:val="0"/>
                <w:color w:val="auto"/>
                <w:highlight w:val="none"/>
                <w:u w:val="none" w:color="auto"/>
                <w:vertAlign w:val="baseline"/>
              </w:rPr>
              <w:t>mahdollisiin</w:t>
            </w:r>
            <w:r>
              <w:t xml:space="preserve"> poikkeuksellisiin olosuhteisiin, jotka liittyvät EES:n keskusjärjestelmän, kansallisten järjestelmien tai viestintäinfrastruktuurin toimintahäiriöihin tai liiallisiin odotusaikoihin niiden rajoilla </w:t>
            </w:r>
            <w:r>
              <w:rPr>
                <w:b/>
                <w:i/>
                <w:strike w:val="0"/>
                <w:color w:val="auto"/>
                <w:highlight w:val="none"/>
                <w:u w:val="none" w:color="auto"/>
                <w:vertAlign w:val="baseline"/>
              </w:rPr>
              <w:t>EES:n asteittaisen käyttöönottovaiheen aikana</w:t>
            </w:r>
            <w:r>
              <w:t>,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24 a kappale (uusi)</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 a)</w:t>
            </w:r>
            <w:r>
              <w:tab/>
            </w:r>
            <w:r>
              <w:rPr>
                <w:b/>
                <w:i/>
                <w:strike w:val="0"/>
                <w:color w:val="auto"/>
                <w:highlight w:val="none"/>
                <w:u w:val="none" w:color="auto"/>
                <w:vertAlign w:val="baseline"/>
              </w:rPr>
              <w:t>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Johdanto-osan 27 kappale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Jäsenvaltiot eivät voi riittävällä tavalla saavuttaa tämän asetuksen tavoitetta, jonka mukaan sallitaan poikkeuksia asetuksesta (EU) 2017/2226 ja asetuksesta (EU) 2016/</w:t>
            </w:r>
            <w:r>
              <w:rPr>
                <w:b/>
                <w:i/>
                <w:strike w:val="0"/>
                <w:color w:val="auto"/>
                <w:highlight w:val="none"/>
                <w:u w:val="none" w:color="auto"/>
                <w:vertAlign w:val="baseline"/>
              </w:rPr>
              <w:t>3299</w:t>
            </w:r>
            <w:r>
              <w:t xml:space="preserve"> EES:n asteittaisen käyttöönoton mahdollistamiseksi, vaan se voidaan toiminnan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vAlign w:val="top"/>
          </w:tcPr>
          <w:p>
            <w:pPr>
              <w:pStyle w:val="Normal6a"/>
            </w:pPr>
            <w:r>
              <w:t>(27)</w:t>
            </w:r>
            <w:r>
              <w:tab/>
            </w:r>
            <w:r>
              <w:t>Jäsenvaltiot eivät voi riittävällä tavalla saavuttaa tämän asetuksen tavoitetta, jonka mukaan sallitaan poikkeuksia asetuksesta (EU) 2017/2226 ja asetuksesta (EU) 2016/</w:t>
            </w:r>
            <w:r>
              <w:rPr>
                <w:b/>
                <w:i/>
                <w:strike w:val="0"/>
                <w:color w:val="auto"/>
                <w:highlight w:val="none"/>
                <w:u w:val="none" w:color="auto"/>
                <w:vertAlign w:val="baseline"/>
              </w:rPr>
              <w:t>399</w:t>
            </w:r>
            <w:r>
              <w:t xml:space="preserve"> EES:n asteittaisen käyttöönoton mahdollistamiseksi, vaan se voidaan toiminnan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2 – paragraph 1 – point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’arvioidulla rajanylitysten lukumäärällä’ kunkin jäsenvaltion arviota asetuksen (EU) 2017/2226 2 artiklan 1 ja 2 kohdassa tarkoitettujen kolmansien maiden kansalaisten rajanylitysten lukumäärästä kyseisessä jäsenvaltiossa, perusteena kyseiseen jäsenvaltioon lyhytaikaista oleskelua varten matkustavien kolmansien maiden kansalaisten rajanylitysten vuosittainen keskiarvo </w:t>
            </w:r>
            <w:r>
              <w:rPr>
                <w:b/>
                <w:i/>
                <w:strike w:val="0"/>
                <w:color w:val="auto"/>
                <w:highlight w:val="none"/>
                <w:u w:val="none" w:color="auto"/>
                <w:vertAlign w:val="baseline"/>
              </w:rPr>
              <w:t>kolmelta</w:t>
            </w:r>
            <w:r>
              <w:t xml:space="preserve"> edeltävältä </w:t>
            </w:r>
            <w:r>
              <w:rPr>
                <w:b/>
                <w:i/>
                <w:strike w:val="0"/>
                <w:color w:val="auto"/>
                <w:highlight w:val="none"/>
                <w:u w:val="none" w:color="auto"/>
                <w:vertAlign w:val="baseline"/>
              </w:rPr>
              <w:t>vuodelta</w:t>
            </w:r>
            <w:r>
              <w:t xml:space="preserve"> tämän asetuksen 8 artiklan 1 kohdan toisessa alakohdassa tarkoitetusta soveltamispäivästä alkaen.</w:t>
            </w:r>
          </w:p>
        </w:tc>
        <w:tc>
          <w:tcPr>
            <w:tcW w:w="4876" w:type="dxa"/>
            <w:vAlign w:val="top"/>
          </w:tcPr>
          <w:p>
            <w:pPr>
              <w:pStyle w:val="Normal6a"/>
            </w:pPr>
            <w:r>
              <w:t>c)</w:t>
            </w:r>
            <w:r>
              <w:tab/>
            </w:r>
            <w:r>
              <w:t xml:space="preserve">’arvioidulla rajanylitysten lukumäärällä’ kunkin jäsenvaltion arviota asetuksen (EU) 2017/2226 2 artiklan 1 ja 2 kohdassa tarkoitettujen kolmansien maiden kansalaisten rajanylitysten lukumäärästä kyseisessä jäsenvaltiossa, perusteena kyseiseen jäsenvaltioon lyhytaikaista oleskelua varten matkustavien kolmansien maiden kansalaisten rajanylitysten vuosittainen keskiarvo edeltävältä </w:t>
            </w:r>
            <w:r>
              <w:rPr>
                <w:b/>
                <w:i/>
                <w:strike w:val="0"/>
                <w:color w:val="auto"/>
                <w:highlight w:val="none"/>
                <w:u w:val="none" w:color="auto"/>
                <w:vertAlign w:val="baseline"/>
              </w:rPr>
              <w:t>kalenterivuodelta</w:t>
            </w:r>
            <w:r>
              <w:t xml:space="preserve"> tämän asetuksen 8 artiklan 1 kohdan toisessa alakohdassa tarkoitetusta soveltamispäivästä alkaen.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artikla – otsikko</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Käyttöönottosuunnitelmat</w:t>
            </w:r>
          </w:p>
        </w:tc>
        <w:tc>
          <w:tcPr>
            <w:tcW w:w="4876" w:type="dxa"/>
            <w:vAlign w:val="top"/>
          </w:tcPr>
          <w:p>
            <w:pPr>
              <w:pStyle w:val="Normal6a"/>
            </w:pPr>
            <w:r>
              <w:t xml:space="preserve">Käyttöönottosuunnitelmat </w:t>
            </w:r>
            <w:r>
              <w:rPr>
                <w:b/>
                <w:i/>
                <w:strike w:val="0"/>
                <w:color w:val="auto"/>
                <w:highlight w:val="none"/>
                <w:u w:val="none" w:color="auto"/>
                <w:vertAlign w:val="baseline"/>
              </w:rPr>
              <w:t>ja kuukausittaiset raportit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w:t>
            </w:r>
            <w:r>
              <w:rPr>
                <w:b/>
                <w:i/>
                <w:strike w:val="0"/>
                <w:color w:val="auto"/>
                <w:highlight w:val="none"/>
                <w:u w:val="none" w:color="auto"/>
                <w:vertAlign w:val="baseline"/>
              </w:rPr>
              <w:t>, mukaan lukien EES:n keskusjärjestelmän kapasiteettirajoitukset</w:t>
            </w:r>
            <w:r>
              <w:t>.</w:t>
            </w:r>
          </w:p>
        </w:tc>
        <w:tc>
          <w:tcPr>
            <w:tcW w:w="4876" w:type="dxa"/>
            <w:vAlign w:val="top"/>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Jäsenvaltioiden on komissiota ja eu-LISAa kuullen laadittava viimeistään [60 kalenteripäivän kuluttua tämän asetuksen voimaantulosta] EES:n asteittaista käyttöönottoa </w:t>
            </w:r>
            <w:r>
              <w:rPr>
                <w:b/>
                <w:i/>
                <w:strike w:val="0"/>
                <w:color w:val="auto"/>
                <w:highlight w:val="none"/>
                <w:u w:val="none" w:color="auto"/>
                <w:vertAlign w:val="baseline"/>
              </w:rPr>
              <w:t>koskeva kansallinen käyttöönottosuunnitelma</w:t>
            </w:r>
            <w:r>
              <w:t xml:space="preserve">, </w:t>
            </w:r>
            <w:r>
              <w:rPr>
                <w:b/>
                <w:i/>
                <w:strike w:val="0"/>
                <w:color w:val="auto"/>
                <w:highlight w:val="none"/>
                <w:u w:val="none" w:color="auto"/>
                <w:vertAlign w:val="baseline"/>
              </w:rPr>
              <w:t>jossa</w:t>
            </w:r>
            <w:r>
              <w:t xml:space="preserve"> otetaan huomioon tämän artiklan 1 kohdassa tarkoitettu korkean tason käyttöönottosuunnitelma ja 4 artiklassa säädetyt </w:t>
            </w:r>
            <w:r>
              <w:rPr>
                <w:b/>
                <w:i/>
                <w:strike w:val="0"/>
                <w:color w:val="auto"/>
                <w:highlight w:val="none"/>
                <w:u w:val="none" w:color="auto"/>
                <w:vertAlign w:val="baseline"/>
              </w:rPr>
              <w:t>vaiheet</w:t>
            </w:r>
            <w:r>
              <w:t>.</w:t>
            </w:r>
          </w:p>
        </w:tc>
        <w:tc>
          <w:tcPr>
            <w:tcW w:w="4876" w:type="dxa"/>
            <w:vAlign w:val="top"/>
          </w:tcPr>
          <w:p>
            <w:pPr>
              <w:pStyle w:val="Normal6a"/>
            </w:pPr>
            <w:r>
              <w:t>2.</w:t>
            </w:r>
            <w:r>
              <w:tab/>
            </w:r>
            <w:r>
              <w:t xml:space="preserve">Jäsenvaltioiden on komissiota ja eu-LISAa kuullen laadittava viimeistään [60 kalenteripäivän kuluttua tämän asetuksen voimaantulosta] EES:n asteittaista käyttöönottoa </w:t>
            </w:r>
            <w:r>
              <w:rPr>
                <w:b/>
                <w:i/>
                <w:strike w:val="0"/>
                <w:color w:val="auto"/>
                <w:highlight w:val="none"/>
                <w:u w:val="none" w:color="auto"/>
                <w:vertAlign w:val="baseline"/>
              </w:rPr>
              <w:t>koskevat kansalliset käyttöönottosuunnitelmat</w:t>
            </w:r>
            <w:r>
              <w:t xml:space="preserve">, </w:t>
            </w:r>
            <w:r>
              <w:rPr>
                <w:b/>
                <w:i/>
                <w:strike w:val="0"/>
                <w:color w:val="auto"/>
                <w:highlight w:val="none"/>
                <w:u w:val="none" w:color="auto"/>
                <w:vertAlign w:val="baseline"/>
              </w:rPr>
              <w:t>joissa</w:t>
            </w:r>
            <w:r>
              <w:t xml:space="preserve"> otetaan huomioon tämän artiklan 1 kohdassa tarkoitettu korkean tason käyttöönottosuunnitelma</w:t>
            </w:r>
            <w:r>
              <w:rPr>
                <w:b/>
                <w:i/>
                <w:strike w:val="0"/>
                <w:color w:val="auto"/>
                <w:highlight w:val="none"/>
                <w:u w:val="none" w:color="auto"/>
                <w:vertAlign w:val="baseline"/>
              </w:rPr>
              <w:t>,</w:t>
            </w:r>
            <w:r>
              <w:t xml:space="preserve"> ja </w:t>
            </w:r>
            <w:r>
              <w:rPr>
                <w:b/>
                <w:i/>
                <w:strike w:val="0"/>
                <w:color w:val="auto"/>
                <w:highlight w:val="none"/>
                <w:u w:val="none" w:color="auto"/>
                <w:vertAlign w:val="baseline"/>
              </w:rPr>
              <w:t>esitettävä kyseiset suunnitelmat komissiolle.</w:t>
            </w:r>
            <w:r>
              <w:rPr>
                <w:b/>
                <w:i/>
                <w:strike w:val="0"/>
                <w:color w:val="auto"/>
                <w:highlight w:val="none"/>
                <w:u w:val="none" w:color="auto"/>
                <w:vertAlign w:val="baseline"/>
              </w:rPr>
              <w:t xml:space="preserve"> </w:t>
            </w:r>
            <w:r>
              <w:rPr>
                <w:b/>
                <w:i/>
                <w:strike w:val="0"/>
                <w:color w:val="auto"/>
                <w:highlight w:val="none"/>
                <w:u w:val="none" w:color="auto"/>
                <w:vertAlign w:val="baseline"/>
              </w:rPr>
              <w:t>Jos jäsenvaltio ei aloita EES:n täysimittaista käyttöä heti EES:n asteittaisen käyttöönoton alusta lähtien, kansallisessa käyttöönottosuunnitelmassa on täsmennettävä, miten</w:t>
            </w:r>
            <w:r>
              <w:t xml:space="preserve"> 4 artiklassa säädetyt </w:t>
            </w:r>
            <w:r>
              <w:rPr>
                <w:b/>
                <w:i/>
                <w:strike w:val="0"/>
                <w:color w:val="auto"/>
                <w:highlight w:val="none"/>
                <w:u w:val="none" w:color="auto"/>
                <w:vertAlign w:val="baseline"/>
              </w:rPr>
              <w:t>kynnysarvot ja vaatimukset täytetään</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Kansallisissa käyttöönottosuunnitelmissa on esitettävä kunkin 4 artiklassa säädetyn vaiheen osalta tiedot kyseisessä artiklassa säädetyistä kynnysarvoista ja vaatimuksista.</w:t>
            </w:r>
          </w:p>
        </w:tc>
        <w:tc>
          <w:tcPr>
            <w:tcW w:w="4876" w:type="dxa"/>
            <w:vAlign w:val="top"/>
          </w:tcPr>
          <w:p>
            <w:pPr>
              <w:pStyle w:val="Normal6a"/>
            </w:pPr>
            <w:r>
              <w:rPr>
                <w:b/>
                <w:i/>
                <w:strike w:val="0"/>
                <w:color w:val="auto"/>
                <w:highlight w:val="none"/>
                <w:u w:val="none" w:color="auto"/>
                <w:vertAlign w:val="baseline"/>
              </w:rPr>
              <w:t>Poistetaan.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Jäsenvaltioiden on 30 kalenteripäivän kuluttua EES</w:t>
            </w:r>
            <w:r>
              <w:rPr>
                <w:b/>
                <w:i/>
                <w:strike w:val="0"/>
                <w:color w:val="auto"/>
                <w:highlight w:val="none"/>
                <w:u w:val="none" w:color="auto"/>
                <w:vertAlign w:val="baseline"/>
              </w:rPr>
              <w:t>:n asteittaisesta käyttöönotosta</w:t>
            </w:r>
            <w:r>
              <w:t xml:space="preserve"> toimitettava komissiolle ja eu-LISAlle kuukausittain raportit kansallisten käyttöönottosuunnitelmiensa täytäntöönpanosta, mukaan lukien tarvittaessa korjaavat toimenpiteet 4 artiklassa säädettyjen velvoitteiden noudattamiseksi.</w:t>
            </w:r>
          </w:p>
        </w:tc>
        <w:tc>
          <w:tcPr>
            <w:tcW w:w="4876" w:type="dxa"/>
            <w:vAlign w:val="top"/>
          </w:tcPr>
          <w:p>
            <w:pPr>
              <w:pStyle w:val="Normal6a"/>
            </w:pPr>
            <w:r>
              <w:t>4.</w:t>
            </w:r>
            <w:r>
              <w:tab/>
            </w:r>
            <w:r>
              <w:t xml:space="preserve">Jäsenvaltioiden on 30 kalenteripäivän kuluttua </w:t>
            </w:r>
            <w:r>
              <w:rPr>
                <w:b/>
                <w:i/>
                <w:strike w:val="0"/>
                <w:color w:val="auto"/>
                <w:highlight w:val="none"/>
                <w:u w:val="none" w:color="auto"/>
                <w:vertAlign w:val="baseline"/>
              </w:rPr>
              <w:t>päivästä, jona</w:t>
            </w:r>
            <w:r>
              <w:t xml:space="preserve"> EES </w:t>
            </w:r>
            <w:r>
              <w:rPr>
                <w:b/>
                <w:i/>
                <w:strike w:val="0"/>
                <w:color w:val="auto"/>
                <w:highlight w:val="none"/>
                <w:u w:val="none" w:color="auto"/>
                <w:vertAlign w:val="baseline"/>
              </w:rPr>
              <w:t>otetaan käyttöön ja jonka komissio päättää asetuksen (EU) 2017/2226 66 artiklan 1 kohdan mukaisesti,</w:t>
            </w:r>
            <w:r>
              <w:t xml:space="preserve"> toimitettava komissiolle ja eu-LISAlle kuukausittain raportit kansallisten käyttöönottosuunnitelmiensa täytäntöönpanosta, mukaan lukien tarvittaessa korjaavat toimenpiteet 4 artiklassa säädettyjen velvoitteiden noudattamiseksi.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eu-LISA toimittaa komissiolle sen pyynnöstä kansallisten käyttöönottosuunnitelmien seurannassa tarvittavat tilastot asetuksen (EU) 2017/2226 63 artiklan 6 kohdan mukaisesti.</w:t>
            </w:r>
          </w:p>
        </w:tc>
        <w:tc>
          <w:tcPr>
            <w:tcW w:w="4876" w:type="dxa"/>
            <w:vAlign w:val="top"/>
          </w:tcPr>
          <w:p>
            <w:pPr>
              <w:pStyle w:val="Normal6a"/>
            </w:pPr>
            <w:r>
              <w:t>5.</w:t>
            </w:r>
            <w:r>
              <w:tab/>
            </w:r>
            <w:r>
              <w:t xml:space="preserve">eu-LISA toimittaa komissiolle sen pyynnöstä </w:t>
            </w:r>
            <w:r>
              <w:rPr>
                <w:b/>
                <w:i/>
                <w:strike w:val="0"/>
                <w:color w:val="auto"/>
                <w:highlight w:val="none"/>
                <w:u w:val="none" w:color="auto"/>
                <w:vertAlign w:val="baseline"/>
              </w:rPr>
              <w:t>korkean tason käyttöönottosuunnitelman ja</w:t>
            </w:r>
            <w:r>
              <w:t xml:space="preserve"> kansallisten käyttöönottosuunnitelmien seurannassa tarvittavat tilastot asetuksen (EU) 2017/2226 63 artiklan 6 kohdan mukaisesti.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artikla – 2 kohta – 1 alakohta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Kunkin jäsenvaltion on EES:n asteittaisen käyttöönoton alusta alkaen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rekisteröitävä EES:ään vähintään 10 prosenttia arvioidusta rajanylitysten lukumäärästä kyseisessä jäsenvaltiossa.</w:t>
            </w:r>
          </w:p>
        </w:tc>
        <w:tc>
          <w:tcPr>
            <w:tcW w:w="4876" w:type="dxa"/>
            <w:vAlign w:val="top"/>
          </w:tcPr>
          <w:p>
            <w:pPr>
              <w:pStyle w:val="Normal6a"/>
            </w:pPr>
            <w:r>
              <w:t xml:space="preserve">Kunkin jäsenvaltion on EES:n asteittaisen käyttöönoton alusta alkaen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w:t>
            </w:r>
            <w:r>
              <w:rPr>
                <w:b/>
                <w:i/>
                <w:strike w:val="0"/>
                <w:color w:val="auto"/>
                <w:highlight w:val="none"/>
                <w:u w:val="none" w:color="auto"/>
                <w:vertAlign w:val="baseline"/>
              </w:rPr>
              <w:t>viimeistään 30. kalenteripäivään mennessä EES:n asteittaisesta käyttöönotosta</w:t>
            </w:r>
            <w:r>
              <w:t xml:space="preserve"> rekisteröitävä EES:ään vähintään 10 prosenttia arvioidusta rajanylitysten lukumäärästä kyseisessä jäsenvaltiossa.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artikla – 3 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Jäsenvaltioiden on käytettävä EES:n biometrisiä toimintoja vähintään puolessa rajanylityspaikoistaan viimeistään 90 </w:t>
            </w:r>
            <w:r>
              <w:rPr>
                <w:b/>
                <w:i/>
                <w:strike w:val="0"/>
                <w:color w:val="auto"/>
                <w:highlight w:val="none"/>
                <w:u w:val="none" w:color="auto"/>
                <w:vertAlign w:val="baseline"/>
              </w:rPr>
              <w:t>kalenteripäivän kuluttua</w:t>
            </w:r>
            <w:r>
              <w:t xml:space="preserve"> asteittaisen käyttöönoton aloittamisesta. Jäsenvaltioiden on rekisteröitävä EES:ään vähintään </w:t>
            </w:r>
            <w:r>
              <w:rPr>
                <w:b/>
                <w:i/>
                <w:strike w:val="0"/>
                <w:color w:val="auto"/>
                <w:highlight w:val="none"/>
                <w:u w:val="none" w:color="auto"/>
                <w:vertAlign w:val="baseline"/>
              </w:rPr>
              <w:t>50</w:t>
            </w:r>
            <w:r>
              <w:t xml:space="preserve"> prosenttia arvioidusta rajanylitysten lukumäärästä kyseisessä jäsenvaltiossa. Asetuksen (EU) 2017/2226 2 artiklan 1 ja 2 kohdassa tarkoitettujen, EES:ään rekisteröityjen kolmansien maiden kansalaisten henkilökohtaisissa tiedostoissa on oltava biometriset tiedot.</w:t>
            </w:r>
          </w:p>
        </w:tc>
        <w:tc>
          <w:tcPr>
            <w:tcW w:w="4876" w:type="dxa"/>
            <w:vAlign w:val="top"/>
          </w:tcPr>
          <w:p>
            <w:pPr>
              <w:pStyle w:val="Normal6a"/>
            </w:pPr>
            <w:r>
              <w:t>3.</w:t>
            </w:r>
            <w:r>
              <w:tab/>
            </w:r>
            <w:r>
              <w:t>Jäsenvaltioiden on käytettävä EES:n biometrisiä toimintoja vähintään puolessa rajanylityspaikoistaan viimeistään 90</w:t>
            </w:r>
            <w:r>
              <w:rPr>
                <w:b/>
                <w:i/>
                <w:strike w:val="0"/>
                <w:color w:val="auto"/>
                <w:highlight w:val="none"/>
                <w:u w:val="none" w:color="auto"/>
                <w:vertAlign w:val="baseline"/>
              </w:rPr>
              <w:t>. kalenteripäivään mennessä</w:t>
            </w:r>
            <w:r>
              <w:t xml:space="preserve"> asteittaisen käyttöönoton aloittamisesta. Jäsenvaltioiden on rekisteröitävä EES:ään vähintään </w:t>
            </w:r>
            <w:r>
              <w:rPr>
                <w:b/>
                <w:i/>
                <w:strike w:val="0"/>
                <w:color w:val="auto"/>
                <w:highlight w:val="none"/>
                <w:u w:val="none" w:color="auto"/>
                <w:vertAlign w:val="baseline"/>
              </w:rPr>
              <w:t>35</w:t>
            </w:r>
            <w:r>
              <w:t> prosenttia arvioidusta rajanylitysten lukumäärästä kyseisessä jäsenvaltiossa. Asetuksen (EU) 2017/2226 2 artiklan 1 ja 2 kohdassa tarkoitettujen, EES:ään rekisteröityjen kolmansien maiden kansalaisten henkilökohtaisissa tiedostoissa on oltava biometriset tiedot.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artikla – 4 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Jäsenvaltioiden on käytettävä EES:n biometrisiä toimintoja kaikilla rajanylityspaikoillaan viimeistään 150 </w:t>
            </w:r>
            <w:r>
              <w:rPr>
                <w:b/>
                <w:i/>
                <w:strike w:val="0"/>
                <w:color w:val="auto"/>
                <w:highlight w:val="none"/>
                <w:u w:val="none" w:color="auto"/>
                <w:vertAlign w:val="baseline"/>
              </w:rPr>
              <w:t>kalenteripäivän kuluttua</w:t>
            </w:r>
            <w:r>
              <w:t xml:space="preserve"> EES:n asteittaisesta käyttöönotosta ja rekisteröitävä EES:ään edelleen vähintään 50 prosenttia arvioidusta rajanylitysten lukumäärästä kyseisessä jäsenvaltiossa.</w:t>
            </w:r>
          </w:p>
        </w:tc>
        <w:tc>
          <w:tcPr>
            <w:tcW w:w="4876" w:type="dxa"/>
            <w:vAlign w:val="top"/>
          </w:tcPr>
          <w:p>
            <w:pPr>
              <w:pStyle w:val="Normal6a"/>
            </w:pPr>
            <w:r>
              <w:t>4.</w:t>
            </w:r>
            <w:r>
              <w:tab/>
            </w:r>
            <w:r>
              <w:t>Jäsenvaltioiden on käytettävä EES:n biometrisiä toimintoja kaikilla rajanylityspaikoillaan viimeistään 150</w:t>
            </w:r>
            <w:r>
              <w:rPr>
                <w:b/>
                <w:i/>
                <w:strike w:val="0"/>
                <w:color w:val="auto"/>
                <w:highlight w:val="none"/>
                <w:u w:val="none" w:color="auto"/>
                <w:vertAlign w:val="baseline"/>
              </w:rPr>
              <w:t>. kalenteripäivään mennessä</w:t>
            </w:r>
            <w:r>
              <w:t xml:space="preserve"> EES:n asteittaisesta käyttöönotosta ja rekisteröitävä EES:ään edelleen vähintään 50 prosenttia arvioidusta rajanylitysten lukumäärästä kyseisessä jäsenvaltiossa.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artikla – 5 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Jäsenvaltioiden on käytettävä EES:n biometrisiä toimintoja kaikilla rajanylityspaikoillaan viimeistään 170 </w:t>
            </w:r>
            <w:r>
              <w:rPr>
                <w:b/>
                <w:i/>
                <w:strike w:val="0"/>
                <w:color w:val="auto"/>
                <w:highlight w:val="none"/>
                <w:u w:val="none" w:color="auto"/>
                <w:vertAlign w:val="baseline"/>
              </w:rPr>
              <w:t>kalenteripäivän kuluttua</w:t>
            </w:r>
            <w:r>
              <w:t xml:space="preserve"> EES:n asteittaisesta käyttöönotosta ja rekisteröitävä EES:ään kaikki asetuksen (EU) 2017/2226 2 artiklan 1 ja 2 kohdassa tarkoitetut kolmansien maiden kansalaiset.</w:t>
            </w:r>
          </w:p>
        </w:tc>
        <w:tc>
          <w:tcPr>
            <w:tcW w:w="4876" w:type="dxa"/>
            <w:vAlign w:val="top"/>
          </w:tcPr>
          <w:p>
            <w:pPr>
              <w:pStyle w:val="Normal6a"/>
            </w:pPr>
            <w:r>
              <w:t>5.</w:t>
            </w:r>
            <w:r>
              <w:tab/>
            </w:r>
            <w:r>
              <w:t>Jäsenvaltioiden on käytettävä EES:n biometrisiä toimintoja kaikilla rajanylityspaikoillaan viimeistään 170</w:t>
            </w:r>
            <w:r>
              <w:rPr>
                <w:b/>
                <w:i/>
                <w:strike w:val="0"/>
                <w:color w:val="auto"/>
                <w:highlight w:val="none"/>
                <w:u w:val="none" w:color="auto"/>
                <w:vertAlign w:val="baseline"/>
              </w:rPr>
              <w:t>. kalenteripäivään mennessä</w:t>
            </w:r>
            <w:r>
              <w:t xml:space="preserve"> EES:n asteittaisesta käyttöönotosta ja rekisteröitävä EES:ään kaikki asetuksen (EU) 2017/2226 2 artiklan 1 ja 2 kohdassa tarkoitetut kolmansien maiden kansalaiset.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artikla – 4 kohta – 2 alakohta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Tätä olettamaa ei sovelleta kolmansien maiden kansalaisiin, jotka voivat esittää millä tahansa tavalla uskottavan näytön siitä, että heillä on unionin oikeuden mukainen oikeus vapaaseen liikkuvuuteen tai </w:t>
            </w:r>
            <w:r>
              <w:rPr>
                <w:b/>
                <w:i/>
                <w:strike w:val="0"/>
                <w:color w:val="auto"/>
                <w:highlight w:val="none"/>
                <w:u w:val="none" w:color="auto"/>
                <w:vertAlign w:val="baseline"/>
              </w:rPr>
              <w:t>oikeus oleskella vastaanottavassa jäsenvaltiossa EU:n ja Yhdistyneen kuningaskunnan erosopimuksen nojalla tai</w:t>
            </w:r>
            <w:r>
              <w:t xml:space="preserve"> että heillä on oleskelulupa tai pitkäaikainen viisumi.</w:t>
            </w:r>
          </w:p>
        </w:tc>
        <w:tc>
          <w:tcPr>
            <w:tcW w:w="4876" w:type="dxa"/>
            <w:vAlign w:val="top"/>
          </w:tcPr>
          <w:p>
            <w:pPr>
              <w:pStyle w:val="Normal6a"/>
            </w:pPr>
            <w:r>
              <w:t>Tätä olettamaa ei sovelleta kolmansien maiden kansalaisiin, jotka voivat esittää millä tahansa tavalla uskottavan näytön siitä, että heillä on unionin oikeuden mukainen oikeus vapaaseen liikkuvuuteen tai että heillä on oleskelulupa tai pitkäaikainen viisumi.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artiklan 1 kohdan 4 alakohta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Kummassakin tapauksessa jäsenvaltioiden on viipymättä ja viimeistään kuuden tunnin kuluttua keskeytyksen alkamisesta ilmoitettava komissiolle ja eu-LISAlle keskeyttämisen (osittain tai kokonaan) syy ja sen odotettu kesto </w:t>
            </w:r>
            <w:r>
              <w:rPr>
                <w:b/>
                <w:i/>
                <w:strike w:val="0"/>
                <w:color w:val="auto"/>
                <w:highlight w:val="none"/>
                <w:u w:val="none" w:color="auto"/>
                <w:vertAlign w:val="baseline"/>
              </w:rPr>
              <w:t>sekä varmistettava, että tällaisesta keskeyttämisestä ilmoitetaan asianmukaisesti rajanylityspaikkojen infrastruktuurin ylläpitäjille ja liikenteenharjoittajille</w:t>
            </w:r>
            <w:r>
              <w:t xml:space="preserve">. Kun keskeyttämiseen johtaneet poikkeukselliset olosuhteet lakkaavat, jäsenvaltioiden on ilmoitettava siitä viipymättä komissiolle ja </w:t>
            </w:r>
            <w:r>
              <w:rPr>
                <w:b/>
                <w:i/>
                <w:strike w:val="0"/>
                <w:color w:val="auto"/>
                <w:highlight w:val="none"/>
                <w:u w:val="none" w:color="auto"/>
                <w:vertAlign w:val="baseline"/>
              </w:rPr>
              <w:t>eu-LISAlle</w:t>
            </w:r>
            <w:r>
              <w:t>.</w:t>
            </w:r>
          </w:p>
        </w:tc>
        <w:tc>
          <w:tcPr>
            <w:tcW w:w="4876" w:type="dxa"/>
            <w:vAlign w:val="top"/>
          </w:tcPr>
          <w:p>
            <w:pPr>
              <w:pStyle w:val="Normal6a"/>
            </w:pPr>
            <w:r>
              <w:t xml:space="preserve">Kummassakin tapauksessa jäsenvaltioiden on viipymättä </w:t>
            </w:r>
            <w:r>
              <w:rPr>
                <w:b/>
                <w:i/>
                <w:strike w:val="0"/>
                <w:color w:val="auto"/>
                <w:highlight w:val="none"/>
                <w:u w:val="none" w:color="auto"/>
                <w:vertAlign w:val="baseline"/>
              </w:rPr>
              <w:t>ilmoitettava asiasta rajanylityspaikkojen infrastruktuurin ylläpitäjille</w:t>
            </w:r>
            <w:r>
              <w:t xml:space="preserve"> ja </w:t>
            </w:r>
            <w:r>
              <w:rPr>
                <w:b/>
                <w:i/>
                <w:strike w:val="0"/>
                <w:color w:val="auto"/>
                <w:highlight w:val="none"/>
                <w:u w:val="none" w:color="auto"/>
                <w:vertAlign w:val="baseline"/>
              </w:rPr>
              <w:t>liikenteenharjoittajille.</w:t>
            </w:r>
            <w:r>
              <w:t xml:space="preserve"> </w:t>
            </w:r>
            <w:r>
              <w:rPr>
                <w:b/>
                <w:i/>
                <w:strike w:val="0"/>
                <w:color w:val="auto"/>
                <w:highlight w:val="none"/>
                <w:u w:val="none" w:color="auto"/>
                <w:vertAlign w:val="baseline"/>
              </w:rPr>
              <w:t>Jäsenvaltioiden on</w:t>
            </w:r>
            <w:r>
              <w:t xml:space="preserve"> viimeistään kuuden tunnin kuluttua keskeytyksen alkamisesta ilmoitettava komissiolle ja eu-LISAlle keskeyttämisen (osittain tai kokonaan) syy ja sen odotettu kesto. Kun keskeyttämiseen johtaneet poikkeukselliset olosuhteet lakkaavat, jäsenvaltioiden on </w:t>
            </w:r>
            <w:r>
              <w:rPr>
                <w:b/>
                <w:i/>
                <w:strike w:val="0"/>
                <w:color w:val="auto"/>
                <w:highlight w:val="none"/>
                <w:u w:val="none" w:color="auto"/>
                <w:vertAlign w:val="baseline"/>
              </w:rPr>
              <w:t>lopetettava keskeyttäminen ja</w:t>
            </w:r>
            <w:r>
              <w:t xml:space="preserve"> ilmoitettava siitä viipymättä komissiolle</w:t>
            </w:r>
            <w:r>
              <w:rPr>
                <w:b/>
                <w:i/>
                <w:strike w:val="0"/>
                <w:color w:val="auto"/>
                <w:highlight w:val="none"/>
                <w:u w:val="none" w:color="auto"/>
                <w:vertAlign w:val="baseline"/>
              </w:rPr>
              <w:t>, eu-LISAlle sekä rajanylityspaikkojen infrastruktuurin ylläpitäjille</w:t>
            </w:r>
            <w:r>
              <w:t xml:space="preserve"> ja </w:t>
            </w:r>
            <w:r>
              <w:rPr>
                <w:b/>
                <w:i/>
                <w:strike w:val="0"/>
                <w:color w:val="auto"/>
                <w:highlight w:val="none"/>
                <w:u w:val="none" w:color="auto"/>
                <w:vertAlign w:val="baseline"/>
              </w:rPr>
              <w:t>liikenteenharjoittajille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artikla – 3 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Tämän artiklan 2 kohdassa säädettyä määräaikaa pidennetään automaattisesti 60 kalenteripäivällä, jos alle 80 prosenttia EES:ään sen asteittaisen käyttöönoton aikana rekisteröidyistä henkilökohtaisista tiedostoista sisältää biometrisiä tietoja.</w:t>
            </w:r>
          </w:p>
        </w:tc>
        <w:tc>
          <w:tcPr>
            <w:tcW w:w="4876" w:type="dxa"/>
            <w:vAlign w:val="top"/>
          </w:tcPr>
          <w:p>
            <w:pPr>
              <w:pStyle w:val="Normal6a"/>
            </w:pPr>
            <w:r>
              <w:rPr>
                <w:b/>
                <w:i/>
                <w:strike w:val="0"/>
                <w:color w:val="auto"/>
                <w:highlight w:val="none"/>
                <w:u w:val="none" w:color="auto"/>
                <w:vertAlign w:val="baseline"/>
              </w:rPr>
              <w:t>Poistetaan.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artikla – 4 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eu-LISA toimittaa komissiolle viimeistään kymmenen kalenteripäivän kuluttua EES:n asteittaisen käyttöönoton päättymisestä tilastot, joiden perusteella komissio voi tarkistaa, onko tämä prosenttiosuus saavutettu. Komissio ilmoittaa jäsenvaltioille tarkistuksensa tulokset viimeistään 30 kalenteripäivän kuluttua EES:n asteittaisen käyttöönoton päättymisestä.</w:t>
            </w:r>
          </w:p>
        </w:tc>
        <w:tc>
          <w:tcPr>
            <w:tcW w:w="4876" w:type="dxa"/>
            <w:vAlign w:val="top"/>
          </w:tcPr>
          <w:p>
            <w:pPr>
              <w:pStyle w:val="Normal6a"/>
            </w:pPr>
            <w:r>
              <w:rPr>
                <w:b/>
                <w:i/>
                <w:strike w:val="0"/>
                <w:color w:val="auto"/>
                <w:highlight w:val="none"/>
                <w:u w:val="none" w:color="auto"/>
                <w:vertAlign w:val="baseline"/>
              </w:rPr>
              <w:t>Poistetaan.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Tarkistus</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Ehdotus asetukseksi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artikla – 2 kohta – 1 alakohta – d alakohta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Komission teksti</w:t>
            </w:r>
          </w:p>
        </w:tc>
        <w:tc>
          <w:tcPr>
            <w:tcW w:w="4876" w:type="dxa"/>
            <w:vAlign w:val="top"/>
          </w:tcPr>
          <w:p>
            <w:pPr>
              <w:pStyle w:val="AmColumnHeading"/>
            </w:pPr>
            <w:r>
              <w:t>Tarkistus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7 artiklan 2 </w:t>
            </w:r>
            <w:r>
              <w:rPr>
                <w:b/>
                <w:i/>
                <w:strike w:val="0"/>
                <w:color w:val="auto"/>
                <w:highlight w:val="none"/>
                <w:u w:val="none" w:color="auto"/>
                <w:vertAlign w:val="baseline"/>
              </w:rPr>
              <w:t>ja 3</w:t>
            </w:r>
            <w:r>
              <w:t xml:space="preserve"> kohdan soveltaminen lakkaa </w:t>
            </w:r>
            <w:r>
              <w:rPr>
                <w:b/>
                <w:i/>
                <w:strike w:val="0"/>
                <w:color w:val="auto"/>
                <w:highlight w:val="none"/>
                <w:u w:val="none" w:color="auto"/>
                <w:vertAlign w:val="baseline"/>
              </w:rPr>
              <w:t>300</w:t>
            </w:r>
            <w:r>
              <w:t xml:space="preserve"> kalenteripäivän kuluttua päivästä, jonka komissio päättää asetuksen (EU) 2017/2226 66 artiklan 1 kohdan mukaisesti;</w:t>
            </w:r>
          </w:p>
        </w:tc>
        <w:tc>
          <w:tcPr>
            <w:tcW w:w="4876" w:type="dxa"/>
            <w:vAlign w:val="top"/>
          </w:tcPr>
          <w:p>
            <w:pPr>
              <w:pStyle w:val="Normal6a"/>
            </w:pPr>
            <w:r>
              <w:t>d)</w:t>
            </w:r>
            <w:r>
              <w:tab/>
            </w:r>
            <w:r>
              <w:t xml:space="preserve">7 artiklan 2 kohdan soveltaminen lakkaa </w:t>
            </w:r>
            <w:r>
              <w:rPr>
                <w:b/>
                <w:i/>
                <w:strike w:val="0"/>
                <w:color w:val="auto"/>
                <w:highlight w:val="none"/>
                <w:u w:val="none" w:color="auto"/>
                <w:vertAlign w:val="baseline"/>
              </w:rPr>
              <w:t>240</w:t>
            </w:r>
            <w:r>
              <w:t xml:space="preserve"> kalenteripäivän kuluttua päivästä, jonka komissio päättää asetuksen (EU) 2017/2226 66 artiklan 1 kohdan mukaisesti;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PERUSTELUT</w:t>
      </w:r>
      <w:bookmarkEnd w:id="1"/>
    </w:p>
    <w:p>
      <w:pPr>
        <w:pStyle w:val="Normal12a"/>
      </w:pPr>
      <w:r>
        <w:rPr>
          <w:rStyle w:val="Bold"/>
        </w:rPr>
        <w:t>Johdanto</w:t>
      </w:r>
    </w:p>
    <w:p>
      <w:pPr>
        <w:pStyle w:val="Normal12a"/>
      </w:pPr>
      <w:r>
        <w:t>Rajanylitystietojärjestelmä (EES), josta säädetään asetuksessa 2017/2226, jäljempänä ’EES‑asetus’, on keskeinen osa Schengen-alueen rajaturvallisuutta. EES:n keskitettyyn tietokantaan rekisteröidään tiedot 29 Schengen-jäsenvaltion ulkorajat lyhytaikaista oleskelua varten ylittävien kolmansien maiden kansalaisten maahantulosta, maastalähdöstä ja pääsyn epäämisestä. Se on tärkeä askel kohti EU:n tavoitetta parantaa turvallisuutta ja tehokkuutta ulkorajoillaan. EES on ensimmäinen järjestelmä, johon kerätään ulkorajat ylittävien kolmansien maiden kansalaisten aakkosnumeeristen tietojen lisäksi myös biometrisiä tietoja eli kasvokuvia ja sormenjälkiä. EES:n ansiosta Schengen-jäsenvaltiot saavat reaaliajassa pääsyn kolmansien maiden kansalaisten henkilötietoihin, matkustushistoriaan ja tietoihin siitä, ovatko he noudattaneet Schengen-alueella sallitun lyhytaikaisen oleskelun kestoa. Näin EES:n pitäisi vähentää henkilöllisyyspetosten ja sallitun oleskeluajan ylittämisen todennäköisyyttä, mikä viime kädessä vahvistaa Schengen-alueen turvallisuutta. Automatisoidun rajainfrastruktuurin asentamisen myötä EES:n pitäisi myös viime kädessä lyhentää vilpittömässä mielessä matkustavien henkilöiden odotusaikoja rajanylityspaikoilla.</w:t>
      </w:r>
    </w:p>
    <w:p>
      <w:pPr>
        <w:pStyle w:val="Normal12a"/>
      </w:pPr>
      <w:r>
        <w:t>EES:n kehittäminen on kestänyt odotettua kauemmin, eikä käyttöönoton tavoitepäivämääriä ole saavutettu. Yksi EES:n käyttöönoton edellytyksistä on, että komissio saa kultakin jäsenvaltiolta ilmoituksen siitä, että ne ovat valmiita järjestelmän käyttöönottoon. Tällä hetkellä kolme jäsenvaltiota on ilmoittanut, että ne eivät voi antaa tällaista ilmoitusta. Viivästyminen johtuu sekä kansallisista ongelmista että huolenaiheista, jotka liittyvät eu‑LISAn hallinnoiman keskusjärjestelmän vakauteen.</w:t>
      </w:r>
    </w:p>
    <w:p>
      <w:pPr>
        <w:pStyle w:val="Normal12a"/>
      </w:pPr>
      <w:r>
        <w:t>Tämän vuoksi useat EES:n toimintaan osallistuvat sidosryhmät katsoivat, että ennen kuin ulkorajoilla otetaan sovitusti käyttöön uusia prosesseja, olisi aiheellista säätää kansallisille viranomaisille ja matkustajille annettavasta sopeutumiskaudesta. Uuden laaja-alaisen tietojärjestelmän täysimittainen käyttöönotto kaikilla rajanylityspaikoilla voisi vaarantaa turvallisen ja sujuvan matkustamisen.</w:t>
      </w:r>
    </w:p>
    <w:p>
      <w:pPr>
        <w:pStyle w:val="Normal12a"/>
      </w:pPr>
      <w:r>
        <w:t>EES-asetuksen mukaan koko EES-järjestelmä on kuitenkin otettava käyttöön kerralla, mikä tarkoittaa, että kaikki jäsenvaltiot alkavat käyttää sitä täysimittaisesti ja samaan aikaan kaikilla ulkorajojen ylityspaikoillaan kaikkien niiden matkustajien osalta, jotka on rekisteröitävä EES:ään. Asetuksessa ei säädetä sopeutumiskauden mahdollisuudesta.</w:t>
      </w:r>
    </w:p>
    <w:p>
      <w:pPr>
        <w:pStyle w:val="Normal12a"/>
      </w:pPr>
      <w:r>
        <w:t>Näin ollen komissio esitti joulukuussa 2024 ehdotuksen EES:n asteittaisesta käyttöönotosta. Järjestelmän asteittainen käyttöönotto merkitsisi sitä, että jäsenvaltiot lisäisivät järjestelmän käyttöä yhä enemmän 180 päivän aikana, kunnes se otetaan täysimittaisesti käyttöön.</w:t>
      </w:r>
    </w:p>
    <w:p>
      <w:pPr>
        <w:pStyle w:val="Normal12a"/>
      </w:pPr>
      <w:r>
        <w:rPr>
          <w:rStyle w:val="Bold"/>
        </w:rPr>
        <w:t>Esittelijän kanta</w:t>
      </w:r>
    </w:p>
    <w:p>
      <w:pPr>
        <w:pStyle w:val="Normal12a"/>
      </w:pPr>
      <w:r>
        <w:t>Esittelijä kannattaa EES:ää ja sen tavoitteita parantaa turvallisuutta ja helpottaa henkilöiden liikkumista EU:n ulkorajoilla. Rajaturvallisuuden tehostamisen tarve korostui EU:n jäsenvaltioissa, myös Ranskassa ja Belgiassa, vuosina 2015 ja 2016 tapahtuneiden hirvittävien terrori-iskujen aallon myötä. Vaikka esittelijä on tietoinen vaikeuksista, jotka liittyvät merkittävän, uusia laitteisto- ja ohjelmistokomponentteja sisältävän järjestelmän perustamiseen sekä rajanylityspaikkojen menettelyjen muuttamiseen, hän pitää valitettavana, että kahdeksan vuotta asetuksen hyväksymisen jälkeen järjestelmä ei vieläkään ole toiminnassa. Turvallisuusuhat eivät ole vähentyneet vuoden 2017 jälkeen vaan päinvastoin. Esittelijä on periaatteessa samaa mieltä ehdotetusta asteittaisesta käyttöönotosta, jotta EES:n täysimittainen käyttöönotto olisi lopulta mahdollista.</w:t>
      </w:r>
    </w:p>
    <w:p>
      <w:pPr>
        <w:pStyle w:val="Normal12a"/>
      </w:pPr>
      <w:r>
        <w:t>Esittelijä ehdottaa komission ehdotukseen seuraavia muutoksia:</w:t>
      </w:r>
    </w:p>
    <w:p>
      <w:pPr>
        <w:pStyle w:val="Normal12a"/>
      </w:pPr>
      <w:r>
        <w:t>1. Esittelijä korostaa, että EES:n asteittainen käyttöönotto 180 päivän käyttöönottovaiheen aikana on vapaaehtoista. Jäsenvaltioiden, jotka päättävät käyttää EES:ää täysimittaisesti kaikkien EES:ään rekisteröitävien kolmansien maiden kansalaisten osalta alusta alkaen samanaikaisesti kaikilla rajanylityspaikoillaan, olisi voitava tehdä niin.</w:t>
      </w:r>
    </w:p>
    <w:p>
      <w:pPr>
        <w:pStyle w:val="Normal12a"/>
      </w:pPr>
      <w:r>
        <w:t>2. Jäsenvaltioille, jotka kuitenkin päättävät ottaa EES:n käyttöön asteittain, olisi annettava enemmän joustovaraa kuin komission ehdotuksessa esitetään. Sen sijaan, että jäsenvaltiot aloittaisivat vähintään 10 prosentin osuudesta ensimmäisestä päivästä alkaen, niiden olisi saavutettava 10 prosentin osuus ensimmäisten 30 päivän aikana asteittaisen käyttöönoton alkamisesta. Lisäksi sen sijaan, että 90. päivään mennessä EES:ään rekisteröidään vähintään 50 prosenttia arvioidusta rajanylitysten määrästä, olisi rekisteröitävien rajanylitysten osuuden oltava vähintään 35 prosenttia. Näissä mukautetuissa prosenttiosuuksissa otetaan huomioon se tosiseikka, että uusien monimutkaisten järjestelmien käyttöönotto on yleensä eksponentiaalista eikä lineaarista.</w:t>
      </w:r>
    </w:p>
    <w:p>
      <w:pPr>
        <w:pStyle w:val="Normal12a"/>
      </w:pPr>
      <w:r>
        <w:t>3. Esittelijä korostaa, että eu-LISAn hallinnoiman EES:n keskuskomponentin rajoitukset eivät saisi enää jarruttaa käyttöönottoa jäsenvaltioissa.</w:t>
      </w:r>
    </w:p>
    <w:p>
      <w:pPr>
        <w:pStyle w:val="Normal12a"/>
      </w:pPr>
      <w:r>
        <w:t>4. Esittelijä selventää tiettyjä säännöksiä, jotka koskevat käyttöönottosuunnitelmaa ja kuukausittaista raportointivelvoitetta, prosenttiosuuksien laskentaperustetta sekä tiedonkulkua tapauksissa, joissa järjestelmän käyttö joudutaan mahdollisesti keskeyttämään.</w:t>
      </w:r>
    </w:p>
    <w:p>
      <w:pPr>
        <w:pStyle w:val="Normal12a"/>
      </w:pPr>
      <w:r>
        <w:t>5. Esittelijä lyhentää ehdotettua asteittaisen käyttöönoton jälkeistä vaihetta, jonka aikana jäsenvaltiot voivat osittain keskeyttää EES:n käytön. Esittelijä korostaa, että niiden jäsenvaltioiden, jotka eivät ole vielä antaneet valmiutta koskevia ilmoituksiaan, on nyt tehtävä tämä kiireellisesti, jotta järjestelmä voidaan ottaa käyttöön syksyllä 2025, joka on hiljainen kausi rajat ylittävän matkustamisen kannalta.</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23</w:t>
    </w:r>
    <w:r>
      <w:fldChar w:fldCharType="end"/>
    </w:r>
    <w:r>
      <w:tab/>
    </w:r>
    <w:r>
      <w:rPr>
        <w:rStyle w:val="HideTWBExt"/>
      </w:rPr>
      <w:t>&lt;</w:t>
    </w:r>
    <w:r>
      <w:rPr>
        <w:rStyle w:val="HideTWBExt"/>
      </w:rPr>
      <w:t>PathFdR</w:t>
    </w:r>
    <w:r>
      <w:rPr>
        <w:rStyle w:val="HideTWBExt"/>
      </w:rPr>
      <w:t>&gt;</w:t>
    </w:r>
    <w:r>
      <w:t>PR\1316296FI.docx</w:t>
    </w:r>
    <w:r>
      <w:rPr>
        <w:rStyle w:val="HideTWBExt"/>
      </w:rPr>
      <w:t>&lt;/</w:t>
    </w:r>
    <w:r>
      <w:rPr>
        <w:rStyle w:val="HideTWBExt"/>
      </w:rPr>
      <w:t>PathFdR</w:t>
    </w:r>
    <w:r>
      <w:rPr>
        <w:rStyle w:val="HideTWBExt"/>
      </w:rPr>
      <w:t>&gt;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PR\1316296FI.docx</w:t>
    </w:r>
    <w:r>
      <w:rPr>
        <w:rStyle w:val="HideTWBExt"/>
      </w:rPr>
      <w:t>&lt;/</w:t>
    </w:r>
    <w:r>
      <w:rPr>
        <w:rStyle w:val="HideTWBExt"/>
      </w:rPr>
      <w:t>PathFdR</w:t>
    </w:r>
    <w:r>
      <w:rPr>
        <w:rStyle w:val="HideTWBExt"/>
      </w:rPr>
      <w:t>&gt;</w:t>
    </w:r>
    <w:r>
      <w:tab/>
    </w:r>
    <w:r>
      <w:fldChar w:fldCharType="begin"/>
    </w:r>
    <w:r>
      <w:instrText>PAGE</w:instrText>
    </w:r>
    <w:r>
      <w:fldChar w:fldCharType="separate"/>
    </w:r>
    <w:r>
      <w:t>23</w:t>
    </w:r>
    <w:r>
      <w:fldChar w:fldCharType="end"/>
    </w:r>
    <w:r>
      <w:t>/</w:t>
    </w:r>
    <w:r>
      <w:fldChar w:fldCharType="begin"/>
    </w:r>
    <w:r>
      <w:instrText>NUMPAGES</w:instrText>
    </w:r>
    <w:r>
      <w:fldChar w:fldCharType="separate"/>
    </w:r>
    <w:r>
      <w:t>23</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PR\1316296FI.docx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FI</w:t>
    </w:r>
    <w:r>
      <w:tab/>
    </w:r>
    <w:r>
      <w:rPr>
        <w:rStyle w:val="EPFooter2Motto"/>
      </w:rPr>
      <w:t>Moninaisuudessaan yhtenäinen</w:t>
    </w:r>
    <w:r>
      <w:tab/>
    </w:r>
    <w:r>
      <w:t>FI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20250318-135904-000272-062980</vt:lpwstr>
  </property>
  <property fmtid="{D5CDD505-2E9C-101B-9397-08002B2CF9AE}" pid="7" name="FooterPath">
    <vt:lpwstr>PR\1316296FI.doc</vt:lpwstr>
  </property>
  <property fmtid="{D5CDD505-2E9C-101B-9397-08002B2CF9AE}" pid="8" name="PE Number">
    <vt:lpwstr>770.093</vt:lpwstr>
  </property>
  <property fmtid="{D5CDD505-2E9C-101B-9397-08002B2CF9AE}" pid="9" name="UID">
    <vt:lpwstr>eu.europa.europarl-DIN1-2025-0000040829_01.05-fi-01.00_text-xml</vt:lpwstr>
  </property>
</Properties>
</file>