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24.1.0 -->
  <w:body>
    <w:tbl>
      <w:tblPr>
        <w:jc w:val="left"/>
        <w:tblLayout w:type="fixed"/>
        <w:tblCellMar>
          <w:top w:w="0" w:type="dxa"/>
          <w:left w:w="108" w:type="dxa"/>
          <w:bottom w:w="0" w:type="dxa"/>
          <w:right w:w="108" w:type="dxa"/>
        </w:tblCellMar>
      </w:tblPr>
      <w:tblGrid>
        <w:gridCol w:w="6804"/>
        <w:gridCol w:w="2488"/>
      </w:tblGrid>
      <w:tr>
        <w:tblPrEx>
          <w:jc w:val="left"/>
          <w:tblLayout w:type="fixed"/>
          <w:tblCellMar>
            <w:top w:w="0" w:type="dxa"/>
            <w:left w:w="108" w:type="dxa"/>
            <w:bottom w:w="0" w:type="dxa"/>
            <w:right w:w="108" w:type="dxa"/>
          </w:tblCellMar>
        </w:tblPrEx>
        <w:trPr>
          <w:cantSplit w:val="0"/>
          <w:trHeight w:hRule="exact" w:val="1420"/>
          <w:jc w:val="left"/>
        </w:trPr>
        <w:tc>
          <w:tcPr>
            <w:tcW w:w="6804" w:type="dxa"/>
            <w:vAlign w:val="center"/>
          </w:tcPr>
          <w:p>
            <w:pPr>
              <w:pStyle w:val="EPName"/>
            </w:pPr>
            <w:r w:rsidR="00A77B3E">
              <w:t>Europos Parlamentas</w:t>
            </w:r>
          </w:p>
          <w:p>
            <w:pPr>
              <w:pStyle w:val="EPTerm"/>
            </w:pPr>
            <w:r>
              <w:t>2024-2029</w:t>
            </w:r>
          </w:p>
        </w:tc>
        <w:tc>
          <w:tcPr>
            <w:tcW w:w="2488" w:type="dxa"/>
            <w:vAlign w:val="top"/>
          </w:tcPr>
          <w:p>
            <w:pPr>
              <w:pStyle w:val="EPLogo"/>
            </w:pPr>
            <w:r>
              <w:drawing>
                <wp:inline>
                  <wp:extent cx="1162812" cy="647954"/>
                  <wp:docPr id="100001"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1" name=""/>
                          <pic:cNvPicPr>
                            <a:picLocks noChangeAspect="1"/>
                          </pic:cNvPicPr>
                        </pic:nvPicPr>
                        <pic:blipFill>
                          <a:blip xmlns:r="http://schemas.openxmlformats.org/officeDocument/2006/relationships" r:embed="rId4"/>
                          <a:stretch>
                            <a:fillRect/>
                          </a:stretch>
                        </pic:blipFill>
                        <pic:spPr>
                          <a:xfrm>
                            <a:off x="0" y="0"/>
                            <a:ext cx="1162812" cy="647954"/>
                          </a:xfrm>
                          <a:prstGeom prst="rect">
                            <a:avLst/>
                          </a:prstGeom>
                        </pic:spPr>
                      </pic:pic>
                    </a:graphicData>
                  </a:graphic>
                </wp:inline>
              </w:drawing>
            </w:r>
          </w:p>
        </w:tc>
      </w:tr>
    </w:tbl>
    <w:p>
      <w:pPr>
        <w:pStyle w:val="LineTop"/>
      </w:pPr>
    </w:p>
    <w:p>
      <w:pPr>
        <w:pStyle w:val="EPBody"/>
      </w:pPr>
      <w:r>
        <w:rPr>
          <w:rStyle w:val="HideTWBExt"/>
        </w:rPr>
        <w:t>&lt;</w:t>
      </w:r>
      <w:r>
        <w:rPr>
          <w:rStyle w:val="HideTWBExt"/>
        </w:rPr>
        <w:t>Commission</w:t>
      </w:r>
      <w:r>
        <w:rPr>
          <w:rStyle w:val="HideTWBExt"/>
        </w:rPr>
        <w:t>&gt;</w:t>
      </w:r>
      <w:r>
        <w:rPr>
          <w:rStyle w:val="HideTWBInt"/>
        </w:rPr>
        <w:t>{</w:t>
      </w:r>
      <w:r>
        <w:rPr>
          <w:rStyle w:val="HideTWBInt"/>
        </w:rPr>
        <w:t>LIBE</w:t>
      </w:r>
      <w:r>
        <w:rPr>
          <w:rStyle w:val="HideTWBInt"/>
        </w:rPr>
        <w:t>}</w:t>
      </w:r>
      <w:r>
        <w:t>Piliečių laisvių, teisingumo ir vidaus reikalų komitetas</w:t>
      </w:r>
      <w:r>
        <w:rPr>
          <w:rStyle w:val="HideTWBExt"/>
        </w:rPr>
        <w:t>&lt;/</w:t>
      </w:r>
      <w:r>
        <w:rPr>
          <w:rStyle w:val="HideTWBExt"/>
        </w:rPr>
        <w:t>Commission</w:t>
      </w:r>
      <w:r>
        <w:rPr>
          <w:rStyle w:val="HideTWBExt"/>
        </w:rPr>
        <w:t>&gt;</w:t>
      </w:r>
    </w:p>
    <w:p>
      <w:pPr>
        <w:pStyle w:val="LineBottom"/>
      </w:pPr>
    </w:p>
    <w:p>
      <w:pPr>
        <w:pStyle w:val="CoverReference"/>
      </w:pPr>
      <w:r>
        <w:rPr>
          <w:rStyle w:val="HideTWBExt"/>
        </w:rPr>
        <w:t>&lt;</w:t>
      </w:r>
      <w:r>
        <w:rPr>
          <w:rStyle w:val="HideTWBExt"/>
        </w:rPr>
        <w:t>RefProc</w:t>
      </w:r>
      <w:r>
        <w:rPr>
          <w:rStyle w:val="HideTWBExt"/>
        </w:rPr>
        <w:t>&gt;</w:t>
      </w:r>
      <w:r>
        <w:t>2024/0315</w:t>
      </w:r>
      <w:r>
        <w:rPr>
          <w:rStyle w:val="HideTWBExt"/>
        </w:rPr>
        <w:t>&lt;/</w:t>
      </w:r>
      <w:r>
        <w:rPr>
          <w:rStyle w:val="HideTWBExt"/>
        </w:rPr>
        <w:t>RefProc</w:t>
      </w:r>
      <w:r>
        <w:rPr>
          <w:rStyle w:val="HideTWBExt"/>
        </w:rPr>
        <w:t>&gt;</w:t>
      </w:r>
      <w:r>
        <w:rPr>
          <w:rStyle w:val="HideTWBExt"/>
        </w:rPr>
        <w:t>&lt;</w:t>
      </w:r>
      <w:r>
        <w:rPr>
          <w:rStyle w:val="HideTWBExt"/>
        </w:rPr>
        <w:t>RefTypeProc</w:t>
      </w:r>
      <w:r>
        <w:rPr>
          <w:rStyle w:val="HideTWBExt"/>
        </w:rPr>
        <w:t>&gt;</w:t>
      </w:r>
      <w:r>
        <w:t>(COD)</w:t>
      </w:r>
      <w:r>
        <w:rPr>
          <w:rStyle w:val="HideTWBExt"/>
        </w:rPr>
        <w:t>&lt;/</w:t>
      </w:r>
      <w:r>
        <w:rPr>
          <w:rStyle w:val="HideTWBExt"/>
        </w:rPr>
        <w:t>RefTypeProc</w:t>
      </w:r>
      <w:r>
        <w:rPr>
          <w:rStyle w:val="HideTWBExt"/>
        </w:rPr>
        <w:t>&gt;</w:t>
      </w:r>
    </w:p>
    <w:p>
      <w:pPr>
        <w:pStyle w:val="CoverDate"/>
      </w:pPr>
      <w:r>
        <w:rPr>
          <w:rStyle w:val="HideTWBExt"/>
        </w:rPr>
        <w:t>&lt;</w:t>
      </w:r>
      <w:r>
        <w:rPr>
          <w:rStyle w:val="HideTWBExt"/>
        </w:rPr>
        <w:t>Date</w:t>
      </w:r>
      <w:r>
        <w:rPr>
          <w:rStyle w:val="HideTWBExt"/>
        </w:rPr>
        <w:t>&gt;</w:t>
      </w:r>
      <w:r>
        <w:rPr>
          <w:rStyle w:val="HideTWBInt"/>
        </w:rPr>
        <w:t>{</w:t>
      </w:r>
      <w:r>
        <w:rPr>
          <w:rStyle w:val="HideTWBInt"/>
        </w:rPr>
        <w:t>04/03/2025</w:t>
      </w:r>
      <w:r>
        <w:rPr>
          <w:rStyle w:val="HideTWBInt"/>
        </w:rPr>
        <w:t>}</w:t>
      </w:r>
      <w:r>
        <w:t>04.03.2025</w:t>
      </w:r>
      <w:r>
        <w:rPr>
          <w:rStyle w:val="HideTWBExt"/>
        </w:rPr>
        <w:t>&lt;/</w:t>
      </w:r>
      <w:r>
        <w:rPr>
          <w:rStyle w:val="HideTWBExt"/>
        </w:rPr>
        <w:t>Date</w:t>
      </w:r>
      <w:r>
        <w:rPr>
          <w:rStyle w:val="HideTWBExt"/>
        </w:rPr>
        <w:t>&gt;</w:t>
      </w:r>
    </w:p>
    <w:p>
      <w:pPr>
        <w:pStyle w:val="CoverDocType"/>
      </w:pPr>
      <w:r>
        <w:rPr>
          <w:rStyle w:val="HideTWBExt"/>
        </w:rPr>
        <w:t>&lt;</w:t>
      </w:r>
      <w:r>
        <w:rPr>
          <w:rStyle w:val="HideTWBExt"/>
        </w:rPr>
        <w:t>RefProcLect</w:t>
      </w:r>
      <w:r>
        <w:rPr>
          <w:rStyle w:val="HideTWBExt"/>
        </w:rPr>
        <w:t>&gt;</w:t>
      </w:r>
      <w:r>
        <w:t>***I</w:t>
      </w:r>
      <w:r>
        <w:rPr>
          <w:rStyle w:val="HideTWBExt"/>
        </w:rPr>
        <w:t>&lt;/</w:t>
      </w:r>
      <w:r>
        <w:rPr>
          <w:rStyle w:val="HideTWBExt"/>
        </w:rPr>
        <w:t>RefProcLect</w:t>
      </w:r>
      <w:r>
        <w:rPr>
          <w:rStyle w:val="HideTWBExt"/>
        </w:rPr>
        <w:t>&gt;</w:t>
      </w:r>
    </w:p>
    <w:p>
      <w:pPr>
        <w:pStyle w:val="CoverDocType24a"/>
      </w:pPr>
      <w:r>
        <w:rPr>
          <w:rStyle w:val="HideTWBExt"/>
        </w:rPr>
        <w:t>&lt;</w:t>
      </w:r>
      <w:r>
        <w:rPr>
          <w:rStyle w:val="HideTWBExt"/>
        </w:rPr>
        <w:t>TitreType</w:t>
      </w:r>
      <w:r>
        <w:rPr>
          <w:rStyle w:val="HideTWBExt"/>
        </w:rPr>
        <w:t>&gt;</w:t>
      </w:r>
      <w:r>
        <w:t>PRANEŠIMO PROJEKTAS</w:t>
      </w:r>
      <w:r>
        <w:rPr>
          <w:rStyle w:val="HideTWBExt"/>
        </w:rPr>
        <w:t>&lt;/</w:t>
      </w:r>
      <w:r>
        <w:rPr>
          <w:rStyle w:val="HideTWBExt"/>
        </w:rPr>
        <w:t>TitreType</w:t>
      </w:r>
      <w:r>
        <w:rPr>
          <w:rStyle w:val="HideTWBExt"/>
        </w:rPr>
        <w:t>&gt;</w:t>
      </w:r>
    </w:p>
    <w:p>
      <w:pPr>
        <w:pStyle w:val="CoverNormal"/>
      </w:pPr>
      <w:r>
        <w:rPr>
          <w:rStyle w:val="HideTWBExt"/>
        </w:rPr>
        <w:t>&lt;</w:t>
      </w:r>
      <w:r>
        <w:rPr>
          <w:rStyle w:val="HideTWBExt"/>
        </w:rPr>
        <w:t>Titre</w:t>
      </w:r>
      <w:r>
        <w:rPr>
          <w:rStyle w:val="HideTWBExt"/>
        </w:rPr>
        <w:t>&gt;</w:t>
      </w:r>
      <w:r>
        <w:t>dėl pasiūlymo dėl Europos Parlamento ir Tarybos reglamento dėl laikinos nuo tam tikrų Reglamento (ES) 2017/2226 ir Reglamento (ES) 2016/399 nuostatų nukrypti leidžiančios nuostatos, susijusios su laipsniška atvykimo ir išvykimo sistemos veikimo pradžia</w:t>
      </w:r>
      <w:r>
        <w:rPr>
          <w:rStyle w:val="HideTWBExt"/>
        </w:rPr>
        <w:t>&lt;/</w:t>
      </w:r>
      <w:r>
        <w:rPr>
          <w:rStyle w:val="HideTWBExt"/>
        </w:rPr>
        <w:t>Titre</w:t>
      </w:r>
      <w:r>
        <w:rPr>
          <w:rStyle w:val="HideTWBExt"/>
        </w:rPr>
        <w:t>&gt;</w:t>
      </w:r>
    </w:p>
    <w:p>
      <w:pPr>
        <w:pStyle w:val="CoverNormal24a"/>
      </w:pPr>
      <w:r>
        <w:rPr>
          <w:rStyle w:val="HideTWBExt"/>
        </w:rPr>
        <w:t>&lt;</w:t>
      </w:r>
      <w:r>
        <w:rPr>
          <w:rStyle w:val="HideTWBExt"/>
        </w:rPr>
        <w:t>DocRef</w:t>
      </w:r>
      <w:r>
        <w:rPr>
          <w:rStyle w:val="HideTWBExt"/>
        </w:rPr>
        <w:t>&gt;</w:t>
      </w:r>
      <w:r>
        <w:t>(COM(2024)0567 – C10-0207/2024 – 2024/0315(COD))</w:t>
      </w:r>
      <w:r>
        <w:rPr>
          <w:rStyle w:val="HideTWBExt"/>
        </w:rPr>
        <w:t>&lt;/</w:t>
      </w:r>
      <w:r>
        <w:rPr>
          <w:rStyle w:val="HideTWBExt"/>
        </w:rPr>
        <w:t>DocRef</w:t>
      </w:r>
      <w:r>
        <w:rPr>
          <w:rStyle w:val="HideTWBExt"/>
        </w:rPr>
        <w:t>&gt;</w:t>
      </w:r>
    </w:p>
    <w:p>
      <w:pPr>
        <w:pStyle w:val="CoverNormal24a"/>
      </w:pPr>
      <w:r>
        <w:rPr>
          <w:rStyle w:val="HideTWBExt"/>
        </w:rPr>
        <w:t>&lt;</w:t>
      </w:r>
      <w:r>
        <w:rPr>
          <w:rStyle w:val="HideTWBExt"/>
        </w:rPr>
        <w:t>Commission</w:t>
      </w:r>
      <w:r>
        <w:rPr>
          <w:rStyle w:val="HideTWBExt"/>
        </w:rPr>
        <w:t>&gt;</w:t>
      </w:r>
      <w:r>
        <w:rPr>
          <w:rStyle w:val="HideTWBInt"/>
        </w:rPr>
        <w:t>{</w:t>
      </w:r>
      <w:r>
        <w:rPr>
          <w:rStyle w:val="HideTWBInt"/>
        </w:rPr>
        <w:t>LIBE</w:t>
      </w:r>
      <w:r>
        <w:rPr>
          <w:rStyle w:val="HideTWBInt"/>
        </w:rPr>
        <w:t>}</w:t>
      </w:r>
      <w:r>
        <w:t>Piliečių laisvių, teisingumo ir vidaus reikalų komitetas</w:t>
      </w:r>
      <w:r>
        <w:rPr>
          <w:rStyle w:val="HideTWBExt"/>
        </w:rPr>
        <w:t>&lt;/</w:t>
      </w:r>
      <w:r>
        <w:rPr>
          <w:rStyle w:val="HideTWBExt"/>
        </w:rPr>
        <w:t>Commission</w:t>
      </w:r>
      <w:r>
        <w:rPr>
          <w:rStyle w:val="HideTWBExt"/>
        </w:rPr>
        <w:t>&gt;</w:t>
      </w:r>
    </w:p>
    <w:p>
      <w:pPr>
        <w:pStyle w:val="CoverNormal24a"/>
      </w:pPr>
      <w:r>
        <w:t>Pranešėja</w:t>
      </w:r>
      <w:r>
        <w:t xml:space="preserve">: </w:t>
      </w:r>
      <w:r>
        <w:rPr>
          <w:rStyle w:val="HideTWBExt"/>
        </w:rPr>
        <w:t>&lt;</w:t>
      </w:r>
      <w:r>
        <w:rPr>
          <w:rStyle w:val="HideTWBExt"/>
        </w:rPr>
        <w:t>Depute</w:t>
      </w:r>
      <w:r>
        <w:rPr>
          <w:rStyle w:val="HideTWBExt"/>
        </w:rPr>
        <w:t>&gt;</w:t>
      </w:r>
      <w:r>
        <w:t>Assita Kanko</w:t>
      </w:r>
      <w:r>
        <w:rPr>
          <w:rStyle w:val="HideTWBExt"/>
        </w:rPr>
        <w:t>&lt;/</w:t>
      </w:r>
      <w:r>
        <w:rPr>
          <w:rStyle w:val="HideTWBExt"/>
        </w:rPr>
        <w:t>Depute</w:t>
      </w:r>
      <w:r>
        <w:rPr>
          <w:rStyle w:val="HideTWBExt"/>
        </w:rPr>
        <w:t>&gt;</w:t>
      </w:r>
    </w:p>
    <w:p>
      <w:r>
        <w:br w:type="page"/>
      </w:r>
      <w:r>
        <w:t>PR_COD_1amCom</w:t>
      </w:r>
    </w:p>
    <w:p/>
    <w:p/>
    <w:tbl>
      <w:tblPr>
        <w:jc w:val="center"/>
        <w:tblBorders>
          <w:top w:val="single" w:sz="8" w:space="0" w:color="000000"/>
          <w:left w:val="single" w:sz="8" w:space="0" w:color="000000"/>
          <w:bottom w:val="single" w:sz="8" w:space="0" w:color="000000"/>
          <w:right w:val="single" w:sz="8" w:space="0" w:color="000000"/>
        </w:tblBorders>
        <w:tblLayout w:type="fixed"/>
        <w:tblCellMar>
          <w:top w:w="0" w:type="dxa"/>
          <w:left w:w="108" w:type="dxa"/>
          <w:bottom w:w="0" w:type="dxa"/>
          <w:right w:w="108" w:type="dxa"/>
        </w:tblCellMar>
      </w:tblPr>
      <w:tblGrid>
        <w:gridCol w:w="5810"/>
      </w:tblGrid>
      <w:tr>
        <w:tblPrEx>
          <w:jc w:val="center"/>
          <w:tblBorders>
            <w:top w:val="single" w:sz="8" w:space="0" w:color="000000"/>
            <w:left w:val="single" w:sz="8" w:space="0" w:color="000000"/>
            <w:bottom w:val="single" w:sz="8" w:space="0" w:color="000000"/>
            <w:right w:val="single" w:sz="8" w:space="0" w:color="000000"/>
          </w:tblBorders>
          <w:tblLayout w:type="fixed"/>
          <w:tblCellMar>
            <w:top w:w="0" w:type="dxa"/>
            <w:left w:w="108" w:type="dxa"/>
            <w:bottom w:w="0" w:type="dxa"/>
            <w:right w:w="108" w:type="dxa"/>
          </w:tblCellMar>
        </w:tblPrEx>
        <w:trPr>
          <w:cantSplit w:val="0"/>
          <w:trHeight w:hRule="auto" w:val="0"/>
          <w:jc w:val="center"/>
        </w:trPr>
        <w:tc>
          <w:tcPr>
            <w:tcW w:w="5810" w:type="dxa"/>
            <w:vAlign w:val="top"/>
          </w:tcPr>
          <w:p>
            <w:pPr>
              <w:pStyle w:val="LegendTitle"/>
            </w:pPr>
            <w:r>
              <w:t>Procedūrų sutartiniai ženklai</w:t>
            </w:r>
          </w:p>
        </w:tc>
      </w:tr>
      <w:tr>
        <w:tblPrEx>
          <w:jc w:val="center"/>
          <w:tblLayout w:type="fixed"/>
          <w:tblCellMar>
            <w:top w:w="0" w:type="dxa"/>
            <w:left w:w="108" w:type="dxa"/>
            <w:bottom w:w="0" w:type="dxa"/>
            <w:right w:w="108" w:type="dxa"/>
          </w:tblCellMar>
        </w:tblPrEx>
        <w:trPr>
          <w:cantSplit w:val="0"/>
          <w:trHeight w:val="1944"/>
          <w:jc w:val="center"/>
        </w:trPr>
        <w:tc>
          <w:tcPr>
            <w:tcW w:w="5810" w:type="dxa"/>
            <w:vAlign w:val="top"/>
          </w:tcPr>
          <w:p>
            <w:pPr>
              <w:pStyle w:val="LegendSign"/>
            </w:pPr>
            <w:r>
              <w:tab/>
            </w:r>
            <w:r>
              <w:t>*</w:t>
            </w:r>
            <w:r>
              <w:tab/>
            </w:r>
            <w:r>
              <w:t>Konsultavimosi procedūra</w:t>
            </w:r>
          </w:p>
          <w:p>
            <w:pPr>
              <w:pStyle w:val="LegendSign"/>
            </w:pPr>
            <w:r>
              <w:tab/>
            </w:r>
            <w:r>
              <w:t>***</w:t>
            </w:r>
            <w:r>
              <w:tab/>
            </w:r>
            <w:r>
              <w:t>Pritarimo procedūra</w:t>
            </w:r>
          </w:p>
          <w:p>
            <w:pPr>
              <w:pStyle w:val="LegendSign"/>
            </w:pPr>
            <w:r>
              <w:tab/>
            </w:r>
            <w:r>
              <w:t>***I</w:t>
            </w:r>
            <w:r>
              <w:tab/>
            </w:r>
            <w:r>
              <w:t>Įprasta teisėkūros procedūra (pirmasis svarstymas)</w:t>
            </w:r>
          </w:p>
          <w:p>
            <w:pPr>
              <w:pStyle w:val="LegendSign"/>
            </w:pPr>
            <w:r>
              <w:tab/>
            </w:r>
            <w:r>
              <w:t>***II</w:t>
            </w:r>
            <w:r>
              <w:tab/>
            </w:r>
            <w:r>
              <w:t>Įprasta teisėkūros procedūra (antrasis svarstymas)</w:t>
            </w:r>
          </w:p>
          <w:p>
            <w:pPr>
              <w:pStyle w:val="LegendSign"/>
            </w:pPr>
            <w:r>
              <w:tab/>
            </w:r>
            <w:r>
              <w:t>***III</w:t>
            </w:r>
            <w:r>
              <w:tab/>
            </w:r>
            <w:r>
              <w:t>Įprasta teisėkūros procedūra (trečiasis svarstymas)</w:t>
            </w:r>
          </w:p>
          <w:p>
            <w:pPr>
              <w:pStyle w:val="LegendSign"/>
            </w:pPr>
          </w:p>
          <w:p>
            <w:pPr>
              <w:pStyle w:val="LegendStandard"/>
            </w:pPr>
            <w:r>
              <w:t>(Procedūra pasirenkama atsižvelgiant į teisės akto projekte pasiūlytą teisinį pagrindą.)</w:t>
            </w:r>
          </w:p>
        </w:tc>
      </w:tr>
    </w:tbl>
    <w:p/>
    <w:p/>
    <w:p/>
    <w:p/>
    <w:tbl>
      <w:tblPr>
        <w:jc w:val="center"/>
        <w:tblBorders>
          <w:top w:val="single" w:sz="8" w:space="0" w:color="000000"/>
          <w:left w:val="single" w:sz="8" w:space="0" w:color="000000"/>
          <w:bottom w:val="single" w:sz="8" w:space="0" w:color="000000"/>
          <w:right w:val="single" w:sz="8" w:space="0" w:color="000000"/>
        </w:tblBorders>
        <w:tblLayout w:type="fixed"/>
        <w:tblCellMar>
          <w:top w:w="0" w:type="dxa"/>
          <w:left w:w="108" w:type="dxa"/>
          <w:bottom w:w="0" w:type="dxa"/>
          <w:right w:w="108" w:type="dxa"/>
        </w:tblCellMar>
      </w:tblPr>
      <w:tblGrid>
        <w:gridCol w:w="5810"/>
      </w:tblGrid>
      <w:tr>
        <w:tblPrEx>
          <w:jc w:val="center"/>
          <w:tblBorders>
            <w:top w:val="single" w:sz="8" w:space="0" w:color="000000"/>
            <w:left w:val="single" w:sz="8" w:space="0" w:color="000000"/>
            <w:bottom w:val="single" w:sz="8" w:space="0" w:color="000000"/>
            <w:right w:val="single" w:sz="8" w:space="0" w:color="000000"/>
          </w:tblBorders>
          <w:tblLayout w:type="fixed"/>
          <w:tblCellMar>
            <w:top w:w="0" w:type="dxa"/>
            <w:left w:w="108" w:type="dxa"/>
            <w:bottom w:w="0" w:type="dxa"/>
            <w:right w:w="108" w:type="dxa"/>
          </w:tblCellMar>
        </w:tblPrEx>
        <w:trPr>
          <w:cantSplit w:val="0"/>
          <w:trHeight w:hRule="auto" w:val="0"/>
          <w:jc w:val="center"/>
        </w:trPr>
        <w:tc>
          <w:tcPr>
            <w:tcW w:w="5810" w:type="dxa"/>
            <w:vAlign w:val="top"/>
          </w:tcPr>
          <w:p>
            <w:pPr>
              <w:pStyle w:val="LegendTitle"/>
            </w:pPr>
            <w:r>
              <w:t>Teisės akto projekto pakeitimai</w:t>
            </w:r>
          </w:p>
        </w:tc>
      </w:tr>
      <w:tr>
        <w:tblPrEx>
          <w:jc w:val="center"/>
          <w:tblLayout w:type="fixed"/>
          <w:tblCellMar>
            <w:top w:w="0" w:type="dxa"/>
            <w:left w:w="108" w:type="dxa"/>
            <w:bottom w:w="0" w:type="dxa"/>
            <w:right w:w="108" w:type="dxa"/>
          </w:tblCellMar>
        </w:tblPrEx>
        <w:trPr>
          <w:cantSplit w:val="0"/>
          <w:trHeight w:hRule="auto" w:val="0"/>
          <w:jc w:val="center"/>
        </w:trPr>
        <w:tc>
          <w:tcPr>
            <w:tcW w:w="5810" w:type="dxa"/>
            <w:vAlign w:val="top"/>
          </w:tcPr>
          <w:p>
            <w:pPr>
              <w:pStyle w:val="LegendStandard"/>
            </w:pPr>
            <w:r>
              <w:rPr>
                <w:rStyle w:val="Bold"/>
              </w:rPr>
              <w:t>Parlamento pakeitimai, išdėstomi dviejuose stulpeliuose</w:t>
            </w:r>
          </w:p>
          <w:p>
            <w:pPr>
              <w:pStyle w:val="LegendStandard"/>
            </w:pPr>
          </w:p>
          <w:p>
            <w:pPr>
              <w:pStyle w:val="LegendStandard"/>
            </w:pPr>
            <w:r>
              <w:t xml:space="preserve">Išbrauktos teksto dalys žymimos </w:t>
            </w:r>
            <w:r>
              <w:rPr>
                <w:rStyle w:val="BoldItalic"/>
              </w:rPr>
              <w:t>pusjuodžiu kursyvu</w:t>
            </w:r>
            <w:r>
              <w:t xml:space="preserve"> kairiajame stulpelyje. Keičiamos teksto dalys žymimos </w:t>
            </w:r>
            <w:r>
              <w:rPr>
                <w:rStyle w:val="BoldItalic"/>
              </w:rPr>
              <w:t>pusjuodžiu kursyvu</w:t>
            </w:r>
            <w:r>
              <w:t xml:space="preserve"> abiejuose stulpeliuose. Naujas tekstas žymimas </w:t>
            </w:r>
            <w:r>
              <w:rPr>
                <w:rStyle w:val="BoldItalic"/>
              </w:rPr>
              <w:t>pusjuodžiu kursyvu</w:t>
            </w:r>
            <w:r>
              <w:t xml:space="preserve"> dešiniajame stulpelyje.</w:t>
            </w:r>
          </w:p>
          <w:p>
            <w:pPr>
              <w:pStyle w:val="LegendStandard"/>
            </w:pPr>
          </w:p>
          <w:p>
            <w:pPr>
              <w:pStyle w:val="LegendStandard"/>
            </w:pPr>
            <w:r>
              <w:t>Kiekvieno pakeitimo antraštės pirmoje ir antroje eilutėse nurodoma atitinkama svarstomo teisės akto projekto dalis. Jei pakeitimas susijęs su esamu teisės aktu, kurį siekiama pakeisti teisės akto projektu, antraštėje pridedamos trečia ir ketvirta eilutės, kuriose atitinkamai nurodomas esamas teisės aktas ir keičiama šio teisės akto dalis.</w:t>
            </w:r>
          </w:p>
          <w:p>
            <w:pPr>
              <w:pStyle w:val="LegendStandard"/>
            </w:pPr>
          </w:p>
          <w:p>
            <w:pPr>
              <w:pStyle w:val="LegendStandard"/>
            </w:pPr>
            <w:r>
              <w:rPr>
                <w:rStyle w:val="Bold"/>
              </w:rPr>
              <w:t>Parlamento pakeitimai, pateikiami konsoliduoto teksto forma</w:t>
            </w:r>
          </w:p>
          <w:p>
            <w:pPr>
              <w:pStyle w:val="LegendStandard"/>
            </w:pPr>
          </w:p>
          <w:p>
            <w:pPr>
              <w:pStyle w:val="LegendStandard"/>
            </w:pPr>
            <w:r>
              <w:t xml:space="preserve">Naujos teksto dalys žymimos </w:t>
            </w:r>
            <w:r>
              <w:rPr>
                <w:rStyle w:val="BoldItalic"/>
              </w:rPr>
              <w:t>pusjuodžiu kursyvu</w:t>
            </w:r>
            <w:r>
              <w:t xml:space="preserve">. Išbrauktos teksto dalys nurodomos simboliu „▌“ arba perbraukiamos. Keičiamos teksto dalys nurodomos naują tekstą pažymint </w:t>
            </w:r>
            <w:r>
              <w:rPr>
                <w:rStyle w:val="BoldItalic"/>
              </w:rPr>
              <w:t>pusjuodžiu kursyvu</w:t>
            </w:r>
            <w:r>
              <w:t>, o ankstesnį tekstą išbraukiant arba perbraukiant.</w:t>
            </w:r>
            <w:r>
              <w:br/>
            </w:r>
            <w:r>
              <w:t>Išimties tvarka nežymimi grynai techninio pobūdžio pakeitimai, kuriuos padarė atitinkamos tarnybos, rengdamos galutinį tekstą.</w:t>
            </w:r>
          </w:p>
          <w:p>
            <w:pPr>
              <w:pStyle w:val="LegendStandard"/>
            </w:pPr>
          </w:p>
        </w:tc>
      </w:tr>
    </w:tbl>
    <w:p/>
    <w:p/>
    <w:p>
      <w:pPr>
        <w:pStyle w:val="TOCHeading"/>
      </w:pPr>
      <w:r>
        <w:br w:type="page"/>
      </w:r>
      <w:r>
        <w:t>TURINYS</w:t>
      </w:r>
    </w:p>
    <w:p>
      <w:pPr>
        <w:pStyle w:val="TOCPage"/>
      </w:pPr>
      <w:r>
        <w:t>Psl.</w:t>
      </w:r>
    </w:p>
    <w:p>
      <w:pPr>
        <w:pStyle w:val="TOC1"/>
        <w:tabs>
          <w:tab w:val="right" w:leader="dot" w:pos="9062"/>
        </w:tabs>
        <w:rPr>
          <w:rFonts w:ascii="Calibri" w:hAnsi="Calibri"/>
          <w:noProof/>
          <w:sz w:val="22"/>
        </w:rPr>
      </w:pPr>
      <w:r>
        <w:fldChar w:fldCharType="begin"/>
      </w:r>
      <w:r>
        <w:instrText>TOC \t "PageHeading"</w:instrText>
      </w:r>
      <w:r>
        <w:fldChar w:fldCharType="separate"/>
      </w:r>
      <w:r>
        <w:t>EUROPOS PARLAMENTO TEISĖKŪROS REZOLIUCIJOS PROJEKTAS</w:t>
      </w:r>
      <w:r>
        <w:tab/>
      </w:r>
      <w:r>
        <w:fldChar w:fldCharType="begin"/>
      </w:r>
      <w:r>
        <w:instrText xml:space="preserve"> PAGEREF _Toc256000002 \h </w:instrText>
      </w:r>
      <w:r>
        <w:fldChar w:fldCharType="separate"/>
      </w:r>
      <w:r>
        <w:t>5</w:t>
      </w:r>
      <w:r>
        <w:fldChar w:fldCharType="end"/>
      </w:r>
    </w:p>
    <w:p>
      <w:pPr>
        <w:pStyle w:val="TOC1"/>
        <w:tabs>
          <w:tab w:val="right" w:leader="dot" w:pos="9062"/>
        </w:tabs>
        <w:rPr>
          <w:rFonts w:ascii="Calibri" w:hAnsi="Calibri"/>
          <w:noProof/>
          <w:sz w:val="22"/>
        </w:rPr>
      </w:pPr>
      <w:r>
        <w:t>AIŠKINAMOJI DALIS</w:t>
      </w:r>
      <w:r>
        <w:tab/>
      </w:r>
      <w:r>
        <w:fldChar w:fldCharType="begin"/>
      </w:r>
      <w:r>
        <w:instrText xml:space="preserve"> PAGEREF _Toc256000003 \h </w:instrText>
      </w:r>
      <w:r>
        <w:fldChar w:fldCharType="separate"/>
      </w:r>
      <w:r>
        <w:t>21</w:t>
      </w:r>
      <w:r>
        <w:fldChar w:fldCharType="end"/>
      </w:r>
    </w:p>
    <w:p>
      <w:pPr>
        <w:pStyle w:val="Normal12b"/>
      </w:pPr>
      <w:r>
        <w:fldChar w:fldCharType="end"/>
      </w:r>
    </w:p>
    <w:p>
      <w:pPr>
        <w:pStyle w:val="CoverNormalLeft"/>
      </w:pPr>
    </w:p>
    <w:p>
      <w:pPr>
        <w:pStyle w:val="PageHeading"/>
      </w:pPr>
      <w:r>
        <w:br w:type="page"/>
      </w:r>
      <w:r>
        <w:br w:type="page"/>
      </w:r>
      <w:bookmarkStart w:id="0" w:name="_Toc256000002"/>
      <w:r>
        <w:t>EUROPOS PARLAMENTO TEISĖKŪROS REZOLIUCIJOS PROJEKTAS</w:t>
      </w:r>
      <w:bookmarkEnd w:id="0"/>
    </w:p>
    <w:p>
      <w:pPr>
        <w:pStyle w:val="NormalBold"/>
      </w:pPr>
      <w:r>
        <w:t>dėl pasiūlymo dėl Europos Parlamento ir Tarybos reglamento dėl laikinos nuo tam tikrų Reglamento (ES) 2017/2226 ir Reglamento (ES) 2016/399 nuostatų nukrypti leidžiančios nuostatos, susijusios su laipsniška atvykimo ir išvykimo sistemos veikimo pradžia</w:t>
      </w:r>
    </w:p>
    <w:p>
      <w:pPr>
        <w:pStyle w:val="NormalBold12a"/>
      </w:pPr>
      <w:r>
        <w:t>(COM(2024)0567 – C10-0207/2024 – 2024/0315(COD))</w:t>
      </w:r>
    </w:p>
    <w:p>
      <w:pPr>
        <w:pStyle w:val="NormalBold12a"/>
      </w:pPr>
      <w:r>
        <w:t>(Įprasta teisėkūros procedūra: pirmasis svarstymas)</w:t>
      </w:r>
    </w:p>
    <w:p>
      <w:pPr>
        <w:pStyle w:val="EPComma"/>
      </w:pPr>
      <w:r>
        <w:rPr>
          <w:rStyle w:val="Italic"/>
        </w:rPr>
        <w:t>Europos Parlamentas</w:t>
      </w:r>
      <w:r>
        <w:t>,</w:t>
      </w:r>
    </w:p>
    <w:p>
      <w:pPr>
        <w:pStyle w:val="NormalHanging12a"/>
      </w:pPr>
      <w:r>
        <w:t>–</w:t>
      </w:r>
      <w:r>
        <w:tab/>
      </w:r>
      <w:r>
        <w:t>atsižvelgdamas į Komisijos pasiūlymą Parlamentui ir Tarybai (COM(2024)0567),</w:t>
      </w:r>
    </w:p>
    <w:p>
      <w:pPr>
        <w:pStyle w:val="NormalHanging12a"/>
      </w:pPr>
      <w:r>
        <w:t>–</w:t>
      </w:r>
      <w:r>
        <w:tab/>
      </w:r>
      <w:r>
        <w:t>atsižvelgdamas į Sutarties dėl Europos Sąjungos veikimo 294 straipsnio 2 dalį, 77 straipsnio 2 dalies b ir d punktus ir 87 straipsnio 2 dalies c punktą, pagal kuriuos Komisija pateikė pasiūlymą Parlamentui (C10-0207/2024),</w:t>
      </w:r>
    </w:p>
    <w:p>
      <w:pPr>
        <w:pStyle w:val="NormalHanging12a"/>
      </w:pPr>
      <w:r>
        <w:t>–</w:t>
      </w:r>
      <w:r>
        <w:tab/>
      </w:r>
      <w:r>
        <w:t>atsižvelgdamas į Sutarties dėl Europos Sąjungos veikimo 294 straipsnio 3 dalį,</w:t>
      </w:r>
    </w:p>
    <w:p>
      <w:pPr>
        <w:pStyle w:val="NormalHanging12a"/>
      </w:pPr>
      <w:r>
        <w:t>–</w:t>
      </w:r>
      <w:r>
        <w:tab/>
      </w:r>
      <w:r>
        <w:t>atsižvelgdamas į Darbo tvarkos taisyklių 60 straipsnį,</w:t>
      </w:r>
    </w:p>
    <w:p>
      <w:pPr>
        <w:pStyle w:val="NormalHanging12a"/>
      </w:pPr>
      <w:r>
        <w:t>–</w:t>
      </w:r>
      <w:r>
        <w:tab/>
      </w:r>
      <w:r>
        <w:t>atsižvelgdamas į Piliečių laisvių, teisingumo ir vidaus reikalų komiteto pranešimą (A10-0000/2025),</w:t>
      </w:r>
    </w:p>
    <w:p>
      <w:pPr>
        <w:pStyle w:val="NormalHanging12a"/>
      </w:pPr>
      <w:r>
        <w:t>1.</w:t>
      </w:r>
      <w:r>
        <w:tab/>
      </w:r>
      <w:r>
        <w:t>priima per pirmąjį svarstymą toliau pateiktą poziciją;</w:t>
      </w:r>
    </w:p>
    <w:p>
      <w:pPr>
        <w:pStyle w:val="NormalHanging12a"/>
      </w:pPr>
      <w:r>
        <w:t>2.</w:t>
      </w:r>
      <w:r>
        <w:tab/>
      </w:r>
      <w:r>
        <w:t>ragina Komisiją dar kartą perduoti klausimą svarstyti Parlamentui, jei ji savo pasiūlymą pakeičia nauju tekstu, jį keičia iš esmės arba ketina jį keisti iš esmės;</w:t>
      </w:r>
    </w:p>
    <w:p>
      <w:pPr>
        <w:pStyle w:val="NormalHanging12a"/>
      </w:pPr>
      <w:r>
        <w:t>3.</w:t>
      </w:r>
      <w:r>
        <w:tab/>
      </w:r>
      <w:r>
        <w:t>paveda Pirmininkei perduoti Parlamento poziciją Tarybai, Komisijai ir nacionaliniams parlamentams.</w:t>
      </w:r>
    </w:p>
    <w:p>
      <w:pPr>
        <w:pStyle w:val="AmNumberTabs"/>
      </w:pPr>
      <w:r>
        <w:br w:type="page"/>
      </w:r>
      <w:r>
        <w:rPr>
          <w:rStyle w:val="HideTWBExt"/>
        </w:rPr>
        <w:t>&lt;</w:t>
      </w:r>
      <w:r>
        <w:rPr>
          <w:rStyle w:val="HideTWBExt"/>
        </w:rPr>
        <w:t>RepeatBlock-Amend</w:t>
      </w:r>
      <w:r>
        <w:rPr>
          <w:rStyle w:val="HideTWBExt"/>
        </w:rPr>
        <w:t>&gt;</w:t>
      </w:r>
      <w:r>
        <w:rPr>
          <w:rStyle w:val="HideTWBExt"/>
        </w:rPr>
        <w:t>&lt;</w:t>
      </w:r>
      <w:r>
        <w:rPr>
          <w:rStyle w:val="HideTWBExt"/>
        </w:rPr>
        <w:t>Amend</w:t>
      </w:r>
      <w:r>
        <w:rPr>
          <w:rStyle w:val="HideTWBExt"/>
        </w:rPr>
        <w:t>&gt;</w:t>
      </w:r>
      <w:r>
        <w:tab/>
      </w:r>
      <w:r>
        <w:tab/>
      </w:r>
      <w:r>
        <w:rPr>
          <w:rStyle w:val="HideTWBExt"/>
        </w:rPr>
        <w:t>&lt;</w:t>
      </w:r>
      <w:r>
        <w:rPr>
          <w:rStyle w:val="HideTWBExt"/>
        </w:rPr>
        <w:t>NumAm</w:t>
      </w:r>
      <w:r>
        <w:rPr>
          <w:rStyle w:val="HideTWBExt"/>
        </w:rPr>
        <w:t>&gt;</w:t>
      </w:r>
      <w:r>
        <w:t>1</w:t>
      </w:r>
      <w:r>
        <w:rPr>
          <w:rStyle w:val="HideTWBExt"/>
        </w:rPr>
        <w:t>&lt;/</w:t>
      </w:r>
      <w:r>
        <w:rPr>
          <w:rStyle w:val="HideTWBExt"/>
        </w:rPr>
        <w:t>NumAm</w:t>
      </w:r>
      <w:r>
        <w:rPr>
          <w:rStyle w:val="HideTWBExt"/>
        </w:rPr>
        <w:t>&gt;</w:t>
      </w:r>
      <w:r>
        <w:t>pakeitimas</w:t>
      </w:r>
    </w:p>
    <w:p>
      <w:pPr>
        <w:pStyle w:val="NormalBold12b"/>
      </w:pPr>
      <w:r>
        <w:rPr>
          <w:rStyle w:val="HideTWBExt"/>
        </w:rPr>
        <w:t>&lt;</w:t>
      </w:r>
      <w:r>
        <w:rPr>
          <w:rStyle w:val="HideTWBExt"/>
        </w:rPr>
        <w:t>DocAmend</w:t>
      </w:r>
      <w:r>
        <w:rPr>
          <w:rStyle w:val="HideTWBExt"/>
        </w:rPr>
        <w:t>&gt;</w:t>
      </w:r>
      <w:r>
        <w:t>Pasiūlymas dėl reglamento</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3 konstatuojamoji dalis</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Komisijos siūlomas tekstas</w:t>
            </w:r>
          </w:p>
        </w:tc>
        <w:tc>
          <w:tcPr>
            <w:tcW w:w="4876" w:type="dxa"/>
            <w:vAlign w:val="top"/>
          </w:tcPr>
          <w:p>
            <w:pPr>
              <w:pStyle w:val="AmColumnHeading"/>
            </w:pPr>
            <w:r>
              <w:t>Pakeitimas</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(3)</w:t>
            </w:r>
            <w:r>
              <w:tab/>
            </w:r>
            <w:r>
              <w:t>Reglamente (ES) 2017/2226 numatyta tik sistemos naudojimo visu operaciniu pajėgumu pradžia, reikalaujant, kad visos valstybės narės visuose savo išorės sienos perėjimo punktuose pradėtų naudoti AIS visu operaciniu pajėgumu ir vienu metu visų trečiųjų šalių piliečių, kurie turi būti registruojami AIS, atžvilgiu;</w:t>
            </w:r>
          </w:p>
        </w:tc>
        <w:tc>
          <w:tcPr>
            <w:tcW w:w="4876" w:type="dxa"/>
            <w:vAlign w:val="top"/>
          </w:tcPr>
          <w:p>
            <w:pPr>
              <w:pStyle w:val="Normal6a"/>
            </w:pPr>
            <w:r>
              <w:t>(3)</w:t>
            </w:r>
            <w:r>
              <w:tab/>
            </w:r>
            <w:r>
              <w:t xml:space="preserve">Reglamente (ES) 2017/2226 numatyta tik sistemos naudojimo visu operaciniu pajėgumu pradžia, reikalaujant, kad visos valstybės narės visuose savo išorės sienos perėjimo punktuose pradėtų naudoti AIS visu operaciniu pajėgumu ir vienu metu visų trečiųjų šalių piliečių, kurie turi būti registruojami AIS, atžvilgiu. </w:t>
            </w:r>
            <w:r>
              <w:rPr>
                <w:b/>
                <w:i/>
                <w:strike w:val="0"/>
                <w:color w:val="auto"/>
                <w:highlight w:val="none"/>
                <w:u w:val="none" w:color="auto"/>
                <w:vertAlign w:val="baseline"/>
              </w:rPr>
              <w:t>Tačiau visų AIS funkcijų naudojimo visu operaciniu pajėgumu pradžia vienu metu visuose išorės sienos perėjimo punktuose yra veiksnys, keliantis riziką visos AIS atsparumui ir keleivių srautams prie išorės sienų;</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ab/>
      </w:r>
      <w:r>
        <w:tab/>
      </w:r>
      <w:r>
        <w:rPr>
          <w:rStyle w:val="HideTWBExt"/>
        </w:rPr>
        <w:t>&lt;</w:t>
      </w:r>
      <w:r>
        <w:rPr>
          <w:rStyle w:val="HideTWBExt"/>
        </w:rPr>
        <w:t>NumAm</w:t>
      </w:r>
      <w:r>
        <w:rPr>
          <w:rStyle w:val="HideTWBExt"/>
        </w:rPr>
        <w:t>&gt;</w:t>
      </w:r>
      <w:r>
        <w:t>2</w:t>
      </w:r>
      <w:r>
        <w:rPr>
          <w:rStyle w:val="HideTWBExt"/>
        </w:rPr>
        <w:t>&lt;/</w:t>
      </w:r>
      <w:r>
        <w:rPr>
          <w:rStyle w:val="HideTWBExt"/>
        </w:rPr>
        <w:t>NumAm</w:t>
      </w:r>
      <w:r>
        <w:rPr>
          <w:rStyle w:val="HideTWBExt"/>
        </w:rPr>
        <w:t>&gt;</w:t>
      </w:r>
      <w:r>
        <w:t>pakeitimas</w:t>
      </w:r>
    </w:p>
    <w:p>
      <w:pPr>
        <w:pStyle w:val="NormalBold12b"/>
      </w:pPr>
      <w:r>
        <w:rPr>
          <w:rStyle w:val="HideTWBExt"/>
        </w:rPr>
        <w:t>&lt;</w:t>
      </w:r>
      <w:r>
        <w:rPr>
          <w:rStyle w:val="HideTWBExt"/>
        </w:rPr>
        <w:t>DocAmend</w:t>
      </w:r>
      <w:r>
        <w:rPr>
          <w:rStyle w:val="HideTWBExt"/>
        </w:rPr>
        <w:t>&gt;</w:t>
      </w:r>
      <w:r>
        <w:t>Pasiūlymas dėl reglamento</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4 konstatuojamoji dalis</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Komisijos siūlomas tekstas</w:t>
            </w:r>
          </w:p>
        </w:tc>
        <w:tc>
          <w:tcPr>
            <w:tcW w:w="4876" w:type="dxa"/>
            <w:vAlign w:val="top"/>
          </w:tcPr>
          <w:p>
            <w:pPr>
              <w:pStyle w:val="AmColumnHeading"/>
            </w:pPr>
            <w:r>
              <w:t>Pakeitimas</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(4)</w:t>
            </w:r>
            <w:r>
              <w:tab/>
            </w:r>
            <w:r>
              <w:t xml:space="preserve">siekiant suteikti valstybėms narėms reikiamą lankstumą pradėti naudoti AIS </w:t>
            </w:r>
            <w:r>
              <w:rPr>
                <w:b/>
                <w:i/>
                <w:strike w:val="0"/>
                <w:color w:val="auto"/>
                <w:highlight w:val="none"/>
                <w:u w:val="none" w:color="auto"/>
                <w:vertAlign w:val="baseline"/>
              </w:rPr>
              <w:t>atsižvelgiant į savo pasirengimo lygį</w:t>
            </w:r>
            <w:r>
              <w:t xml:space="preserve"> ir palengvinti techninį ir operatyvinį pritaikymą pradedant naudoti AIS, būtina nustatyti laipsniškos AIS naudojimo pradžios taisykles. Kad šis pritaikymas atspindėtų galimus keliautojų srautus ir sezoninius didžiausių srautų laikotarpius, </w:t>
            </w:r>
            <w:r>
              <w:rPr>
                <w:b/>
                <w:i/>
                <w:strike w:val="0"/>
                <w:color w:val="auto"/>
                <w:highlight w:val="none"/>
                <w:u w:val="none" w:color="auto"/>
                <w:vertAlign w:val="baseline"/>
              </w:rPr>
              <w:t>tokia laipsniška pradžia</w:t>
            </w:r>
            <w:r>
              <w:t xml:space="preserve"> turėtų </w:t>
            </w:r>
            <w:r>
              <w:rPr>
                <w:b/>
                <w:i/>
                <w:strike w:val="0"/>
                <w:color w:val="auto"/>
                <w:highlight w:val="none"/>
                <w:u w:val="none" w:color="auto"/>
                <w:vertAlign w:val="baseline"/>
              </w:rPr>
              <w:t>trukti</w:t>
            </w:r>
            <w:r>
              <w:t xml:space="preserve"> 180 kalendorinių dienų;</w:t>
            </w:r>
          </w:p>
        </w:tc>
        <w:tc>
          <w:tcPr>
            <w:tcW w:w="4876" w:type="dxa"/>
            <w:vAlign w:val="top"/>
          </w:tcPr>
          <w:p>
            <w:pPr>
              <w:pStyle w:val="Normal6a"/>
            </w:pPr>
            <w:r>
              <w:t>(4)</w:t>
            </w:r>
            <w:r>
              <w:tab/>
            </w:r>
            <w:r>
              <w:t>siekiant suteikti valstybėms narėms reikiamą lankstumą pradėti naudoti AIS ir palengvinti techninį ir operatyvinį pritaikymą pradedant naudoti AIS, būtina nustatyti laipsniškos AIS naudojimo pradžios taisykles</w:t>
            </w:r>
            <w:r>
              <w:rPr>
                <w:b/>
                <w:i/>
                <w:strike w:val="0"/>
                <w:color w:val="auto"/>
                <w:highlight w:val="none"/>
                <w:u w:val="none" w:color="auto"/>
                <w:vertAlign w:val="baseline"/>
              </w:rPr>
              <w:t>, kad pradedant naudoti sistemą valstybės narės turėtų turėti galimybę nuspręsti laipsniškai diegti AIS</w:t>
            </w:r>
            <w:r>
              <w:t xml:space="preserve">. Kad šis pritaikymas atspindėtų galimus keliautojų srautus ir sezoninius didžiausių srautų laikotarpius, </w:t>
            </w:r>
            <w:r>
              <w:rPr>
                <w:b/>
                <w:i/>
                <w:strike w:val="0"/>
                <w:color w:val="auto"/>
                <w:highlight w:val="none"/>
                <w:u w:val="none" w:color="auto"/>
                <w:vertAlign w:val="baseline"/>
              </w:rPr>
              <w:t>tokios laipsniškos pradžios trukmė</w:t>
            </w:r>
            <w:r>
              <w:t xml:space="preserve"> turėtų </w:t>
            </w:r>
            <w:r>
              <w:rPr>
                <w:b/>
                <w:i/>
                <w:strike w:val="0"/>
                <w:color w:val="auto"/>
                <w:highlight w:val="none"/>
                <w:u w:val="none" w:color="auto"/>
                <w:vertAlign w:val="baseline"/>
              </w:rPr>
              <w:t>būti</w:t>
            </w:r>
            <w:r>
              <w:t xml:space="preserve"> 180 kalendorinių dienų;</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ab/>
      </w:r>
      <w:r>
        <w:tab/>
      </w:r>
      <w:r>
        <w:rPr>
          <w:rStyle w:val="HideTWBExt"/>
        </w:rPr>
        <w:t>&lt;</w:t>
      </w:r>
      <w:r>
        <w:rPr>
          <w:rStyle w:val="HideTWBExt"/>
        </w:rPr>
        <w:t>NumAm</w:t>
      </w:r>
      <w:r>
        <w:rPr>
          <w:rStyle w:val="HideTWBExt"/>
        </w:rPr>
        <w:t>&gt;</w:t>
      </w:r>
      <w:r>
        <w:t>3</w:t>
      </w:r>
      <w:r>
        <w:rPr>
          <w:rStyle w:val="HideTWBExt"/>
        </w:rPr>
        <w:t>&lt;/</w:t>
      </w:r>
      <w:r>
        <w:rPr>
          <w:rStyle w:val="HideTWBExt"/>
        </w:rPr>
        <w:t>NumAm</w:t>
      </w:r>
      <w:r>
        <w:rPr>
          <w:rStyle w:val="HideTWBExt"/>
        </w:rPr>
        <w:t>&gt;</w:t>
      </w:r>
      <w:r>
        <w:t>pakeitimas</w:t>
      </w:r>
    </w:p>
    <w:p>
      <w:pPr>
        <w:pStyle w:val="NormalBold12b"/>
      </w:pPr>
      <w:r>
        <w:rPr>
          <w:rStyle w:val="HideTWBExt"/>
        </w:rPr>
        <w:t>&lt;</w:t>
      </w:r>
      <w:r>
        <w:rPr>
          <w:rStyle w:val="HideTWBExt"/>
        </w:rPr>
        <w:t>DocAmend</w:t>
      </w:r>
      <w:r>
        <w:rPr>
          <w:rStyle w:val="HideTWBExt"/>
        </w:rPr>
        <w:t>&gt;</w:t>
      </w:r>
      <w:r>
        <w:t>Pasiūlymas dėl reglamento</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5 konstatuojamoji dalis</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Komisijos siūlomas tekstas</w:t>
            </w:r>
          </w:p>
        </w:tc>
        <w:tc>
          <w:tcPr>
            <w:tcW w:w="4876" w:type="dxa"/>
            <w:vAlign w:val="top"/>
          </w:tcPr>
          <w:p>
            <w:pPr>
              <w:pStyle w:val="AmColumnHeading"/>
            </w:pPr>
            <w:r>
              <w:t>Pakeitimas</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(5)</w:t>
            </w:r>
            <w:r>
              <w:tab/>
            </w:r>
            <w:r>
              <w:rPr>
                <w:b/>
                <w:i/>
                <w:strike w:val="0"/>
                <w:color w:val="auto"/>
                <w:highlight w:val="none"/>
                <w:u w:val="none" w:color="auto"/>
                <w:vertAlign w:val="baseline"/>
              </w:rPr>
              <w:t>todėl,</w:t>
            </w:r>
            <w:r>
              <w:t xml:space="preserve"> siekiant sudaryti sąlygas laipsniškai pradėti naudoti AIS, būtina nukrypti nuo tam tikrų Europos Parlamento ir Tarybos reglamentų (ES) 2017/2226 ir (ES) 2016/399</w:t>
            </w:r>
            <w:r>
              <w:rPr>
                <w:rStyle w:val="Sup"/>
              </w:rPr>
              <w:t>3</w:t>
            </w:r>
            <w:r>
              <w:t xml:space="preserve"> (Šengeno sienų kodeksas) nuostatų. Kitos Reglamente (ES) 2017/2226 nustatytos taisyklės, kurioms šis reglamentas netaikomas, taikomos kaip numatyta tame reglamente. Visų pirma laipsniškos AIS naudojimo pradžios laikotarpiu registruoti duomenys atitinka Reglamente (ES) 2017/2226 nustatytas taisykles ir laikomi patikimais bei tiksliais;</w:t>
            </w:r>
          </w:p>
        </w:tc>
        <w:tc>
          <w:tcPr>
            <w:tcW w:w="4876" w:type="dxa"/>
            <w:vAlign w:val="top"/>
          </w:tcPr>
          <w:p>
            <w:pPr>
              <w:pStyle w:val="Normal6a"/>
            </w:pPr>
            <w:r>
              <w:t>(5)</w:t>
            </w:r>
            <w:r>
              <w:tab/>
            </w:r>
            <w:r>
              <w:t>siekiant sudaryti sąlygas laipsniškai pradėti naudoti AIS, būtina nukrypti nuo tam tikrų Europos Parlamento ir Tarybos reglamentų (ES) 2017/2226 ir (ES) 2016/399</w:t>
            </w:r>
            <w:r>
              <w:rPr>
                <w:rStyle w:val="Sup"/>
              </w:rPr>
              <w:t>3</w:t>
            </w:r>
            <w:r>
              <w:t xml:space="preserve"> (Šengeno sienų kodeksas) nuostatų. Kitos Reglamente (ES) 2017/2226 nustatytos taisyklės, kurioms šis reglamentas netaikomas, taikomos kaip numatyta tame reglamente. Visų pirma laipsniškos AIS naudojimo pradžios laikotarpiu registruoti duomenys atitinka Reglamente (ES) 2017/2226 nustatytas taisykles ir laikomi patikimais bei tiksliais</w:t>
            </w:r>
            <w:r>
              <w:rPr>
                <w:b/>
                <w:i/>
                <w:strike w:val="0"/>
                <w:color w:val="auto"/>
                <w:highlight w:val="none"/>
                <w:u w:val="none" w:color="auto"/>
                <w:vertAlign w:val="baseline"/>
              </w:rPr>
              <w:t>.</w:t>
            </w:r>
            <w:r>
              <w:t xml:space="preserve"> </w:t>
            </w:r>
            <w:r>
              <w:rPr>
                <w:b/>
                <w:i/>
                <w:strike w:val="0"/>
                <w:color w:val="auto"/>
                <w:highlight w:val="none"/>
                <w:u w:val="none" w:color="auto"/>
                <w:vertAlign w:val="baseline"/>
              </w:rPr>
              <w:t>Šis reglamentas nedaro poveikio valstybių narių pagal Reglamento (ES) 2017/2226 66 straipsnio 1 dalį jau pateiktų pranešimų galiojimui;</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rPr>
                <w:b/>
                <w:i/>
                <w:strike w:val="0"/>
                <w:color w:val="auto"/>
                <w:highlight w:val="none"/>
                <w:u w:val="none" w:color="auto"/>
                <w:vertAlign w:val="baseline"/>
              </w:rPr>
              <w:t>_________________</w:t>
            </w:r>
          </w:p>
        </w:tc>
        <w:tc>
          <w:tcPr>
            <w:tcW w:w="4876" w:type="dxa"/>
            <w:vAlign w:val="top"/>
          </w:tcPr>
          <w:p>
            <w:pPr>
              <w:pStyle w:val="Normal6a"/>
            </w:pPr>
            <w:r>
              <w:rPr>
                <w:b/>
                <w:i/>
                <w:strike w:val="0"/>
                <w:color w:val="auto"/>
                <w:highlight w:val="none"/>
                <w:u w:val="none" w:color="auto"/>
                <w:vertAlign w:val="baseline"/>
              </w:rPr>
              <w:t>_________________</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rPr>
                <w:rStyle w:val="Sup"/>
              </w:rPr>
              <w:t>3</w:t>
            </w:r>
            <w:r>
              <w:t xml:space="preserve"> </w:t>
            </w:r>
            <w:r>
              <w:t>2016 m. kovo 9 d. Europos Parlamento ir Tarybos reglamentas (ES) 2016/399 dėl taisyklių, reglamentuojančių asmenų judėjimą per sienas, Sąjungos kodekso (Šengeno sienų kodeksas) (OL L 77, 2016 3 23, p. 1, ELI: http://data.europa.eu/eli/reg/2016/399/oj).</w:t>
            </w:r>
          </w:p>
        </w:tc>
        <w:tc>
          <w:tcPr>
            <w:tcW w:w="4876" w:type="dxa"/>
            <w:vAlign w:val="top"/>
          </w:tcPr>
          <w:p>
            <w:pPr>
              <w:pStyle w:val="Normal6a"/>
            </w:pPr>
            <w:r>
              <w:rPr>
                <w:rStyle w:val="Sup"/>
              </w:rPr>
              <w:t>3</w:t>
            </w:r>
            <w:r>
              <w:t xml:space="preserve"> </w:t>
            </w:r>
            <w:r>
              <w:t>2016 m. kovo 9 d. Europos Parlamento ir Tarybos reglamentas (ES) 2016/399 dėl taisyklių, reglamentuojančių asmenų judėjimą per sienas, Sąjungos kodekso (Šengeno sienų kodeksas) (OL L 77, 2016 3 23, p. 1, ELI: http://data.europa.eu/eli/reg/2016/399/oj).</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ab/>
      </w:r>
      <w:r>
        <w:tab/>
      </w:r>
      <w:r>
        <w:rPr>
          <w:rStyle w:val="HideTWBExt"/>
        </w:rPr>
        <w:t>&lt;</w:t>
      </w:r>
      <w:r>
        <w:rPr>
          <w:rStyle w:val="HideTWBExt"/>
        </w:rPr>
        <w:t>NumAm</w:t>
      </w:r>
      <w:r>
        <w:rPr>
          <w:rStyle w:val="HideTWBExt"/>
        </w:rPr>
        <w:t>&gt;</w:t>
      </w:r>
      <w:r>
        <w:t>4</w:t>
      </w:r>
      <w:r>
        <w:rPr>
          <w:rStyle w:val="HideTWBExt"/>
        </w:rPr>
        <w:t>&lt;/</w:t>
      </w:r>
      <w:r>
        <w:rPr>
          <w:rStyle w:val="HideTWBExt"/>
        </w:rPr>
        <w:t>NumAm</w:t>
      </w:r>
      <w:r>
        <w:rPr>
          <w:rStyle w:val="HideTWBExt"/>
        </w:rPr>
        <w:t>&gt;</w:t>
      </w:r>
      <w:r>
        <w:t>pakeitimas</w:t>
      </w:r>
    </w:p>
    <w:p>
      <w:pPr>
        <w:pStyle w:val="NormalBold12b"/>
      </w:pPr>
      <w:r>
        <w:rPr>
          <w:rStyle w:val="HideTWBExt"/>
        </w:rPr>
        <w:t>&lt;</w:t>
      </w:r>
      <w:r>
        <w:rPr>
          <w:rStyle w:val="HideTWBExt"/>
        </w:rPr>
        <w:t>DocAmend</w:t>
      </w:r>
      <w:r>
        <w:rPr>
          <w:rStyle w:val="HideTWBExt"/>
        </w:rPr>
        <w:t>&gt;</w:t>
      </w:r>
      <w:r>
        <w:t>Pasiūlymas dėl reglamento</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6 konstatuojamoji dalis</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Komisijos siūlomas tekstas</w:t>
            </w:r>
          </w:p>
        </w:tc>
        <w:tc>
          <w:tcPr>
            <w:tcW w:w="4876" w:type="dxa"/>
            <w:vAlign w:val="top"/>
          </w:tcPr>
          <w:p>
            <w:pPr>
              <w:pStyle w:val="AmColumnHeading"/>
            </w:pPr>
            <w:r>
              <w:t>Pakeitimas</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(6)</w:t>
            </w:r>
            <w:r>
              <w:tab/>
            </w:r>
            <w:r>
              <w:t xml:space="preserve">valstybės narės turėtų laipsniškai pradėti naudoti AIS, kad būtų registruojami atvykstančių ir išvykstančių trečiųjų šalių piliečių, kurie turi būti registruojami AIS viename ar keliuose sienos perėjimo punktuose, duomenys. Jei įmanoma ir taikytina, valstybės narės turėtų įtraukti oro, sausumos ir jūrų sienos perėjimo punktus. Siekdamos užtikrinti kontroliuojamą AIS paleidimą ir, kai aktualu, geresnį galimo ilgo laukimo prie sienų laiko valdymą ir tokio laukimo išvengti, valstybės narės turėtų laipsniškai įdiegti visas AIS funkcijas ir laipsniškai pradėti registruoti visų trečiųjų šalių piliečių, kurie turi būti registruojami AIS, duomenis. Kad būtų </w:t>
            </w:r>
            <w:r>
              <w:rPr>
                <w:b/>
                <w:i/>
                <w:strike w:val="0"/>
                <w:color w:val="auto"/>
                <w:highlight w:val="none"/>
                <w:u w:val="none" w:color="auto"/>
                <w:vertAlign w:val="baseline"/>
              </w:rPr>
              <w:t>užtikrintas koordinuotas požiūris, sistema turėtų būti laipsniškai pradėta</w:t>
            </w:r>
            <w:r>
              <w:t xml:space="preserve"> naudoti </w:t>
            </w:r>
            <w:r>
              <w:rPr>
                <w:b/>
                <w:i/>
                <w:strike w:val="0"/>
                <w:color w:val="auto"/>
                <w:highlight w:val="none"/>
                <w:u w:val="none" w:color="auto"/>
                <w:vertAlign w:val="baseline"/>
              </w:rPr>
              <w:t>etapais</w:t>
            </w:r>
            <w:r>
              <w:t xml:space="preserve">, </w:t>
            </w:r>
            <w:r>
              <w:rPr>
                <w:b/>
                <w:i/>
                <w:strike w:val="0"/>
                <w:color w:val="auto"/>
                <w:highlight w:val="none"/>
                <w:u w:val="none" w:color="auto"/>
                <w:vertAlign w:val="baseline"/>
              </w:rPr>
              <w:t>kuriais</w:t>
            </w:r>
            <w:r>
              <w:t xml:space="preserve"> turėtų būti nustatyti būtiniausi reikalavimai, kuriuos turi įvykdyti valstybės narės. </w:t>
            </w:r>
            <w:r>
              <w:rPr>
                <w:b/>
                <w:i/>
                <w:strike w:val="0"/>
                <w:color w:val="auto"/>
                <w:highlight w:val="none"/>
                <w:u w:val="none" w:color="auto"/>
                <w:vertAlign w:val="baseline"/>
              </w:rPr>
              <w:t>Valstybės narės turės galimybę paspartinti įgyvendinimą nacionaliniu lygmeniu arba pradėti naudoti AIS visu operaciniu pajėgumu nuo laipsniškumo principu grindžiamo požiūrio taikymo pradžios;</w:t>
            </w:r>
          </w:p>
        </w:tc>
        <w:tc>
          <w:tcPr>
            <w:tcW w:w="4876" w:type="dxa"/>
            <w:vAlign w:val="top"/>
          </w:tcPr>
          <w:p>
            <w:pPr>
              <w:pStyle w:val="Normal6a"/>
            </w:pPr>
            <w:r>
              <w:t>(6)</w:t>
            </w:r>
            <w:r>
              <w:tab/>
            </w:r>
            <w:r>
              <w:t>valstybės narės</w:t>
            </w:r>
            <w:r>
              <w:rPr>
                <w:b/>
                <w:i/>
                <w:strike w:val="0"/>
                <w:color w:val="auto"/>
                <w:highlight w:val="none"/>
                <w:u w:val="none" w:color="auto"/>
                <w:vertAlign w:val="baseline"/>
              </w:rPr>
              <w:t>, kurios nepradeda naudoti AIS visu operaciniu pajėgumu vienu metu visuose išorės sienos perėjimo punktuose,</w:t>
            </w:r>
            <w:r>
              <w:t xml:space="preserve"> turėtų laipsniškai pradėti naudoti AIS, kad būtų registruojami atvykstančių ir išvykstančių trečiųjų šalių piliečių, kurie turi būti registruojami AIS viename ar keliuose sienos perėjimo punktuose, duomenys. Jei įmanoma ir taikytina, valstybės narės turėtų įtraukti oro, sausumos ir jūrų sienos perėjimo punktus. Siekdamos užtikrinti kontroliuojamą AIS paleidimą ir, kai aktualu, geresnį galimo ilgo laukimo prie sienų laiko valdymą ir tokio laukimo išvengti, valstybės narės turėtų laipsniškai įdiegti visas AIS funkcijas ir laipsniškai pradėti registruoti visų trečiųjų šalių piliečių, kurie turi būti registruojami AIS, duomenis. </w:t>
            </w:r>
            <w:r>
              <w:rPr>
                <w:b/>
                <w:i/>
                <w:strike w:val="0"/>
                <w:color w:val="auto"/>
                <w:highlight w:val="none"/>
                <w:u w:val="none" w:color="auto"/>
                <w:vertAlign w:val="baseline"/>
              </w:rPr>
              <w:t>Siekiant užtikrinti,</w:t>
            </w:r>
            <w:r>
              <w:t xml:space="preserve"> kad </w:t>
            </w:r>
            <w:r>
              <w:rPr>
                <w:b/>
                <w:i/>
                <w:strike w:val="0"/>
                <w:color w:val="auto"/>
                <w:highlight w:val="none"/>
                <w:u w:val="none" w:color="auto"/>
                <w:vertAlign w:val="baseline"/>
              </w:rPr>
              <w:t>AIS</w:t>
            </w:r>
            <w:r>
              <w:t xml:space="preserve"> būtų </w:t>
            </w:r>
            <w:r>
              <w:rPr>
                <w:b/>
                <w:i/>
                <w:strike w:val="0"/>
                <w:color w:val="auto"/>
                <w:highlight w:val="none"/>
                <w:u w:val="none" w:color="auto"/>
                <w:vertAlign w:val="baseline"/>
              </w:rPr>
              <w:t>visapusiškai naudojama visuose Sąjungos sienos perėjimo punktuose, pradedant laipsniškai</w:t>
            </w:r>
            <w:r>
              <w:t xml:space="preserve"> naudoti </w:t>
            </w:r>
            <w:r>
              <w:rPr>
                <w:b/>
                <w:i/>
                <w:strike w:val="0"/>
                <w:color w:val="auto"/>
                <w:highlight w:val="none"/>
                <w:u w:val="none" w:color="auto"/>
                <w:vertAlign w:val="baseline"/>
              </w:rPr>
              <w:t>sistemą reikėtų nustatyti ribines vertes</w:t>
            </w:r>
            <w:r>
              <w:t xml:space="preserve">, </w:t>
            </w:r>
            <w:r>
              <w:rPr>
                <w:b/>
                <w:i/>
                <w:strike w:val="0"/>
                <w:color w:val="auto"/>
                <w:highlight w:val="none"/>
                <w:u w:val="none" w:color="auto"/>
                <w:vertAlign w:val="baseline"/>
              </w:rPr>
              <w:t>kuriomis</w:t>
            </w:r>
            <w:r>
              <w:t xml:space="preserve"> turėtų būti nustatyti būtiniausi reikalavimai, kuriuos turi įvykdyti valstybės narės.</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ab/>
      </w:r>
      <w:r>
        <w:tab/>
      </w:r>
      <w:r>
        <w:rPr>
          <w:rStyle w:val="HideTWBExt"/>
        </w:rPr>
        <w:t>&lt;</w:t>
      </w:r>
      <w:r>
        <w:rPr>
          <w:rStyle w:val="HideTWBExt"/>
        </w:rPr>
        <w:t>NumAm</w:t>
      </w:r>
      <w:r>
        <w:rPr>
          <w:rStyle w:val="HideTWBExt"/>
        </w:rPr>
        <w:t>&gt;</w:t>
      </w:r>
      <w:r>
        <w:t>5</w:t>
      </w:r>
      <w:r>
        <w:rPr>
          <w:rStyle w:val="HideTWBExt"/>
        </w:rPr>
        <w:t>&lt;/</w:t>
      </w:r>
      <w:r>
        <w:rPr>
          <w:rStyle w:val="HideTWBExt"/>
        </w:rPr>
        <w:t>NumAm</w:t>
      </w:r>
      <w:r>
        <w:rPr>
          <w:rStyle w:val="HideTWBExt"/>
        </w:rPr>
        <w:t>&gt;</w:t>
      </w:r>
      <w:r>
        <w:t>pakeitimas</w:t>
      </w:r>
    </w:p>
    <w:p>
      <w:pPr>
        <w:pStyle w:val="NormalBold12b"/>
      </w:pPr>
      <w:r>
        <w:rPr>
          <w:rStyle w:val="HideTWBExt"/>
        </w:rPr>
        <w:t>&lt;</w:t>
      </w:r>
      <w:r>
        <w:rPr>
          <w:rStyle w:val="HideTWBExt"/>
        </w:rPr>
        <w:t>DocAmend</w:t>
      </w:r>
      <w:r>
        <w:rPr>
          <w:rStyle w:val="HideTWBExt"/>
        </w:rPr>
        <w:t>&gt;</w:t>
      </w:r>
      <w:r>
        <w:t>Pasiūlymas dėl reglamento</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7 konstatuojamoji dalis</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Komisijos siūlomas tekstas</w:t>
            </w:r>
          </w:p>
        </w:tc>
        <w:tc>
          <w:tcPr>
            <w:tcW w:w="4876" w:type="dxa"/>
            <w:vAlign w:val="top"/>
          </w:tcPr>
          <w:p>
            <w:pPr>
              <w:pStyle w:val="AmColumnHeading"/>
            </w:pPr>
            <w:r>
              <w:t>Pakeitimas</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(7)</w:t>
            </w:r>
            <w:r>
              <w:tab/>
            </w:r>
            <w:r>
              <w:t>siekiant palengvinti sklandų AIS diegimą, Europos Sąjungos didelės apimties IT sistemų laisvės, saugumo ir teisingumo erdvėje operacijų valdymo agentūra (eu-LISA) turėtų parengti aukšto lygio diegimo planą, kad valstybėms narėms ir Sąjungos agentūroms būtų pateiktos gairės dėl AIS diegimo planavimo ir vykdymo jos laipsniškos veikimo pradžios laikotarpiu, ir pateikti jį Komisijai, valstybėms narėms ir Sąjungos agentūroms</w:t>
            </w:r>
            <w:r>
              <w:rPr>
                <w:b/>
                <w:i/>
                <w:strike w:val="0"/>
                <w:color w:val="auto"/>
                <w:highlight w:val="none"/>
                <w:u w:val="none" w:color="auto"/>
                <w:vertAlign w:val="baseline"/>
              </w:rPr>
              <w:t>.</w:t>
            </w:r>
            <w:r>
              <w:t xml:space="preserve"> </w:t>
            </w:r>
            <w:r>
              <w:rPr>
                <w:b/>
                <w:i/>
                <w:strike w:val="0"/>
                <w:color w:val="auto"/>
                <w:highlight w:val="none"/>
                <w:u w:val="none" w:color="auto"/>
                <w:vertAlign w:val="baseline"/>
              </w:rPr>
              <w:t>Į šį planą turėtų būti įtrauktos kiekvienam diegimo etapui eu-LISA nustatytos centrinės sistemos pajėgumų ribos. Valstybės narės, priimdamos sprendimus pradėti arba paspartinti operacijas, turėtų atsižvelgti į centrinės sistemos pajėgumus, nurodytus aukšto lygio diegimo plane;</w:t>
            </w:r>
          </w:p>
        </w:tc>
        <w:tc>
          <w:tcPr>
            <w:tcW w:w="4876" w:type="dxa"/>
            <w:vAlign w:val="top"/>
          </w:tcPr>
          <w:p>
            <w:pPr>
              <w:pStyle w:val="Normal6a"/>
            </w:pPr>
            <w:r>
              <w:t>(7)</w:t>
            </w:r>
            <w:r>
              <w:tab/>
            </w:r>
            <w:r>
              <w:t>siekiant palengvinti sklandų AIS diegimą, Europos Sąjungos didelės apimties IT sistemų laisvės, saugumo ir teisingumo erdvėje operacijų valdymo agentūra (eu-LISA) turėtų parengti aukšto lygio diegimo planą, kad valstybėms narėms ir Sąjungos agentūroms būtų pateiktos gairės dėl AIS diegimo planavimo ir vykdymo jos laipsniškos veikimo pradžios laikotarpiu, ir pateikti jį Komisijai, valstybėms narėms ir Sąjungos agentūroms;</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ab/>
      </w:r>
      <w:r>
        <w:tab/>
      </w:r>
      <w:r>
        <w:rPr>
          <w:rStyle w:val="HideTWBExt"/>
        </w:rPr>
        <w:t>&lt;</w:t>
      </w:r>
      <w:r>
        <w:rPr>
          <w:rStyle w:val="HideTWBExt"/>
        </w:rPr>
        <w:t>NumAm</w:t>
      </w:r>
      <w:r>
        <w:rPr>
          <w:rStyle w:val="HideTWBExt"/>
        </w:rPr>
        <w:t>&gt;</w:t>
      </w:r>
      <w:r>
        <w:t>6</w:t>
      </w:r>
      <w:r>
        <w:rPr>
          <w:rStyle w:val="HideTWBExt"/>
        </w:rPr>
        <w:t>&lt;/</w:t>
      </w:r>
      <w:r>
        <w:rPr>
          <w:rStyle w:val="HideTWBExt"/>
        </w:rPr>
        <w:t>NumAm</w:t>
      </w:r>
      <w:r>
        <w:rPr>
          <w:rStyle w:val="HideTWBExt"/>
        </w:rPr>
        <w:t>&gt;</w:t>
      </w:r>
      <w:r>
        <w:t>pakeitimas</w:t>
      </w:r>
    </w:p>
    <w:p>
      <w:pPr>
        <w:pStyle w:val="NormalBold12b"/>
      </w:pPr>
      <w:r>
        <w:rPr>
          <w:rStyle w:val="HideTWBExt"/>
        </w:rPr>
        <w:t>&lt;</w:t>
      </w:r>
      <w:r>
        <w:rPr>
          <w:rStyle w:val="HideTWBExt"/>
        </w:rPr>
        <w:t>DocAmend</w:t>
      </w:r>
      <w:r>
        <w:rPr>
          <w:rStyle w:val="HideTWBExt"/>
        </w:rPr>
        <w:t>&gt;</w:t>
      </w:r>
      <w:r>
        <w:t>Pasiūlymas dėl reglamento</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8 konstatuojamoji dalis</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Komisijos siūlomas tekstas</w:t>
            </w:r>
          </w:p>
        </w:tc>
        <w:tc>
          <w:tcPr>
            <w:tcW w:w="4876" w:type="dxa"/>
            <w:vAlign w:val="top"/>
          </w:tcPr>
          <w:p>
            <w:pPr>
              <w:pStyle w:val="AmColumnHeading"/>
            </w:pPr>
            <w:r>
              <w:t>Pakeitimas</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(8)</w:t>
            </w:r>
            <w:r>
              <w:tab/>
            </w:r>
            <w:r>
              <w:t>siekdamos palengvinti sklandų AIS diegimą, valstybės narės, pasikonsultavusios su Komisija ir eu-LISA, turėtų parengti nacionalinius diegimo planus. Nacionaliniuose diegimo planuose turėtų būti pateikta informacija apie kiekvienam laipsniškos AIS naudojimo pradžios etapui nustatytas ribines vertes ir reikalavimus, visų pirma: i) data, nuo kurios AIS veiks kiekviename sienos perėjimo punkte; ii) apskaičiuoto AIS registruotinų sienos kirtimo atvejų skaičiaus procentinė dalis, palyginti su bendru trečiųjų šalių piliečių, kurie turi būti registruojami AIS, skaičiumi, ir iii) kai taikytina, kiekviename pasirinktame sienos perėjimo punkte naudotinos biometrinės funkcijos. Rengdamos savo atitinkamus nacionalinius diegimo planus valstybės narės raginamos tinkamai koordinuotis su infrastruktūros, kurioje yra sienos perėjimo punktai, operatoriais. Kad būtų stebima, kaip laikomasi laipsniškos sistemos veikimo pradžios reikalavimų, valstybės narės turėtų teikti Komisijai ir eu-LISA mėnesines savo diegimo planų įgyvendinimo ataskaitas. Į tokias mėnesines ataskaitas prireikus turėtų būti įtrauktos taisomosios priemonės, skirtos užtikrinti, kad būtų laikomasi laipsniškos sistemos veikimo pradžios reikalavimų;</w:t>
            </w:r>
          </w:p>
        </w:tc>
        <w:tc>
          <w:tcPr>
            <w:tcW w:w="4876" w:type="dxa"/>
            <w:vAlign w:val="top"/>
          </w:tcPr>
          <w:p>
            <w:pPr>
              <w:pStyle w:val="Normal6a"/>
            </w:pPr>
            <w:r>
              <w:t>(8)</w:t>
            </w:r>
            <w:r>
              <w:tab/>
            </w:r>
            <w:r>
              <w:t xml:space="preserve">siekdamos palengvinti sklandų AIS diegimą, valstybės narės, pasikonsultavusios su Komisija ir eu-LISA, turėtų parengti nacionalinius diegimo planus </w:t>
            </w:r>
            <w:r>
              <w:rPr>
                <w:b/>
                <w:i/>
                <w:strike w:val="0"/>
                <w:color w:val="auto"/>
                <w:highlight w:val="none"/>
                <w:u w:val="none" w:color="auto"/>
                <w:vertAlign w:val="baseline"/>
              </w:rPr>
              <w:t>ir pateikti juos Komisijai</w:t>
            </w:r>
            <w:r>
              <w:t>. Nacionaliniuose diegimo planuose turėtų būti pateikta informacija apie kiekvienam laipsniškos AIS naudojimo pradžios etapui nustatytas ribines vertes ir reikalavimus, visų pirma: i) data, nuo kurios AIS veiks kiekviename sienos perėjimo punkte; ii) apskaičiuoto AIS registruotinų sienos kirtimo atvejų skaičiaus procentinė dalis, palyginti su bendru trečiųjų šalių piliečių, kurie turi būti registruojami AIS, skaičiumi, ir iii) kai taikytina, kiekviename pasirinktame sienos perėjimo punkte naudotinos biometrinės funkcijos. Rengdamos savo atitinkamus nacionalinius diegimo planus valstybės narės raginamos tinkamai koordinuotis su infrastruktūros, kurioje yra sienos perėjimo punktai, operatoriais. Kad būtų stebima, kaip laikomasi laipsniškos sistemos veikimo pradžios reikalavimų, valstybės narės turėtų teikti Komisijai ir eu-LISA mėnesines savo diegimo planų įgyvendinimo ataskaitas. Į tokias mėnesines ataskaitas prireikus turėtų būti įtrauktos taisomosios priemonės, skirtos užtikrinti, kad būtų laikomasi laipsniškos sistemos veikimo pradžios reikalavimų;</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ab/>
      </w:r>
      <w:r>
        <w:tab/>
      </w:r>
      <w:r>
        <w:rPr>
          <w:rStyle w:val="HideTWBExt"/>
        </w:rPr>
        <w:t>&lt;</w:t>
      </w:r>
      <w:r>
        <w:rPr>
          <w:rStyle w:val="HideTWBExt"/>
        </w:rPr>
        <w:t>NumAm</w:t>
      </w:r>
      <w:r>
        <w:rPr>
          <w:rStyle w:val="HideTWBExt"/>
        </w:rPr>
        <w:t>&gt;</w:t>
      </w:r>
      <w:r>
        <w:t>7</w:t>
      </w:r>
      <w:r>
        <w:rPr>
          <w:rStyle w:val="HideTWBExt"/>
        </w:rPr>
        <w:t>&lt;/</w:t>
      </w:r>
      <w:r>
        <w:rPr>
          <w:rStyle w:val="HideTWBExt"/>
        </w:rPr>
        <w:t>NumAm</w:t>
      </w:r>
      <w:r>
        <w:rPr>
          <w:rStyle w:val="HideTWBExt"/>
        </w:rPr>
        <w:t>&gt;</w:t>
      </w:r>
      <w:r>
        <w:t>pakeitimas</w:t>
      </w:r>
    </w:p>
    <w:p>
      <w:pPr>
        <w:pStyle w:val="NormalBold12b"/>
      </w:pPr>
      <w:r>
        <w:rPr>
          <w:rStyle w:val="HideTWBExt"/>
        </w:rPr>
        <w:t>&lt;</w:t>
      </w:r>
      <w:r>
        <w:rPr>
          <w:rStyle w:val="HideTWBExt"/>
        </w:rPr>
        <w:t>DocAmend</w:t>
      </w:r>
      <w:r>
        <w:rPr>
          <w:rStyle w:val="HideTWBExt"/>
        </w:rPr>
        <w:t>&gt;</w:t>
      </w:r>
      <w:r>
        <w:t>Pasiūlymas dėl reglamento</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9 konstatuojamoji dalis</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Komisijos siūlomas tekstas</w:t>
            </w:r>
          </w:p>
        </w:tc>
        <w:tc>
          <w:tcPr>
            <w:tcW w:w="4876" w:type="dxa"/>
            <w:vAlign w:val="top"/>
          </w:tcPr>
          <w:p>
            <w:pPr>
              <w:pStyle w:val="AmColumnHeading"/>
            </w:pPr>
            <w:r>
              <w:t>Pakeitimas</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(9)</w:t>
            </w:r>
            <w:r>
              <w:tab/>
            </w:r>
            <w:r>
              <w:t xml:space="preserve">dėl laipsniškos AIS veikimo pradžios ir </w:t>
            </w:r>
            <w:r>
              <w:rPr>
                <w:b/>
                <w:i/>
                <w:strike w:val="0"/>
                <w:color w:val="auto"/>
                <w:highlight w:val="none"/>
                <w:u w:val="none" w:color="auto"/>
                <w:vertAlign w:val="baseline"/>
              </w:rPr>
              <w:t>galimo</w:t>
            </w:r>
            <w:r>
              <w:t xml:space="preserve"> AIS registruotų duomenų neišsamumo laipsniškos AIS sistemos veikimo pradžios laikotarpiu turėtų būti sistemingai antspauduojami atvykstančių ir išvykstančių trečiųjų šalių piliečių kelionės dokumentai. Nacionalinės institucijos turėtų atsižvelgti į galimą atvykimo ir išvykimo įrašų arba atsisakymo leisti atvykti įrašų neišsamumą ir turėtų laikyti, kad spaudai yra svarbesni už AIS registruotą informaciją. Be to, teikdamos informaciją trečiųjų šalių piliečiams apie ilgiausią likusią leidžiamo buvimo trukmę, nacionalinės institucijos savo vertinimą turėtų grįsti kelionės dokumentuose uždėtais spaudais. Jei spaudo nėra, pirmenybė turėtų būti teikiama AIS registruotiems duomenims;</w:t>
            </w:r>
          </w:p>
        </w:tc>
        <w:tc>
          <w:tcPr>
            <w:tcW w:w="4876" w:type="dxa"/>
            <w:vAlign w:val="top"/>
          </w:tcPr>
          <w:p>
            <w:pPr>
              <w:pStyle w:val="Normal6a"/>
            </w:pPr>
            <w:r>
              <w:t>(9)</w:t>
            </w:r>
            <w:r>
              <w:tab/>
            </w:r>
            <w:r>
              <w:t xml:space="preserve">dėl laipsniškos AIS veikimo pradžios ir </w:t>
            </w:r>
            <w:r>
              <w:rPr>
                <w:b/>
                <w:i/>
                <w:strike w:val="0"/>
                <w:color w:val="auto"/>
                <w:highlight w:val="none"/>
                <w:u w:val="none" w:color="auto"/>
                <w:vertAlign w:val="baseline"/>
              </w:rPr>
              <w:t>atitinkamo</w:t>
            </w:r>
            <w:r>
              <w:t xml:space="preserve"> AIS registruotų duomenų neišsamumo laipsniškos AIS sistemos veikimo pradžios laikotarpiu turėtų būti sistemingai antspauduojami atvykstančių ir išvykstančių trečiųjų šalių piliečių kelionės dokumentai. Nacionalinės institucijos turėtų atsižvelgti į galimą atvykimo ir išvykimo įrašų arba atsisakymo leisti atvykti įrašų neišsamumą ir turėtų laikyti, kad spaudai yra svarbesni už AIS registruotą informaciją. Be to, teikdamos informaciją trečiųjų šalių piliečiams apie ilgiausią likusią leidžiamo buvimo trukmę, nacionalinės institucijos savo vertinimą turėtų grįsti kelionės dokumentuose uždėtais spaudais. Jei spaudo nėra, pirmenybė turėtų būti teikiama AIS registruotiems duomenims;</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ab/>
      </w:r>
      <w:r>
        <w:tab/>
      </w:r>
      <w:r>
        <w:rPr>
          <w:rStyle w:val="HideTWBExt"/>
        </w:rPr>
        <w:t>&lt;</w:t>
      </w:r>
      <w:r>
        <w:rPr>
          <w:rStyle w:val="HideTWBExt"/>
        </w:rPr>
        <w:t>NumAm</w:t>
      </w:r>
      <w:r>
        <w:rPr>
          <w:rStyle w:val="HideTWBExt"/>
        </w:rPr>
        <w:t>&gt;</w:t>
      </w:r>
      <w:r>
        <w:t>8</w:t>
      </w:r>
      <w:r>
        <w:rPr>
          <w:rStyle w:val="HideTWBExt"/>
        </w:rPr>
        <w:t>&lt;/</w:t>
      </w:r>
      <w:r>
        <w:rPr>
          <w:rStyle w:val="HideTWBExt"/>
        </w:rPr>
        <w:t>NumAm</w:t>
      </w:r>
      <w:r>
        <w:rPr>
          <w:rStyle w:val="HideTWBExt"/>
        </w:rPr>
        <w:t>&gt;</w:t>
      </w:r>
      <w:r>
        <w:t>pakeitimas</w:t>
      </w:r>
    </w:p>
    <w:p>
      <w:pPr>
        <w:pStyle w:val="NormalBold12b"/>
      </w:pPr>
      <w:r>
        <w:rPr>
          <w:rStyle w:val="HideTWBExt"/>
        </w:rPr>
        <w:t>&lt;</w:t>
      </w:r>
      <w:r>
        <w:rPr>
          <w:rStyle w:val="HideTWBExt"/>
        </w:rPr>
        <w:t>DocAmend</w:t>
      </w:r>
      <w:r>
        <w:rPr>
          <w:rStyle w:val="HideTWBExt"/>
        </w:rPr>
        <w:t>&gt;</w:t>
      </w:r>
      <w:r>
        <w:t>Pasiūlymas dėl reglamento</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11 konstatuojamoji dalis</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Komisijos siūlomas tekstas</w:t>
            </w:r>
          </w:p>
        </w:tc>
        <w:tc>
          <w:tcPr>
            <w:tcW w:w="4876" w:type="dxa"/>
            <w:vAlign w:val="top"/>
          </w:tcPr>
          <w:p>
            <w:pPr>
              <w:pStyle w:val="AmColumnHeading"/>
            </w:pPr>
            <w:r>
              <w:t>Pakeitimas</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(11)</w:t>
            </w:r>
            <w:r>
              <w:tab/>
            </w:r>
            <w:r>
              <w:t xml:space="preserve">siekiant suteikti valstybėms narėms pakankamai laiko prisitaikyti prie AIS veikimo pradžios, pirmosiomis 60 kalendorinių </w:t>
            </w:r>
            <w:r>
              <w:rPr>
                <w:b/>
                <w:i/>
                <w:strike w:val="0"/>
                <w:color w:val="auto"/>
                <w:highlight w:val="none"/>
                <w:u w:val="none" w:color="auto"/>
                <w:vertAlign w:val="baseline"/>
              </w:rPr>
              <w:t>dienų nuo</w:t>
            </w:r>
            <w:r>
              <w:t xml:space="preserve"> laipsniškos sistemos veikimo pradžios biometrinių funkcijų naudojimas sienos perėjimo punktuose neturėtų būti privalomas. Ne vėliau kaip 90-ą kalendorinę </w:t>
            </w:r>
            <w:r>
              <w:rPr>
                <w:b/>
                <w:i/>
                <w:strike w:val="0"/>
                <w:color w:val="auto"/>
                <w:highlight w:val="none"/>
                <w:u w:val="none" w:color="auto"/>
                <w:vertAlign w:val="baseline"/>
              </w:rPr>
              <w:t>dieną nuo</w:t>
            </w:r>
            <w:r>
              <w:t xml:space="preserve"> laipsniškos sistemos veikimo pradžios valstybės narės turėtų naudoti AIS biometrines funkcijas bent pusėje savo sienos perėjimo punktų. Biometrinių duomenų teikimas neturėtų būti atvykimo sąlyga trečiųjų šalių piliečiams, kurie turi būti registruojami AIS sienos perėjimo punktuose, kuriuose AIS naudojama be biometrinių funkcijų;</w:t>
            </w:r>
          </w:p>
        </w:tc>
        <w:tc>
          <w:tcPr>
            <w:tcW w:w="4876" w:type="dxa"/>
            <w:vAlign w:val="top"/>
          </w:tcPr>
          <w:p>
            <w:pPr>
              <w:pStyle w:val="Normal6a"/>
            </w:pPr>
            <w:r>
              <w:t>(11)</w:t>
            </w:r>
            <w:r>
              <w:tab/>
            </w:r>
            <w:r>
              <w:t xml:space="preserve">siekiant suteikti valstybėms narėms pakankamai laiko prisitaikyti prie AIS veikimo pradžios, pirmosiomis 60 kalendorinių laipsniškos sistemos veikimo pradžios </w:t>
            </w:r>
            <w:r>
              <w:rPr>
                <w:b/>
                <w:i/>
                <w:strike w:val="0"/>
                <w:color w:val="auto"/>
                <w:highlight w:val="none"/>
                <w:u w:val="none" w:color="auto"/>
                <w:vertAlign w:val="baseline"/>
              </w:rPr>
              <w:t>dienų</w:t>
            </w:r>
            <w:r>
              <w:t xml:space="preserve"> biometrinių funkcijų naudojimas sienos perėjimo punktuose neturėtų būti privalomas. Ne vėliau kaip 90-ą kalendorinę laipsniškos sistemos veikimo pradžios </w:t>
            </w:r>
            <w:r>
              <w:rPr>
                <w:b/>
                <w:i/>
                <w:strike w:val="0"/>
                <w:color w:val="auto"/>
                <w:highlight w:val="none"/>
                <w:u w:val="none" w:color="auto"/>
                <w:vertAlign w:val="baseline"/>
              </w:rPr>
              <w:t>dieną</w:t>
            </w:r>
            <w:r>
              <w:t xml:space="preserve"> valstybės narės turėtų naudoti AIS biometrines funkcijas bent pusėje savo sienos perėjimo punktų. Biometrinių duomenų teikimas neturėtų būti atvykimo sąlyga trečiųjų šalių piliečiams, kurie turi būti registruojami AIS sienos perėjimo punktuose, kuriuose AIS naudojama be biometrinių funkcijų;</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ab/>
      </w:r>
      <w:r>
        <w:tab/>
      </w:r>
      <w:r>
        <w:rPr>
          <w:rStyle w:val="HideTWBExt"/>
        </w:rPr>
        <w:t>&lt;</w:t>
      </w:r>
      <w:r>
        <w:rPr>
          <w:rStyle w:val="HideTWBExt"/>
        </w:rPr>
        <w:t>NumAm</w:t>
      </w:r>
      <w:r>
        <w:rPr>
          <w:rStyle w:val="HideTWBExt"/>
        </w:rPr>
        <w:t>&gt;</w:t>
      </w:r>
      <w:r>
        <w:t>9</w:t>
      </w:r>
      <w:r>
        <w:rPr>
          <w:rStyle w:val="HideTWBExt"/>
        </w:rPr>
        <w:t>&lt;/</w:t>
      </w:r>
      <w:r>
        <w:rPr>
          <w:rStyle w:val="HideTWBExt"/>
        </w:rPr>
        <w:t>NumAm</w:t>
      </w:r>
      <w:r>
        <w:rPr>
          <w:rStyle w:val="HideTWBExt"/>
        </w:rPr>
        <w:t>&gt;</w:t>
      </w:r>
      <w:r>
        <w:t>pakeitimas</w:t>
      </w:r>
    </w:p>
    <w:p>
      <w:pPr>
        <w:pStyle w:val="NormalBold12b"/>
      </w:pPr>
      <w:r>
        <w:rPr>
          <w:rStyle w:val="HideTWBExt"/>
        </w:rPr>
        <w:t>&lt;</w:t>
      </w:r>
      <w:r>
        <w:rPr>
          <w:rStyle w:val="HideTWBExt"/>
        </w:rPr>
        <w:t>DocAmend</w:t>
      </w:r>
      <w:r>
        <w:rPr>
          <w:rStyle w:val="HideTWBExt"/>
        </w:rPr>
        <w:t>&gt;</w:t>
      </w:r>
      <w:r>
        <w:t>Pasiūlymas dėl reglamento</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23 konstatuojamoji dalis</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Komisijos siūlomas tekstas</w:t>
            </w:r>
          </w:p>
        </w:tc>
        <w:tc>
          <w:tcPr>
            <w:tcW w:w="4876" w:type="dxa"/>
            <w:vAlign w:val="top"/>
          </w:tcPr>
          <w:p>
            <w:pPr>
              <w:pStyle w:val="AmColumnHeading"/>
            </w:pPr>
            <w:r>
              <w:t>Pakeitimas</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(23)</w:t>
            </w:r>
            <w:r>
              <w:tab/>
            </w:r>
            <w:r>
              <w:t>kad laipsniškos sistemos veikimo pradžios laikotarpiu būtų užtikrintas veiksmingas išorės sienų valdymas, sienos perėjimo punktuose, kuriuose AIS nenaudojama, patikrinimai kertant sieną turėtų būti atliekami pagal Reglamentą (ES) 2016/399, taikomą [diena prieš Komisijos pagal Reglamento (ES) 2017/2226 66 straipsnio 1 nustatytą AIS veikimo pradžios dieną]. Sienos perėjimo punktuose, kuriuose AIS naudojama, patikrinimai kertant sieną turėtų būti atliekami pagal Reglamentą (ES) 2017/2226 ir Šengeno sienų kodeksą. Vis dėlto turėtų būti taikomos konkrečios nuo šių reglamentų nukrypti leidžiančios nuostatos, susijusios su tikrinimu sienos perėjimo punktuose, kuriuose AIS naudojama be biometrinių funkcijų, kad būtų galima laipsniškai pradėti naudoti sistemą. Tai turėtų būti daroma nedarant poveikio vizų turėtojų patikrinimams naudojant pirštų atspaudus pagal Reglamentą (EB) Nr. </w:t>
            </w:r>
            <w:r>
              <w:rPr>
                <w:b/>
                <w:i/>
                <w:strike w:val="0"/>
                <w:color w:val="auto"/>
                <w:highlight w:val="none"/>
                <w:u w:val="none" w:color="auto"/>
                <w:vertAlign w:val="baseline"/>
              </w:rPr>
              <w:t>787</w:t>
            </w:r>
            <w:r>
              <w:t>/2008;</w:t>
            </w:r>
          </w:p>
        </w:tc>
        <w:tc>
          <w:tcPr>
            <w:tcW w:w="4876" w:type="dxa"/>
            <w:vAlign w:val="top"/>
          </w:tcPr>
          <w:p>
            <w:pPr>
              <w:pStyle w:val="Normal6a"/>
            </w:pPr>
            <w:r>
              <w:t>(23)</w:t>
            </w:r>
            <w:r>
              <w:tab/>
            </w:r>
            <w:r>
              <w:t xml:space="preserve">kad laipsniškos sistemos veikimo pradžios laikotarpiu būtų užtikrintas veiksmingas išorės sienų valdymas, sienos perėjimo punktuose, kuriuose AIS nenaudojama, patikrinimai kertant sieną turėtų būti atliekami pagal Reglamentą (ES) 2016/399, taikomą [diena prieš Komisijos pagal Reglamento (ES) 2017/2226 66 straipsnio 1 </w:t>
            </w:r>
            <w:r>
              <w:rPr>
                <w:b/>
                <w:i/>
                <w:strike w:val="0"/>
                <w:color w:val="auto"/>
                <w:highlight w:val="none"/>
                <w:u w:val="none" w:color="auto"/>
                <w:vertAlign w:val="baseline"/>
              </w:rPr>
              <w:t>dalį</w:t>
            </w:r>
            <w:r>
              <w:t xml:space="preserve"> nustatytą AIS veikimo pradžios dieną]. Sienos perėjimo punktuose, kuriuose AIS naudojama, patikrinimai kertant sieną turėtų būti atliekami pagal Reglamentą (ES) 2017/2226 ir Šengeno sienų kodeksą. Vis dėlto turėtų būti taikomos konkrečios nuo šių reglamentų nukrypti leidžiančios nuostatos, susijusios su tikrinimu sienos perėjimo punktuose, kuriuose AIS naudojama be biometrinių funkcijų, kad būtų galima laipsniškai pradėti naudoti sistemą. Tai turėtų būti daroma nedarant poveikio vizų turėtojų patikrinimams naudojant pirštų atspaudus pagal Reglamentą (EB) Nr. </w:t>
            </w:r>
            <w:r>
              <w:rPr>
                <w:b/>
                <w:i/>
                <w:strike w:val="0"/>
                <w:color w:val="auto"/>
                <w:highlight w:val="none"/>
                <w:u w:val="none" w:color="auto"/>
                <w:vertAlign w:val="baseline"/>
              </w:rPr>
              <w:t>767</w:t>
            </w:r>
            <w:r>
              <w:t>/2008;</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ab/>
      </w:r>
      <w:r>
        <w:tab/>
      </w:r>
      <w:r>
        <w:rPr>
          <w:rStyle w:val="HideTWBExt"/>
        </w:rPr>
        <w:t>&lt;</w:t>
      </w:r>
      <w:r>
        <w:rPr>
          <w:rStyle w:val="HideTWBExt"/>
        </w:rPr>
        <w:t>NumAm</w:t>
      </w:r>
      <w:r>
        <w:rPr>
          <w:rStyle w:val="HideTWBExt"/>
        </w:rPr>
        <w:t>&gt;</w:t>
      </w:r>
      <w:r>
        <w:t>10</w:t>
      </w:r>
      <w:r>
        <w:rPr>
          <w:rStyle w:val="HideTWBExt"/>
        </w:rPr>
        <w:t>&lt;/</w:t>
      </w:r>
      <w:r>
        <w:rPr>
          <w:rStyle w:val="HideTWBExt"/>
        </w:rPr>
        <w:t>NumAm</w:t>
      </w:r>
      <w:r>
        <w:rPr>
          <w:rStyle w:val="HideTWBExt"/>
        </w:rPr>
        <w:t>&gt;</w:t>
      </w:r>
      <w:r>
        <w:t>pakeitimas</w:t>
      </w:r>
    </w:p>
    <w:p>
      <w:pPr>
        <w:pStyle w:val="NormalBold12b"/>
      </w:pPr>
      <w:r>
        <w:rPr>
          <w:rStyle w:val="HideTWBExt"/>
        </w:rPr>
        <w:t>&lt;</w:t>
      </w:r>
      <w:r>
        <w:rPr>
          <w:rStyle w:val="HideTWBExt"/>
        </w:rPr>
        <w:t>DocAmend</w:t>
      </w:r>
      <w:r>
        <w:rPr>
          <w:rStyle w:val="HideTWBExt"/>
        </w:rPr>
        <w:t>&gt;</w:t>
      </w:r>
      <w:r>
        <w:t>Pasiūlymas dėl reglamento</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24 konstatuojamoji dalis</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Komisijos siūlomas tekstas</w:t>
            </w:r>
          </w:p>
        </w:tc>
        <w:tc>
          <w:tcPr>
            <w:tcW w:w="4876" w:type="dxa"/>
            <w:vAlign w:val="top"/>
          </w:tcPr>
          <w:p>
            <w:pPr>
              <w:pStyle w:val="AmColumnHeading"/>
            </w:pPr>
            <w:r>
              <w:t>Pakeitimas</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(24)</w:t>
            </w:r>
            <w:r>
              <w:tab/>
            </w:r>
            <w:r>
              <w:t xml:space="preserve">kad </w:t>
            </w:r>
            <w:r>
              <w:rPr>
                <w:b/>
                <w:i/>
                <w:strike w:val="0"/>
                <w:color w:val="auto"/>
                <w:highlight w:val="none"/>
                <w:u w:val="none" w:color="auto"/>
                <w:vertAlign w:val="baseline"/>
              </w:rPr>
              <w:t>laipsniškos AIS veikimo pradžios laikotarpiu kiekvienoje valstybėje narėje</w:t>
            </w:r>
            <w:r>
              <w:t xml:space="preserve"> būtų galima atlikti veiksmingus techninius ir organizacinius pakeitimus ir reaguoti į išskirtines AIS centrinės sistemos, nacionalinių sistemų ar ryšių infrastruktūros gedimo arba pernelyg ilgo laukimo prie jų sienų aplinkybes, valstybės narės turėtų turėti galimybę visiškai arba iš dalies sustabdyti AIS veikimą tam tikruose sienos perėjimo punktuose. Dalinio sustabdymo atveju biometrinių duomenų registravimas AIS turėtų būti sustabdytas. Visiško sustabdymo atveju AIS neturėtų būti registruojami jokie duomenys</w:t>
            </w:r>
            <w:r>
              <w:rPr>
                <w:b/>
                <w:i/>
                <w:strike w:val="0"/>
                <w:color w:val="auto"/>
                <w:highlight w:val="none"/>
                <w:u w:val="none" w:color="auto"/>
                <w:vertAlign w:val="baseline"/>
              </w:rPr>
              <w:t>.</w:t>
            </w:r>
            <w:r>
              <w:t xml:space="preserve"> </w:t>
            </w:r>
            <w:r>
              <w:rPr>
                <w:b/>
                <w:i/>
                <w:strike w:val="0"/>
                <w:color w:val="auto"/>
                <w:highlight w:val="none"/>
                <w:u w:val="none" w:color="auto"/>
                <w:vertAlign w:val="baseline"/>
              </w:rPr>
              <w:t>Siekiant sumažinti papildomą riziką, susijusią su AIS su biometrinėmis funkcijomis diegimu, pasibaigus laipsniškos sistemos veikimo pradžios laikotarpiui valstybės narės turėtų turėti galimybę išskirtinėmis aplinkybėmis, dėl kurių eismas yra toks intensyvus, kad laukimo prie sienų laikas tampa pernelyg ilgas, sustabdyti biometrinių duomenų registravimą AIS. Toks sustabdymas turėtų būti įmanomas ribotą laikotarpį, trunkantį 60 dienų nuo laipsniškos AIS veikimo pradžios laikotarpio pabaigos, ir turėtų būti pratęstas 60 dienų, jei biometrinių duomenų yra mažiau nei 80 proc. asmens bylų, registruotų AIS laipsniškos AIS veikimo pradžios laikotarpiu;</w:t>
            </w:r>
          </w:p>
        </w:tc>
        <w:tc>
          <w:tcPr>
            <w:tcW w:w="4876" w:type="dxa"/>
            <w:vAlign w:val="top"/>
          </w:tcPr>
          <w:p>
            <w:pPr>
              <w:pStyle w:val="Normal6a"/>
            </w:pPr>
            <w:r>
              <w:t>(24)</w:t>
            </w:r>
            <w:r>
              <w:tab/>
            </w:r>
            <w:r>
              <w:t xml:space="preserve">kad būtų galima atlikti veiksmingus techninius ir organizacinius pakeitimus ir reaguoti į </w:t>
            </w:r>
            <w:r>
              <w:rPr>
                <w:b/>
                <w:i/>
                <w:strike w:val="0"/>
                <w:color w:val="auto"/>
                <w:highlight w:val="none"/>
                <w:u w:val="none" w:color="auto"/>
                <w:vertAlign w:val="baseline"/>
              </w:rPr>
              <w:t>galimas</w:t>
            </w:r>
            <w:r>
              <w:t xml:space="preserve"> išskirtines AIS centrinės sistemos, nacionalinių sistemų ar ryšių infrastruktūros gedimo arba pernelyg ilgo laukimo prie jų sienų aplinkybes, </w:t>
            </w:r>
            <w:r>
              <w:rPr>
                <w:b/>
                <w:i/>
                <w:strike w:val="0"/>
                <w:color w:val="auto"/>
                <w:highlight w:val="none"/>
                <w:u w:val="none" w:color="auto"/>
                <w:vertAlign w:val="baseline"/>
              </w:rPr>
              <w:t>laipsniškos AIS veikimo pradžios laikotarpiu</w:t>
            </w:r>
            <w:r>
              <w:t xml:space="preserve"> valstybės narės turėtų turėti galimybę visiškai arba iš dalies sustabdyti AIS veikimą tam tikruose sienos perėjimo punktuose. Dalinio sustabdymo atveju biometrinių duomenų registravimas AIS turėtų būti sustabdytas. Visiško sustabdymo atveju AIS neturėtų būti registruojami jokie duomenys;</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ab/>
      </w:r>
      <w:r>
        <w:tab/>
      </w:r>
      <w:r>
        <w:rPr>
          <w:rStyle w:val="HideTWBExt"/>
        </w:rPr>
        <w:t>&lt;</w:t>
      </w:r>
      <w:r>
        <w:rPr>
          <w:rStyle w:val="HideTWBExt"/>
        </w:rPr>
        <w:t>NumAm</w:t>
      </w:r>
      <w:r>
        <w:rPr>
          <w:rStyle w:val="HideTWBExt"/>
        </w:rPr>
        <w:t>&gt;</w:t>
      </w:r>
      <w:r>
        <w:t>11</w:t>
      </w:r>
      <w:r>
        <w:rPr>
          <w:rStyle w:val="HideTWBExt"/>
        </w:rPr>
        <w:t>&lt;/</w:t>
      </w:r>
      <w:r>
        <w:rPr>
          <w:rStyle w:val="HideTWBExt"/>
        </w:rPr>
        <w:t>NumAm</w:t>
      </w:r>
      <w:r>
        <w:rPr>
          <w:rStyle w:val="HideTWBExt"/>
        </w:rPr>
        <w:t>&gt;</w:t>
      </w:r>
      <w:r>
        <w:t>pakeitimas</w:t>
      </w:r>
    </w:p>
    <w:p>
      <w:pPr>
        <w:pStyle w:val="NormalBold12b"/>
      </w:pPr>
      <w:r>
        <w:rPr>
          <w:rStyle w:val="HideTWBExt"/>
        </w:rPr>
        <w:t>&lt;</w:t>
      </w:r>
      <w:r>
        <w:rPr>
          <w:rStyle w:val="HideTWBExt"/>
        </w:rPr>
        <w:t>DocAmend</w:t>
      </w:r>
      <w:r>
        <w:rPr>
          <w:rStyle w:val="HideTWBExt"/>
        </w:rPr>
        <w:t>&gt;</w:t>
      </w:r>
      <w:r>
        <w:t>Pasiūlymas dėl reglamento</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24 a konstatuojamoji dalis (nauja)</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Komisijos siūlomas tekstas</w:t>
            </w:r>
          </w:p>
        </w:tc>
        <w:tc>
          <w:tcPr>
            <w:tcW w:w="4876" w:type="dxa"/>
            <w:vAlign w:val="top"/>
          </w:tcPr>
          <w:p>
            <w:pPr>
              <w:pStyle w:val="AmColumnHeading"/>
            </w:pPr>
            <w:r>
              <w:t>Pakeitimas</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b/>
                <w:i/>
                <w:strike w:val="0"/>
                <w:color w:val="auto"/>
                <w:highlight w:val="none"/>
                <w:u w:val="none" w:color="auto"/>
                <w:vertAlign w:val="baseline"/>
              </w:rPr>
              <w:t>(24a)</w:t>
            </w:r>
            <w:r>
              <w:tab/>
            </w:r>
            <w:r>
              <w:rPr>
                <w:b/>
                <w:i/>
                <w:strike w:val="0"/>
                <w:color w:val="auto"/>
                <w:highlight w:val="none"/>
                <w:u w:val="none" w:color="auto"/>
                <w:vertAlign w:val="baseline"/>
              </w:rPr>
              <w:t>siekiant sumažinti papildomą riziką, susijusią su AIS su biometrinėmis funkcijomis diegimu, pasibaigus laipsniškos sistemos veikimo pradžios laikotarpiui valstybės narės turėtų turėti galimybę išskirtinėmis aplinkybėmis, dėl kurių eismas yra toks intensyvus, kad laukimo prie sienų laikas tampa pernelyg ilgas, sustabdyti biometrinių duomenų registravimą AIS. Tokią sustabdymo priemonę turėtų būti galima taikyti ribotą 60 dienų laikotarpį nuo laipsniškos AIS veikimo pradžios;</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ab/>
      </w:r>
      <w:r>
        <w:tab/>
      </w:r>
      <w:r>
        <w:rPr>
          <w:rStyle w:val="HideTWBExt"/>
        </w:rPr>
        <w:t>&lt;</w:t>
      </w:r>
      <w:r>
        <w:rPr>
          <w:rStyle w:val="HideTWBExt"/>
        </w:rPr>
        <w:t>NumAm</w:t>
      </w:r>
      <w:r>
        <w:rPr>
          <w:rStyle w:val="HideTWBExt"/>
        </w:rPr>
        <w:t>&gt;</w:t>
      </w:r>
      <w:r>
        <w:t>12</w:t>
      </w:r>
      <w:r>
        <w:rPr>
          <w:rStyle w:val="HideTWBExt"/>
        </w:rPr>
        <w:t>&lt;/</w:t>
      </w:r>
      <w:r>
        <w:rPr>
          <w:rStyle w:val="HideTWBExt"/>
        </w:rPr>
        <w:t>NumAm</w:t>
      </w:r>
      <w:r>
        <w:rPr>
          <w:rStyle w:val="HideTWBExt"/>
        </w:rPr>
        <w:t>&gt;</w:t>
      </w:r>
      <w:r>
        <w:t>pakeitimas</w:t>
      </w:r>
    </w:p>
    <w:p>
      <w:pPr>
        <w:pStyle w:val="NormalBold12b"/>
      </w:pPr>
      <w:r>
        <w:rPr>
          <w:rStyle w:val="HideTWBExt"/>
        </w:rPr>
        <w:t>&lt;</w:t>
      </w:r>
      <w:r>
        <w:rPr>
          <w:rStyle w:val="HideTWBExt"/>
        </w:rPr>
        <w:t>DocAmend</w:t>
      </w:r>
      <w:r>
        <w:rPr>
          <w:rStyle w:val="HideTWBExt"/>
        </w:rPr>
        <w:t>&gt;</w:t>
      </w:r>
      <w:r>
        <w:t>Pasiūlymas dėl reglamento</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27 konstatuojamoji dalis</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Komisijos siūlomas tekstas</w:t>
            </w:r>
          </w:p>
        </w:tc>
        <w:tc>
          <w:tcPr>
            <w:tcW w:w="4876" w:type="dxa"/>
            <w:vAlign w:val="top"/>
          </w:tcPr>
          <w:p>
            <w:pPr>
              <w:pStyle w:val="AmColumnHeading"/>
            </w:pPr>
            <w:r>
              <w:t>Pakeitimas</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(27)</w:t>
            </w:r>
            <w:r>
              <w:tab/>
            </w:r>
            <w:r>
              <w:t>šio reglamento tikslo, kuriuo leidžiama nukrypti nuo Reglamento (ES) 2017/2226 ir Reglamento (ES) 2016/</w:t>
            </w:r>
            <w:r>
              <w:rPr>
                <w:b/>
                <w:i/>
                <w:strike w:val="0"/>
                <w:color w:val="auto"/>
                <w:highlight w:val="none"/>
                <w:u w:val="none" w:color="auto"/>
                <w:vertAlign w:val="baseline"/>
              </w:rPr>
              <w:t>299</w:t>
            </w:r>
            <w:r>
              <w:t xml:space="preserve"> siekiant numatyti laipsnišką AIS veikimo pradžią, valstybės narės negali deramai pasiekti, o dėl veiksmo masto ir poveikio to tikslo būtų geriau siekti Sąjungos lygmeniu. Todėl</w:t>
            </w:r>
            <w:r>
              <w:rPr>
                <w:b/>
                <w:i/>
                <w:strike w:val="0"/>
                <w:color w:val="auto"/>
                <w:highlight w:val="none"/>
                <w:u w:val="none" w:color="auto"/>
                <w:vertAlign w:val="baseline"/>
              </w:rPr>
              <w:t>,</w:t>
            </w:r>
            <w:r>
              <w:t xml:space="preserve"> laikydamasi Europos Sąjungos sutarties 5 straipsnyje nustatyto subsidiarumo principo</w:t>
            </w:r>
            <w:r>
              <w:rPr>
                <w:b/>
                <w:i/>
                <w:strike w:val="0"/>
                <w:color w:val="auto"/>
                <w:highlight w:val="none"/>
                <w:u w:val="none" w:color="auto"/>
                <w:vertAlign w:val="baseline"/>
              </w:rPr>
              <w:t>,</w:t>
            </w:r>
            <w:r>
              <w:t xml:space="preserve"> Sąjunga gali patvirtinti priemones. Pagal tame straipsnyje nustatytą proporcingumo principą šiuo reglamentu neviršijama to, kas būtina </w:t>
            </w:r>
            <w:r>
              <w:rPr>
                <w:b/>
                <w:i/>
                <w:strike w:val="0"/>
                <w:color w:val="auto"/>
                <w:highlight w:val="none"/>
                <w:u w:val="none" w:color="auto"/>
                <w:vertAlign w:val="baseline"/>
              </w:rPr>
              <w:t>tiems</w:t>
            </w:r>
            <w:r>
              <w:t xml:space="preserve"> tikslams pasiekti;</w:t>
            </w:r>
          </w:p>
        </w:tc>
        <w:tc>
          <w:tcPr>
            <w:tcW w:w="4876" w:type="dxa"/>
            <w:vAlign w:val="top"/>
          </w:tcPr>
          <w:p>
            <w:pPr>
              <w:pStyle w:val="Normal6a"/>
            </w:pPr>
            <w:r>
              <w:t>(27)</w:t>
            </w:r>
            <w:r>
              <w:tab/>
            </w:r>
            <w:r>
              <w:t>šio reglamento tikslo, kuriuo leidžiama nukrypti nuo Reglamento (ES) 2017/2226 ir Reglamento (ES) 2016/</w:t>
            </w:r>
            <w:r>
              <w:rPr>
                <w:b/>
                <w:i/>
                <w:strike w:val="0"/>
                <w:color w:val="auto"/>
                <w:highlight w:val="none"/>
                <w:u w:val="none" w:color="auto"/>
                <w:vertAlign w:val="baseline"/>
              </w:rPr>
              <w:t>399 nuostatų</w:t>
            </w:r>
            <w:r>
              <w:t xml:space="preserve"> siekiant numatyti laipsnišką AIS veikimo pradžią, valstybės narės negali deramai pasiekti, o dėl veiksmo masto ir poveikio to tikslo būtų geriau siekti Sąjungos lygmeniu. Todėl laikydamasi Europos Sąjungos sutarties 5 straipsnyje nustatyto subsidiarumo principo Sąjunga gali patvirtinti priemones. Pagal tame straipsnyje nustatytą proporcingumo principą šiuo reglamentu neviršijama to, kas būtina </w:t>
            </w:r>
            <w:r>
              <w:rPr>
                <w:b/>
                <w:i/>
                <w:strike w:val="0"/>
                <w:color w:val="auto"/>
                <w:highlight w:val="none"/>
                <w:u w:val="none" w:color="auto"/>
                <w:vertAlign w:val="baseline"/>
              </w:rPr>
              <w:t>nurodytiems</w:t>
            </w:r>
            <w:r>
              <w:t xml:space="preserve"> tikslams pasiekti;</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ab/>
      </w:r>
      <w:r>
        <w:tab/>
      </w:r>
      <w:r>
        <w:rPr>
          <w:rStyle w:val="HideTWBExt"/>
        </w:rPr>
        <w:t>&lt;</w:t>
      </w:r>
      <w:r>
        <w:rPr>
          <w:rStyle w:val="HideTWBExt"/>
        </w:rPr>
        <w:t>NumAm</w:t>
      </w:r>
      <w:r>
        <w:rPr>
          <w:rStyle w:val="HideTWBExt"/>
        </w:rPr>
        <w:t>&gt;</w:t>
      </w:r>
      <w:r>
        <w:t>13</w:t>
      </w:r>
      <w:r>
        <w:rPr>
          <w:rStyle w:val="HideTWBExt"/>
        </w:rPr>
        <w:t>&lt;/</w:t>
      </w:r>
      <w:r>
        <w:rPr>
          <w:rStyle w:val="HideTWBExt"/>
        </w:rPr>
        <w:t>NumAm</w:t>
      </w:r>
      <w:r>
        <w:rPr>
          <w:rStyle w:val="HideTWBExt"/>
        </w:rPr>
        <w:t>&gt;</w:t>
      </w:r>
      <w:r>
        <w:t>pakeitimas</w:t>
      </w:r>
    </w:p>
    <w:p>
      <w:pPr>
        <w:pStyle w:val="NormalBold12b"/>
      </w:pPr>
      <w:r>
        <w:rPr>
          <w:rStyle w:val="HideTWBExt"/>
        </w:rPr>
        <w:t>&lt;</w:t>
      </w:r>
      <w:r>
        <w:rPr>
          <w:rStyle w:val="HideTWBExt"/>
        </w:rPr>
        <w:t>DocAmend</w:t>
      </w:r>
      <w:r>
        <w:rPr>
          <w:rStyle w:val="HideTWBExt"/>
        </w:rPr>
        <w:t>&gt;</w:t>
      </w:r>
      <w:r>
        <w:t>Pasiūlymas dėl reglamento</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2 straipsnio 1 pastraipos c punktas</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Komisijos siūlomas tekstas</w:t>
            </w:r>
          </w:p>
        </w:tc>
        <w:tc>
          <w:tcPr>
            <w:tcW w:w="4876" w:type="dxa"/>
            <w:vAlign w:val="top"/>
          </w:tcPr>
          <w:p>
            <w:pPr>
              <w:pStyle w:val="AmColumnHeading"/>
            </w:pPr>
            <w:r>
              <w:t>Pakeitimas</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c)</w:t>
            </w:r>
            <w:r>
              <w:tab/>
            </w:r>
            <w:r>
              <w:t xml:space="preserve">apskaičiuotas sienos kirtimo atvejų skaičius – valstybės narės apskaičiuotas Reglamento (ES) 2017/2226 2 straipsnio 1 ir 2 dalyse nurodomų trečiųjų šalių piliečių, kertančių sieną kiekvienoje valstybėje narėje, skaičius, pagrįstas metiniu bendro trečiųjų šalių piliečių, vykstančių trumpalaikiam buvimui toje valstybėje narėje, skaičiaus, apskaičiuoto per praėjusius </w:t>
            </w:r>
            <w:r>
              <w:rPr>
                <w:b/>
                <w:i/>
                <w:strike w:val="0"/>
                <w:color w:val="auto"/>
                <w:highlight w:val="none"/>
                <w:u w:val="none" w:color="auto"/>
                <w:vertAlign w:val="baseline"/>
              </w:rPr>
              <w:t>trejus</w:t>
            </w:r>
            <w:r>
              <w:t xml:space="preserve"> metus nuo šio reglamento 8 straipsnio 1 dalies antroje pastraipoje nurodytos taikymo pradžios dienos, vidurkiu.</w:t>
            </w:r>
          </w:p>
        </w:tc>
        <w:tc>
          <w:tcPr>
            <w:tcW w:w="4876" w:type="dxa"/>
            <w:vAlign w:val="top"/>
          </w:tcPr>
          <w:p>
            <w:pPr>
              <w:pStyle w:val="Normal6a"/>
            </w:pPr>
            <w:r>
              <w:t>c)</w:t>
            </w:r>
            <w:r>
              <w:tab/>
            </w:r>
            <w:r>
              <w:t xml:space="preserve">apskaičiuotas sienos kirtimo atvejų skaičius – valstybės narės apskaičiuotas Reglamento (ES) 2017/2226 2 straipsnio 1 ir 2 dalyse nurodomų trečiųjų šalių piliečių, kertančių sieną kiekvienoje valstybėje narėje, skaičius, pagrįstas metiniu bendro trečiųjų šalių piliečių, vykstančių trumpalaikiam buvimui toje valstybėje narėje, skaičiaus, apskaičiuoto per praėjusius </w:t>
            </w:r>
            <w:r>
              <w:rPr>
                <w:b/>
                <w:i/>
                <w:strike w:val="0"/>
                <w:color w:val="auto"/>
                <w:highlight w:val="none"/>
                <w:u w:val="none" w:color="auto"/>
                <w:vertAlign w:val="baseline"/>
              </w:rPr>
              <w:t>kalendorinius</w:t>
            </w:r>
            <w:r>
              <w:t xml:space="preserve"> metus nuo šio reglamento 8 straipsnio 1 dalies antroje pastraipoje nurodytos taikymo pradžios dienos, vidurkiu.</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ab/>
      </w:r>
      <w:r>
        <w:tab/>
      </w:r>
      <w:r>
        <w:rPr>
          <w:rStyle w:val="HideTWBExt"/>
        </w:rPr>
        <w:t>&lt;</w:t>
      </w:r>
      <w:r>
        <w:rPr>
          <w:rStyle w:val="HideTWBExt"/>
        </w:rPr>
        <w:t>NumAm</w:t>
      </w:r>
      <w:r>
        <w:rPr>
          <w:rStyle w:val="HideTWBExt"/>
        </w:rPr>
        <w:t>&gt;</w:t>
      </w:r>
      <w:r>
        <w:t>14</w:t>
      </w:r>
      <w:r>
        <w:rPr>
          <w:rStyle w:val="HideTWBExt"/>
        </w:rPr>
        <w:t>&lt;/</w:t>
      </w:r>
      <w:r>
        <w:rPr>
          <w:rStyle w:val="HideTWBExt"/>
        </w:rPr>
        <w:t>NumAm</w:t>
      </w:r>
      <w:r>
        <w:rPr>
          <w:rStyle w:val="HideTWBExt"/>
        </w:rPr>
        <w:t>&gt;</w:t>
      </w:r>
      <w:r>
        <w:t>pakeitimas</w:t>
      </w:r>
    </w:p>
    <w:p>
      <w:pPr>
        <w:pStyle w:val="NormalBold12b"/>
      </w:pPr>
      <w:r>
        <w:rPr>
          <w:rStyle w:val="HideTWBExt"/>
        </w:rPr>
        <w:t>&lt;</w:t>
      </w:r>
      <w:r>
        <w:rPr>
          <w:rStyle w:val="HideTWBExt"/>
        </w:rPr>
        <w:t>DocAmend</w:t>
      </w:r>
      <w:r>
        <w:rPr>
          <w:rStyle w:val="HideTWBExt"/>
        </w:rPr>
        <w:t>&gt;</w:t>
      </w:r>
      <w:r>
        <w:t>Pasiūlymas dėl reglamento</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3 straipsnio pavadinimas</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Komisijos siūlomas tekstas</w:t>
            </w:r>
          </w:p>
        </w:tc>
        <w:tc>
          <w:tcPr>
            <w:tcW w:w="4876" w:type="dxa"/>
            <w:vAlign w:val="top"/>
          </w:tcPr>
          <w:p>
            <w:pPr>
              <w:pStyle w:val="AmColumnHeading"/>
            </w:pPr>
            <w:r>
              <w:t>Pakeitimas</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Diegimo planai</w:t>
            </w:r>
          </w:p>
        </w:tc>
        <w:tc>
          <w:tcPr>
            <w:tcW w:w="4876" w:type="dxa"/>
            <w:vAlign w:val="top"/>
          </w:tcPr>
          <w:p>
            <w:pPr>
              <w:pStyle w:val="Normal6a"/>
            </w:pPr>
            <w:r>
              <w:t xml:space="preserve">Diegimo planai </w:t>
            </w:r>
            <w:r>
              <w:rPr>
                <w:b/>
                <w:i/>
                <w:strike w:val="0"/>
                <w:color w:val="auto"/>
                <w:highlight w:val="none"/>
                <w:u w:val="none" w:color="auto"/>
                <w:vertAlign w:val="baseline"/>
              </w:rPr>
              <w:t>ir mėnesinės ataskaitos</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ab/>
      </w:r>
      <w:r>
        <w:tab/>
      </w:r>
      <w:r>
        <w:rPr>
          <w:rStyle w:val="HideTWBExt"/>
        </w:rPr>
        <w:t>&lt;</w:t>
      </w:r>
      <w:r>
        <w:rPr>
          <w:rStyle w:val="HideTWBExt"/>
        </w:rPr>
        <w:t>NumAm</w:t>
      </w:r>
      <w:r>
        <w:rPr>
          <w:rStyle w:val="HideTWBExt"/>
        </w:rPr>
        <w:t>&gt;</w:t>
      </w:r>
      <w:r>
        <w:t>15</w:t>
      </w:r>
      <w:r>
        <w:rPr>
          <w:rStyle w:val="HideTWBExt"/>
        </w:rPr>
        <w:t>&lt;/</w:t>
      </w:r>
      <w:r>
        <w:rPr>
          <w:rStyle w:val="HideTWBExt"/>
        </w:rPr>
        <w:t>NumAm</w:t>
      </w:r>
      <w:r>
        <w:rPr>
          <w:rStyle w:val="HideTWBExt"/>
        </w:rPr>
        <w:t>&gt;</w:t>
      </w:r>
      <w:r>
        <w:t>pakeitimas</w:t>
      </w:r>
    </w:p>
    <w:p>
      <w:pPr>
        <w:pStyle w:val="NormalBold12b"/>
      </w:pPr>
      <w:r>
        <w:rPr>
          <w:rStyle w:val="HideTWBExt"/>
        </w:rPr>
        <w:t>&lt;</w:t>
      </w:r>
      <w:r>
        <w:rPr>
          <w:rStyle w:val="HideTWBExt"/>
        </w:rPr>
        <w:t>DocAmend</w:t>
      </w:r>
      <w:r>
        <w:rPr>
          <w:rStyle w:val="HideTWBExt"/>
        </w:rPr>
        <w:t>&gt;</w:t>
      </w:r>
      <w:r>
        <w:t>Pasiūlymas dėl reglamento</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3 straipsnio 1 dalis</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Komisijos siūlomas tekstas</w:t>
            </w:r>
          </w:p>
        </w:tc>
        <w:tc>
          <w:tcPr>
            <w:tcW w:w="4876" w:type="dxa"/>
            <w:vAlign w:val="top"/>
          </w:tcPr>
          <w:p>
            <w:pPr>
              <w:pStyle w:val="AmColumnHeading"/>
            </w:pPr>
            <w:r>
              <w:t>Pakeitimas</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1.</w:t>
            </w:r>
            <w:r>
              <w:tab/>
            </w:r>
            <w:r>
              <w:t>Ne vėliau kaip [30-ą kalendorinę dieną po šio reglamento įsigaliojimo] Europos Sąjungos didelės apimties IT sistemų laisvės, saugumo ir teisingumo erdvėje operacijų valdymo agentūra (eu-LISA) pateikia Komisijai, valstybėms narėms ir Europolui aukšto lygio diegimo planą, susijusį su laipsniška AIS veikimo pradžia, atsižvelgdama į 4 straipsnyje nustatytus etapus. Į tą diegimo planą įtraukiamos valstybėms narėms ir Europolui skirtos AIS naudojimo gairės</w:t>
            </w:r>
            <w:r>
              <w:rPr>
                <w:b/>
                <w:i/>
                <w:strike w:val="0"/>
                <w:color w:val="auto"/>
                <w:highlight w:val="none"/>
                <w:u w:val="none" w:color="auto"/>
                <w:vertAlign w:val="baseline"/>
              </w:rPr>
              <w:t>, įskaitant AIS centrinės sistemos pajėgumų ribas</w:t>
            </w:r>
            <w:r>
              <w:t>.</w:t>
            </w:r>
          </w:p>
        </w:tc>
        <w:tc>
          <w:tcPr>
            <w:tcW w:w="4876" w:type="dxa"/>
            <w:vAlign w:val="top"/>
          </w:tcPr>
          <w:p>
            <w:pPr>
              <w:pStyle w:val="Normal6a"/>
            </w:pPr>
            <w:r>
              <w:t>1.</w:t>
            </w:r>
            <w:r>
              <w:tab/>
            </w:r>
            <w:r>
              <w:t>Ne vėliau kaip [30-ą kalendorinę dieną po šio reglamento įsigaliojimo] Europos Sąjungos didelės apimties IT sistemų laisvės, saugumo ir teisingumo erdvėje operacijų valdymo agentūra (eu-LISA) pateikia Komisijai, valstybėms narėms ir Europolui aukšto lygio diegimo planą, susijusį su laipsniška AIS veikimo pradžia, atsižvelgdama į 4 straipsnyje nustatytus etapus. Į tą diegimo planą įtraukiamos valstybėms narėms ir Europolui skirtos AIS naudojimo gairės.</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ab/>
      </w:r>
      <w:r>
        <w:tab/>
      </w:r>
      <w:r>
        <w:rPr>
          <w:rStyle w:val="HideTWBExt"/>
        </w:rPr>
        <w:t>&lt;</w:t>
      </w:r>
      <w:r>
        <w:rPr>
          <w:rStyle w:val="HideTWBExt"/>
        </w:rPr>
        <w:t>NumAm</w:t>
      </w:r>
      <w:r>
        <w:rPr>
          <w:rStyle w:val="HideTWBExt"/>
        </w:rPr>
        <w:t>&gt;</w:t>
      </w:r>
      <w:r>
        <w:t>16</w:t>
      </w:r>
      <w:r>
        <w:rPr>
          <w:rStyle w:val="HideTWBExt"/>
        </w:rPr>
        <w:t>&lt;/</w:t>
      </w:r>
      <w:r>
        <w:rPr>
          <w:rStyle w:val="HideTWBExt"/>
        </w:rPr>
        <w:t>NumAm</w:t>
      </w:r>
      <w:r>
        <w:rPr>
          <w:rStyle w:val="HideTWBExt"/>
        </w:rPr>
        <w:t>&gt;</w:t>
      </w:r>
      <w:r>
        <w:t>pakeitimas</w:t>
      </w:r>
    </w:p>
    <w:p>
      <w:pPr>
        <w:pStyle w:val="NormalBold12b"/>
      </w:pPr>
      <w:r>
        <w:rPr>
          <w:rStyle w:val="HideTWBExt"/>
        </w:rPr>
        <w:t>&lt;</w:t>
      </w:r>
      <w:r>
        <w:rPr>
          <w:rStyle w:val="HideTWBExt"/>
        </w:rPr>
        <w:t>DocAmend</w:t>
      </w:r>
      <w:r>
        <w:rPr>
          <w:rStyle w:val="HideTWBExt"/>
        </w:rPr>
        <w:t>&gt;</w:t>
      </w:r>
      <w:r>
        <w:t>Pasiūlymas dėl reglamento</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3 straipsnio 2 dalis</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Komisijos siūlomas tekstas</w:t>
            </w:r>
          </w:p>
        </w:tc>
        <w:tc>
          <w:tcPr>
            <w:tcW w:w="4876" w:type="dxa"/>
            <w:vAlign w:val="top"/>
          </w:tcPr>
          <w:p>
            <w:pPr>
              <w:pStyle w:val="AmColumnHeading"/>
            </w:pPr>
            <w:r>
              <w:t>Pakeitimas</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2.</w:t>
            </w:r>
            <w:r>
              <w:tab/>
            </w:r>
            <w:r>
              <w:t xml:space="preserve">Ne vėliau kaip [60-ą kalendorinę dieną po šio reglamento įsigaliojimo] valstybės narės, pasikonsultavusios su Komisija ir eu-LISA, parengia </w:t>
            </w:r>
            <w:r>
              <w:rPr>
                <w:b/>
                <w:i/>
                <w:strike w:val="0"/>
                <w:color w:val="auto"/>
                <w:highlight w:val="none"/>
                <w:u w:val="none" w:color="auto"/>
                <w:vertAlign w:val="baseline"/>
              </w:rPr>
              <w:t>nacionalinį</w:t>
            </w:r>
            <w:r>
              <w:t xml:space="preserve"> diegimo </w:t>
            </w:r>
            <w:r>
              <w:rPr>
                <w:b/>
                <w:i/>
                <w:strike w:val="0"/>
                <w:color w:val="auto"/>
                <w:highlight w:val="none"/>
                <w:u w:val="none" w:color="auto"/>
                <w:vertAlign w:val="baseline"/>
              </w:rPr>
              <w:t>planą</w:t>
            </w:r>
            <w:r>
              <w:t xml:space="preserve">, </w:t>
            </w:r>
            <w:r>
              <w:rPr>
                <w:b/>
                <w:i/>
                <w:strike w:val="0"/>
                <w:color w:val="auto"/>
                <w:highlight w:val="none"/>
                <w:u w:val="none" w:color="auto"/>
                <w:vertAlign w:val="baseline"/>
              </w:rPr>
              <w:t>susijusį</w:t>
            </w:r>
            <w:r>
              <w:t xml:space="preserve"> su laipsniška AIS veikimo pradžia, atsižvelgdamos į šio straipsnio 1 dalyje nurodytą aukšto lygio diegimo planą ir 4 straipsnyje </w:t>
            </w:r>
            <w:r>
              <w:rPr>
                <w:b/>
                <w:i/>
                <w:strike w:val="0"/>
                <w:color w:val="auto"/>
                <w:highlight w:val="none"/>
                <w:u w:val="none" w:color="auto"/>
                <w:vertAlign w:val="baseline"/>
              </w:rPr>
              <w:t>nustatytus etapus</w:t>
            </w:r>
            <w:r>
              <w:t>.</w:t>
            </w:r>
          </w:p>
        </w:tc>
        <w:tc>
          <w:tcPr>
            <w:tcW w:w="4876" w:type="dxa"/>
            <w:vAlign w:val="top"/>
          </w:tcPr>
          <w:p>
            <w:pPr>
              <w:pStyle w:val="Normal6a"/>
            </w:pPr>
            <w:r>
              <w:t>2.</w:t>
            </w:r>
            <w:r>
              <w:tab/>
            </w:r>
            <w:r>
              <w:t xml:space="preserve">Ne vėliau kaip [60-ą kalendorinę dieną po šio reglamento įsigaliojimo] valstybės narės, pasikonsultavusios su Komisija ir eu-LISA, parengia </w:t>
            </w:r>
            <w:r>
              <w:rPr>
                <w:b/>
                <w:i/>
                <w:strike w:val="0"/>
                <w:color w:val="auto"/>
                <w:highlight w:val="none"/>
                <w:u w:val="none" w:color="auto"/>
                <w:vertAlign w:val="baseline"/>
              </w:rPr>
              <w:t>nacionalinius</w:t>
            </w:r>
            <w:r>
              <w:t xml:space="preserve"> diegimo </w:t>
            </w:r>
            <w:r>
              <w:rPr>
                <w:b/>
                <w:i/>
                <w:strike w:val="0"/>
                <w:color w:val="auto"/>
                <w:highlight w:val="none"/>
                <w:u w:val="none" w:color="auto"/>
                <w:vertAlign w:val="baseline"/>
              </w:rPr>
              <w:t>planus</w:t>
            </w:r>
            <w:r>
              <w:t xml:space="preserve">, </w:t>
            </w:r>
            <w:r>
              <w:rPr>
                <w:b/>
                <w:i/>
                <w:strike w:val="0"/>
                <w:color w:val="auto"/>
                <w:highlight w:val="none"/>
                <w:u w:val="none" w:color="auto"/>
                <w:vertAlign w:val="baseline"/>
              </w:rPr>
              <w:t>susijusius</w:t>
            </w:r>
            <w:r>
              <w:t xml:space="preserve"> su laipsniška AIS veikimo pradžia, atsižvelgdamos į šio straipsnio 1 dalyje nurodytą aukšto lygio diegimo planą</w:t>
            </w:r>
            <w:r>
              <w:rPr>
                <w:b/>
                <w:i/>
                <w:strike w:val="0"/>
                <w:color w:val="auto"/>
                <w:highlight w:val="none"/>
                <w:u w:val="none" w:color="auto"/>
                <w:vertAlign w:val="baseline"/>
              </w:rPr>
              <w:t>,</w:t>
            </w:r>
            <w:r>
              <w:t xml:space="preserve"> ir </w:t>
            </w:r>
            <w:r>
              <w:rPr>
                <w:b/>
                <w:i/>
                <w:strike w:val="0"/>
                <w:color w:val="auto"/>
                <w:highlight w:val="none"/>
                <w:u w:val="none" w:color="auto"/>
                <w:vertAlign w:val="baseline"/>
              </w:rPr>
              <w:t>tuos planus pateikia Komisijai.</w:t>
            </w:r>
            <w:r>
              <w:rPr>
                <w:b/>
                <w:i/>
                <w:strike w:val="0"/>
                <w:color w:val="auto"/>
                <w:highlight w:val="none"/>
                <w:u w:val="none" w:color="auto"/>
                <w:vertAlign w:val="baseline"/>
              </w:rPr>
              <w:t xml:space="preserve"> </w:t>
            </w:r>
            <w:r>
              <w:rPr>
                <w:b/>
                <w:i/>
                <w:strike w:val="0"/>
                <w:color w:val="auto"/>
                <w:highlight w:val="none"/>
                <w:u w:val="none" w:color="auto"/>
                <w:vertAlign w:val="baseline"/>
              </w:rPr>
              <w:t>Jei valstybė narė nepradeda naudoti AIS visu operaciniu pajėgumu nuo laipsniškos AIS veikimo pradžios, nacionaliniame diegimo plane nurodoma, kaip turi būti laikomasi</w:t>
            </w:r>
            <w:r>
              <w:t xml:space="preserve"> 4 straipsnyje </w:t>
            </w:r>
            <w:r>
              <w:rPr>
                <w:b/>
                <w:i/>
                <w:strike w:val="0"/>
                <w:color w:val="auto"/>
                <w:highlight w:val="none"/>
                <w:u w:val="none" w:color="auto"/>
                <w:vertAlign w:val="baseline"/>
              </w:rPr>
              <w:t>nustatytų ribinių verčių ir reikalavimų</w:t>
            </w:r>
            <w:r>
              <w:t>.</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ab/>
      </w:r>
      <w:r>
        <w:tab/>
      </w:r>
      <w:r>
        <w:rPr>
          <w:rStyle w:val="HideTWBExt"/>
        </w:rPr>
        <w:t>&lt;</w:t>
      </w:r>
      <w:r>
        <w:rPr>
          <w:rStyle w:val="HideTWBExt"/>
        </w:rPr>
        <w:t>NumAm</w:t>
      </w:r>
      <w:r>
        <w:rPr>
          <w:rStyle w:val="HideTWBExt"/>
        </w:rPr>
        <w:t>&gt;</w:t>
      </w:r>
      <w:r>
        <w:t>17</w:t>
      </w:r>
      <w:r>
        <w:rPr>
          <w:rStyle w:val="HideTWBExt"/>
        </w:rPr>
        <w:t>&lt;/</w:t>
      </w:r>
      <w:r>
        <w:rPr>
          <w:rStyle w:val="HideTWBExt"/>
        </w:rPr>
        <w:t>NumAm</w:t>
      </w:r>
      <w:r>
        <w:rPr>
          <w:rStyle w:val="HideTWBExt"/>
        </w:rPr>
        <w:t>&gt;</w:t>
      </w:r>
      <w:r>
        <w:t>pakeitimas</w:t>
      </w:r>
    </w:p>
    <w:p>
      <w:pPr>
        <w:pStyle w:val="NormalBold12b"/>
      </w:pPr>
      <w:r>
        <w:rPr>
          <w:rStyle w:val="HideTWBExt"/>
        </w:rPr>
        <w:t>&lt;</w:t>
      </w:r>
      <w:r>
        <w:rPr>
          <w:rStyle w:val="HideTWBExt"/>
        </w:rPr>
        <w:t>DocAmend</w:t>
      </w:r>
      <w:r>
        <w:rPr>
          <w:rStyle w:val="HideTWBExt"/>
        </w:rPr>
        <w:t>&gt;</w:t>
      </w:r>
      <w:r>
        <w:t>Pasiūlymas dėl reglamento</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3 straipsnio 3 dalis</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Komisijos siūlomas tekstas</w:t>
            </w:r>
          </w:p>
        </w:tc>
        <w:tc>
          <w:tcPr>
            <w:tcW w:w="4876" w:type="dxa"/>
            <w:vAlign w:val="top"/>
          </w:tcPr>
          <w:p>
            <w:pPr>
              <w:pStyle w:val="AmColumnHeading"/>
            </w:pPr>
            <w:r>
              <w:t>Pakeitimas</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rPr>
                <w:b/>
                <w:i/>
                <w:strike w:val="0"/>
                <w:color w:val="auto"/>
                <w:highlight w:val="none"/>
                <w:u w:val="none" w:color="auto"/>
                <w:vertAlign w:val="baseline"/>
              </w:rPr>
              <w:t>3.</w:t>
            </w:r>
            <w:r>
              <w:tab/>
            </w:r>
            <w:r>
              <w:rPr>
                <w:b/>
                <w:i/>
                <w:strike w:val="0"/>
                <w:color w:val="auto"/>
                <w:highlight w:val="none"/>
                <w:u w:val="none" w:color="auto"/>
                <w:vertAlign w:val="baseline"/>
              </w:rPr>
              <w:t>Nacionaliniuose diegimo planuose pateikiama informacija apie tame straipsnyje kiekvienam iš 4 straipsnyje nustatytų etapų nustatytas ribas ir reikalavimus.</w:t>
            </w:r>
          </w:p>
        </w:tc>
        <w:tc>
          <w:tcPr>
            <w:tcW w:w="4876" w:type="dxa"/>
            <w:vAlign w:val="top"/>
          </w:tcPr>
          <w:p>
            <w:pPr>
              <w:pStyle w:val="Normal6a"/>
            </w:pPr>
            <w:r>
              <w:rPr>
                <w:b/>
                <w:i/>
                <w:strike w:val="0"/>
                <w:color w:val="auto"/>
                <w:highlight w:val="none"/>
                <w:u w:val="none" w:color="auto"/>
                <w:vertAlign w:val="baseline"/>
              </w:rPr>
              <w:t>Išbraukta.</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ab/>
      </w:r>
      <w:r>
        <w:tab/>
      </w:r>
      <w:r>
        <w:rPr>
          <w:rStyle w:val="HideTWBExt"/>
        </w:rPr>
        <w:t>&lt;</w:t>
      </w:r>
      <w:r>
        <w:rPr>
          <w:rStyle w:val="HideTWBExt"/>
        </w:rPr>
        <w:t>NumAm</w:t>
      </w:r>
      <w:r>
        <w:rPr>
          <w:rStyle w:val="HideTWBExt"/>
        </w:rPr>
        <w:t>&gt;</w:t>
      </w:r>
      <w:r>
        <w:t>18</w:t>
      </w:r>
      <w:r>
        <w:rPr>
          <w:rStyle w:val="HideTWBExt"/>
        </w:rPr>
        <w:t>&lt;/</w:t>
      </w:r>
      <w:r>
        <w:rPr>
          <w:rStyle w:val="HideTWBExt"/>
        </w:rPr>
        <w:t>NumAm</w:t>
      </w:r>
      <w:r>
        <w:rPr>
          <w:rStyle w:val="HideTWBExt"/>
        </w:rPr>
        <w:t>&gt;</w:t>
      </w:r>
      <w:r>
        <w:t>pakeitimas</w:t>
      </w:r>
    </w:p>
    <w:p>
      <w:pPr>
        <w:pStyle w:val="NormalBold12b"/>
      </w:pPr>
      <w:r>
        <w:rPr>
          <w:rStyle w:val="HideTWBExt"/>
        </w:rPr>
        <w:t>&lt;</w:t>
      </w:r>
      <w:r>
        <w:rPr>
          <w:rStyle w:val="HideTWBExt"/>
        </w:rPr>
        <w:t>DocAmend</w:t>
      </w:r>
      <w:r>
        <w:rPr>
          <w:rStyle w:val="HideTWBExt"/>
        </w:rPr>
        <w:t>&gt;</w:t>
      </w:r>
      <w:r>
        <w:t>Pasiūlymas dėl reglamento</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3 straipsnio 4 dalis</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Komisijos siūlomas tekstas</w:t>
            </w:r>
          </w:p>
        </w:tc>
        <w:tc>
          <w:tcPr>
            <w:tcW w:w="4876" w:type="dxa"/>
            <w:vAlign w:val="top"/>
          </w:tcPr>
          <w:p>
            <w:pPr>
              <w:pStyle w:val="AmColumnHeading"/>
            </w:pPr>
            <w:r>
              <w:t>Pakeitimas</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4.</w:t>
            </w:r>
            <w:r>
              <w:tab/>
            </w:r>
            <w:r>
              <w:t xml:space="preserve">Nuo 30-tos kalendorinės dienos po </w:t>
            </w:r>
            <w:r>
              <w:rPr>
                <w:b/>
                <w:i/>
                <w:strike w:val="0"/>
                <w:color w:val="auto"/>
                <w:highlight w:val="none"/>
                <w:u w:val="none" w:color="auto"/>
                <w:vertAlign w:val="baseline"/>
              </w:rPr>
              <w:t>laipsniškos</w:t>
            </w:r>
            <w:r>
              <w:t xml:space="preserve"> AIS </w:t>
            </w:r>
            <w:r>
              <w:rPr>
                <w:b/>
                <w:i/>
                <w:strike w:val="0"/>
                <w:color w:val="auto"/>
                <w:highlight w:val="none"/>
                <w:u w:val="none" w:color="auto"/>
                <w:vertAlign w:val="baseline"/>
              </w:rPr>
              <w:t>veikimo pradžios</w:t>
            </w:r>
            <w:r>
              <w:t xml:space="preserve"> valstybės narės kas mėnesį teikia Komisijai ir eu-LISA savo nacionalinių diegimo planų, įskaitant taisomąsias priemones, kai jos būtinos 4 straipsnyje nustatytoms pareigoms vykdyti, įgyvendinimo ataskaitas.</w:t>
            </w:r>
          </w:p>
        </w:tc>
        <w:tc>
          <w:tcPr>
            <w:tcW w:w="4876" w:type="dxa"/>
            <w:vAlign w:val="top"/>
          </w:tcPr>
          <w:p>
            <w:pPr>
              <w:pStyle w:val="Normal6a"/>
            </w:pPr>
            <w:r>
              <w:t>4.</w:t>
            </w:r>
            <w:r>
              <w:tab/>
            </w:r>
            <w:r>
              <w:t xml:space="preserve">Nuo 30-tos kalendorinės dienos po </w:t>
            </w:r>
            <w:r>
              <w:rPr>
                <w:b/>
                <w:i/>
                <w:strike w:val="0"/>
                <w:color w:val="auto"/>
                <w:highlight w:val="none"/>
                <w:u w:val="none" w:color="auto"/>
                <w:vertAlign w:val="baseline"/>
              </w:rPr>
              <w:t>datos, kurią</w:t>
            </w:r>
            <w:r>
              <w:t xml:space="preserve"> AIS </w:t>
            </w:r>
            <w:r>
              <w:rPr>
                <w:b/>
                <w:i/>
                <w:strike w:val="0"/>
                <w:color w:val="auto"/>
                <w:highlight w:val="none"/>
                <w:u w:val="none" w:color="auto"/>
                <w:vertAlign w:val="baseline"/>
              </w:rPr>
              <w:t>turi pradėti veikti ir dėl kurios nusprendžia Komisija, kaip nustatyta Reglamento (ES) 2017/2226 66 straipsnio 1 dalyje,</w:t>
            </w:r>
            <w:r>
              <w:t xml:space="preserve"> valstybės narės kas mėnesį teikia Komisijai ir eu-LISA savo nacionalinių diegimo planų, įskaitant taisomąsias priemones, kai jos būtinos 4 straipsnyje nustatytoms pareigoms vykdyti, įgyvendinimo ataskaitas.</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ab/>
      </w:r>
      <w:r>
        <w:tab/>
      </w:r>
      <w:r>
        <w:rPr>
          <w:rStyle w:val="HideTWBExt"/>
        </w:rPr>
        <w:t>&lt;</w:t>
      </w:r>
      <w:r>
        <w:rPr>
          <w:rStyle w:val="HideTWBExt"/>
        </w:rPr>
        <w:t>NumAm</w:t>
      </w:r>
      <w:r>
        <w:rPr>
          <w:rStyle w:val="HideTWBExt"/>
        </w:rPr>
        <w:t>&gt;</w:t>
      </w:r>
      <w:r>
        <w:t>19</w:t>
      </w:r>
      <w:r>
        <w:rPr>
          <w:rStyle w:val="HideTWBExt"/>
        </w:rPr>
        <w:t>&lt;/</w:t>
      </w:r>
      <w:r>
        <w:rPr>
          <w:rStyle w:val="HideTWBExt"/>
        </w:rPr>
        <w:t>NumAm</w:t>
      </w:r>
      <w:r>
        <w:rPr>
          <w:rStyle w:val="HideTWBExt"/>
        </w:rPr>
        <w:t>&gt;</w:t>
      </w:r>
      <w:r>
        <w:t>pakeitimas</w:t>
      </w:r>
    </w:p>
    <w:p>
      <w:pPr>
        <w:pStyle w:val="NormalBold12b"/>
      </w:pPr>
      <w:r>
        <w:rPr>
          <w:rStyle w:val="HideTWBExt"/>
        </w:rPr>
        <w:t>&lt;</w:t>
      </w:r>
      <w:r>
        <w:rPr>
          <w:rStyle w:val="HideTWBExt"/>
        </w:rPr>
        <w:t>DocAmend</w:t>
      </w:r>
      <w:r>
        <w:rPr>
          <w:rStyle w:val="HideTWBExt"/>
        </w:rPr>
        <w:t>&gt;</w:t>
      </w:r>
      <w:r>
        <w:t>Pasiūlymas dėl reglamento</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3 straipsnio 5 dalis</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Komisijos siūlomas tekstas</w:t>
            </w:r>
          </w:p>
        </w:tc>
        <w:tc>
          <w:tcPr>
            <w:tcW w:w="4876" w:type="dxa"/>
            <w:vAlign w:val="top"/>
          </w:tcPr>
          <w:p>
            <w:pPr>
              <w:pStyle w:val="AmColumnHeading"/>
            </w:pPr>
            <w:r>
              <w:t>Pakeitimas</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5.</w:t>
            </w:r>
            <w:r>
              <w:tab/>
            </w:r>
            <w:r>
              <w:t>Komisijos prašymu eu-LISA pagal Reglamento (ES) 2017/2226 63 straipsnio 6 dalį teikia Komisijai statistinius duomenis, būtinus nacionaliniams diegimo planams stebėti.</w:t>
            </w:r>
          </w:p>
        </w:tc>
        <w:tc>
          <w:tcPr>
            <w:tcW w:w="4876" w:type="dxa"/>
            <w:vAlign w:val="top"/>
          </w:tcPr>
          <w:p>
            <w:pPr>
              <w:pStyle w:val="Normal6a"/>
            </w:pPr>
            <w:r>
              <w:t>5.</w:t>
            </w:r>
            <w:r>
              <w:tab/>
            </w:r>
            <w:r>
              <w:t xml:space="preserve">Komisijos prašymu eu-LISA pagal Reglamento (ES) 2017/2226 63 straipsnio 6 dalį teikia Komisijai statistinius duomenis, būtinus </w:t>
            </w:r>
            <w:r>
              <w:rPr>
                <w:b/>
                <w:i/>
                <w:strike w:val="0"/>
                <w:color w:val="auto"/>
                <w:highlight w:val="none"/>
                <w:u w:val="none" w:color="auto"/>
                <w:vertAlign w:val="baseline"/>
              </w:rPr>
              <w:t>aukšto lygio diegimo planams ir</w:t>
            </w:r>
            <w:r>
              <w:t xml:space="preserve"> nacionaliniams diegimo planams stebėti.</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ab/>
      </w:r>
      <w:r>
        <w:tab/>
      </w:r>
      <w:r>
        <w:rPr>
          <w:rStyle w:val="HideTWBExt"/>
        </w:rPr>
        <w:t>&lt;</w:t>
      </w:r>
      <w:r>
        <w:rPr>
          <w:rStyle w:val="HideTWBExt"/>
        </w:rPr>
        <w:t>NumAm</w:t>
      </w:r>
      <w:r>
        <w:rPr>
          <w:rStyle w:val="HideTWBExt"/>
        </w:rPr>
        <w:t>&gt;</w:t>
      </w:r>
      <w:r>
        <w:t>20</w:t>
      </w:r>
      <w:r>
        <w:rPr>
          <w:rStyle w:val="HideTWBExt"/>
        </w:rPr>
        <w:t>&lt;/</w:t>
      </w:r>
      <w:r>
        <w:rPr>
          <w:rStyle w:val="HideTWBExt"/>
        </w:rPr>
        <w:t>NumAm</w:t>
      </w:r>
      <w:r>
        <w:rPr>
          <w:rStyle w:val="HideTWBExt"/>
        </w:rPr>
        <w:t>&gt;</w:t>
      </w:r>
      <w:r>
        <w:t>pakeitimas</w:t>
      </w:r>
    </w:p>
    <w:p>
      <w:pPr>
        <w:pStyle w:val="NormalBold12b"/>
      </w:pPr>
      <w:r>
        <w:rPr>
          <w:rStyle w:val="HideTWBExt"/>
        </w:rPr>
        <w:t>&lt;</w:t>
      </w:r>
      <w:r>
        <w:rPr>
          <w:rStyle w:val="HideTWBExt"/>
        </w:rPr>
        <w:t>DocAmend</w:t>
      </w:r>
      <w:r>
        <w:rPr>
          <w:rStyle w:val="HideTWBExt"/>
        </w:rPr>
        <w:t>&gt;</w:t>
      </w:r>
      <w:r>
        <w:t>Pasiūlymas dėl reglamento</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4 straipsnio 2 dalies 1 pastraipa</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Komisijos siūlomas tekstas</w:t>
            </w:r>
          </w:p>
        </w:tc>
        <w:tc>
          <w:tcPr>
            <w:tcW w:w="4876" w:type="dxa"/>
            <w:vAlign w:val="top"/>
          </w:tcPr>
          <w:p>
            <w:pPr>
              <w:pStyle w:val="AmColumnHeading"/>
            </w:pPr>
            <w:r>
              <w:t>Pakeitimas</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Nuo pirmos laipsniškos AIS veikimo pradžios laikotarpio dienos kiekviena valstybė narė pradeda naudoti AIS viename ar keliuose sienos perėjimo punktuose, jei įmanoma ir taikytina, oro, sausumos ir jūrų sienos perėjimo punktuose, kad galėtų registruoti ir saugoti Reglamento (ES) 2017/2226 2 straipsnio 1 ir 2 dalyse nurodytų atvykstančių ir išvykstančių trečiųjų šalių piliečių duomenis. Valstybės narės AIS registruoja bent 10 proc. apskaičiuoto sienos kirtimo atvejų skaičiaus toje valstybėje narėje.</w:t>
            </w:r>
          </w:p>
        </w:tc>
        <w:tc>
          <w:tcPr>
            <w:tcW w:w="4876" w:type="dxa"/>
            <w:vAlign w:val="top"/>
          </w:tcPr>
          <w:p>
            <w:pPr>
              <w:pStyle w:val="Normal6a"/>
            </w:pPr>
            <w:r>
              <w:t xml:space="preserve">Nuo pirmos laipsniškos AIS veikimo pradžios laikotarpio dienos kiekviena valstybė narė pradeda naudoti AIS viename ar keliuose sienos perėjimo punktuose, jei įmanoma ir taikytina, oro, sausumos ir jūrų sienos perėjimo punktuose, kad galėtų registruoti ir saugoti Reglamento (ES) 2017/2226 2 straipsnio 1 ir 2 dalyse nurodytų atvykstančių ir išvykstančių trečiųjų šalių piliečių duomenis. </w:t>
            </w:r>
            <w:r>
              <w:rPr>
                <w:b/>
                <w:i/>
                <w:strike w:val="0"/>
                <w:color w:val="auto"/>
                <w:highlight w:val="none"/>
                <w:u w:val="none" w:color="auto"/>
                <w:vertAlign w:val="baseline"/>
              </w:rPr>
              <w:t>Ne vėliau kaip 30-ą kalendorinę laipsniškos AIS veikimo pradžios laikotarpio dieną</w:t>
            </w:r>
            <w:r>
              <w:t xml:space="preserve"> valstybės narės AIS registruoja bent 10 proc. apskaičiuoto sienos kirtimo atvejų skaičiaus toje valstybėje narėje.</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ab/>
      </w:r>
      <w:r>
        <w:tab/>
      </w:r>
      <w:r>
        <w:rPr>
          <w:rStyle w:val="HideTWBExt"/>
        </w:rPr>
        <w:t>&lt;</w:t>
      </w:r>
      <w:r>
        <w:rPr>
          <w:rStyle w:val="HideTWBExt"/>
        </w:rPr>
        <w:t>NumAm</w:t>
      </w:r>
      <w:r>
        <w:rPr>
          <w:rStyle w:val="HideTWBExt"/>
        </w:rPr>
        <w:t>&gt;</w:t>
      </w:r>
      <w:r>
        <w:t>21</w:t>
      </w:r>
      <w:r>
        <w:rPr>
          <w:rStyle w:val="HideTWBExt"/>
        </w:rPr>
        <w:t>&lt;/</w:t>
      </w:r>
      <w:r>
        <w:rPr>
          <w:rStyle w:val="HideTWBExt"/>
        </w:rPr>
        <w:t>NumAm</w:t>
      </w:r>
      <w:r>
        <w:rPr>
          <w:rStyle w:val="HideTWBExt"/>
        </w:rPr>
        <w:t>&gt;</w:t>
      </w:r>
      <w:r>
        <w:t>pakeitimas</w:t>
      </w:r>
    </w:p>
    <w:p>
      <w:pPr>
        <w:pStyle w:val="NormalBold12b"/>
      </w:pPr>
      <w:r>
        <w:rPr>
          <w:rStyle w:val="HideTWBExt"/>
        </w:rPr>
        <w:t>&lt;</w:t>
      </w:r>
      <w:r>
        <w:rPr>
          <w:rStyle w:val="HideTWBExt"/>
        </w:rPr>
        <w:t>DocAmend</w:t>
      </w:r>
      <w:r>
        <w:rPr>
          <w:rStyle w:val="HideTWBExt"/>
        </w:rPr>
        <w:t>&gt;</w:t>
      </w:r>
      <w:r>
        <w:t>Pasiūlymas dėl reglamento</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4 straipsnio 3 dalis</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Komisijos siūlomas tekstas</w:t>
            </w:r>
          </w:p>
        </w:tc>
        <w:tc>
          <w:tcPr>
            <w:tcW w:w="4876" w:type="dxa"/>
            <w:vAlign w:val="top"/>
          </w:tcPr>
          <w:p>
            <w:pPr>
              <w:pStyle w:val="AmColumnHeading"/>
            </w:pPr>
            <w:r>
              <w:t>Pakeitimas</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3.</w:t>
            </w:r>
            <w:r>
              <w:tab/>
            </w:r>
            <w:r>
              <w:t xml:space="preserve">Ne vėliau kaip 90-ą kalendorinę </w:t>
            </w:r>
            <w:r>
              <w:rPr>
                <w:b/>
                <w:i/>
                <w:strike w:val="0"/>
                <w:color w:val="auto"/>
                <w:highlight w:val="none"/>
                <w:u w:val="none" w:color="auto"/>
                <w:vertAlign w:val="baseline"/>
              </w:rPr>
              <w:t>dieną nuo</w:t>
            </w:r>
            <w:r>
              <w:t xml:space="preserve"> laipsniškos AIS veikimo pradžios valstybės narės naudoja AIS su biometrinėmis funkcijomis bent pusėje savo sienos perėjimo punktų. Valstybės narės registruoja ne mažiau kaip </w:t>
            </w:r>
            <w:r>
              <w:rPr>
                <w:b/>
                <w:i/>
                <w:strike w:val="0"/>
                <w:color w:val="auto"/>
                <w:highlight w:val="none"/>
                <w:u w:val="none" w:color="auto"/>
                <w:vertAlign w:val="baseline"/>
              </w:rPr>
              <w:t>50</w:t>
            </w:r>
            <w:r>
              <w:t> proc. apskaičiuoto sienos kirtimo atvejų skaičiaus toje valstybėje narėje. Reglamento (ES) 2017/2226 2 straipsnio 1 ir 2 dalyse nurodytų trečiųjų šalių piliečių asmens bylose, registruotose AIS, saugomi biometriniai duomenys.</w:t>
            </w:r>
          </w:p>
        </w:tc>
        <w:tc>
          <w:tcPr>
            <w:tcW w:w="4876" w:type="dxa"/>
            <w:vAlign w:val="top"/>
          </w:tcPr>
          <w:p>
            <w:pPr>
              <w:pStyle w:val="Normal6a"/>
            </w:pPr>
            <w:r>
              <w:t>3.</w:t>
            </w:r>
            <w:r>
              <w:tab/>
            </w:r>
            <w:r>
              <w:t xml:space="preserve">Ne vėliau kaip 90-ą kalendorinę laipsniškos AIS veikimo pradžios </w:t>
            </w:r>
            <w:r>
              <w:rPr>
                <w:b/>
                <w:i/>
                <w:strike w:val="0"/>
                <w:color w:val="auto"/>
                <w:highlight w:val="none"/>
                <w:u w:val="none" w:color="auto"/>
                <w:vertAlign w:val="baseline"/>
              </w:rPr>
              <w:t>dieną</w:t>
            </w:r>
            <w:r>
              <w:t xml:space="preserve"> valstybės narės naudoja AIS su biometrinėmis funkcijomis bent pusėje savo sienos perėjimo punktų. Valstybės narės registruoja ne mažiau kaip </w:t>
            </w:r>
            <w:r>
              <w:rPr>
                <w:b/>
                <w:i/>
                <w:strike w:val="0"/>
                <w:color w:val="auto"/>
                <w:highlight w:val="none"/>
                <w:u w:val="none" w:color="auto"/>
                <w:vertAlign w:val="baseline"/>
              </w:rPr>
              <w:t>35</w:t>
            </w:r>
            <w:r>
              <w:t> proc. apskaičiuoto sienos kirtimo atvejų skaičiaus toje valstybėje narėje. Reglamento (ES) 2017/2226 2 straipsnio 1 ir 2 dalyse nurodytų trečiųjų šalių piliečių asmens bylose, registruotose AIS, saugomi biometriniai duomenys.</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ab/>
      </w:r>
      <w:r>
        <w:tab/>
      </w:r>
      <w:r>
        <w:rPr>
          <w:rStyle w:val="HideTWBExt"/>
        </w:rPr>
        <w:t>&lt;</w:t>
      </w:r>
      <w:r>
        <w:rPr>
          <w:rStyle w:val="HideTWBExt"/>
        </w:rPr>
        <w:t>NumAm</w:t>
      </w:r>
      <w:r>
        <w:rPr>
          <w:rStyle w:val="HideTWBExt"/>
        </w:rPr>
        <w:t>&gt;</w:t>
      </w:r>
      <w:r>
        <w:t>22</w:t>
      </w:r>
      <w:r>
        <w:rPr>
          <w:rStyle w:val="HideTWBExt"/>
        </w:rPr>
        <w:t>&lt;/</w:t>
      </w:r>
      <w:r>
        <w:rPr>
          <w:rStyle w:val="HideTWBExt"/>
        </w:rPr>
        <w:t>NumAm</w:t>
      </w:r>
      <w:r>
        <w:rPr>
          <w:rStyle w:val="HideTWBExt"/>
        </w:rPr>
        <w:t>&gt;</w:t>
      </w:r>
      <w:r>
        <w:t>pakeitimas</w:t>
      </w:r>
    </w:p>
    <w:p>
      <w:pPr>
        <w:pStyle w:val="NormalBold12b"/>
      </w:pPr>
      <w:r>
        <w:rPr>
          <w:rStyle w:val="HideTWBExt"/>
        </w:rPr>
        <w:t>&lt;</w:t>
      </w:r>
      <w:r>
        <w:rPr>
          <w:rStyle w:val="HideTWBExt"/>
        </w:rPr>
        <w:t>DocAmend</w:t>
      </w:r>
      <w:r>
        <w:rPr>
          <w:rStyle w:val="HideTWBExt"/>
        </w:rPr>
        <w:t>&gt;</w:t>
      </w:r>
      <w:r>
        <w:t>Pasiūlymas dėl reglamento</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4 straipsnio 4 dalis</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Komisijos siūlomas tekstas</w:t>
            </w:r>
          </w:p>
        </w:tc>
        <w:tc>
          <w:tcPr>
            <w:tcW w:w="4876" w:type="dxa"/>
            <w:vAlign w:val="top"/>
          </w:tcPr>
          <w:p>
            <w:pPr>
              <w:pStyle w:val="AmColumnHeading"/>
            </w:pPr>
            <w:r>
              <w:t>Pakeitimas</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4.</w:t>
            </w:r>
            <w:r>
              <w:tab/>
            </w:r>
            <w:r>
              <w:t xml:space="preserve">Ne vėliau kaip 150-ą kalendorinę </w:t>
            </w:r>
            <w:r>
              <w:rPr>
                <w:b/>
                <w:i/>
                <w:strike w:val="0"/>
                <w:color w:val="auto"/>
                <w:highlight w:val="none"/>
                <w:u w:val="none" w:color="auto"/>
                <w:vertAlign w:val="baseline"/>
              </w:rPr>
              <w:t>dieną nuo</w:t>
            </w:r>
            <w:r>
              <w:t xml:space="preserve"> laipsniško AIS veikimo pradžios valstybės narės naudoja AIS su biometrinėmis funkcijomis visuose savo sienos perėjimo punktuose ir toliau registruoja AIS bent 50 proc. apskaičiuoto sienos kirtimo atvejų skaičiaus toje valstybėje narėje.</w:t>
            </w:r>
          </w:p>
        </w:tc>
        <w:tc>
          <w:tcPr>
            <w:tcW w:w="4876" w:type="dxa"/>
            <w:vAlign w:val="top"/>
          </w:tcPr>
          <w:p>
            <w:pPr>
              <w:pStyle w:val="Normal6a"/>
            </w:pPr>
            <w:r>
              <w:t>4.</w:t>
            </w:r>
            <w:r>
              <w:tab/>
            </w:r>
            <w:r>
              <w:t xml:space="preserve">Ne vėliau kaip 150-ą kalendorinę laipsniško AIS veikimo pradžios </w:t>
            </w:r>
            <w:r>
              <w:rPr>
                <w:b/>
                <w:i/>
                <w:strike w:val="0"/>
                <w:color w:val="auto"/>
                <w:highlight w:val="none"/>
                <w:u w:val="none" w:color="auto"/>
                <w:vertAlign w:val="baseline"/>
              </w:rPr>
              <w:t>dieną</w:t>
            </w:r>
            <w:r>
              <w:t xml:space="preserve"> valstybės narės naudoja AIS su biometrinėmis funkcijomis visuose savo sienos perėjimo punktuose ir toliau registruoja AIS bent 50 proc. apskaičiuoto sienos kirtimo atvejų skaičiaus toje valstybėje narėje.</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ab/>
      </w:r>
      <w:r>
        <w:tab/>
      </w:r>
      <w:r>
        <w:rPr>
          <w:rStyle w:val="HideTWBExt"/>
        </w:rPr>
        <w:t>&lt;</w:t>
      </w:r>
      <w:r>
        <w:rPr>
          <w:rStyle w:val="HideTWBExt"/>
        </w:rPr>
        <w:t>NumAm</w:t>
      </w:r>
      <w:r>
        <w:rPr>
          <w:rStyle w:val="HideTWBExt"/>
        </w:rPr>
        <w:t>&gt;</w:t>
      </w:r>
      <w:r>
        <w:t>23</w:t>
      </w:r>
      <w:r>
        <w:rPr>
          <w:rStyle w:val="HideTWBExt"/>
        </w:rPr>
        <w:t>&lt;/</w:t>
      </w:r>
      <w:r>
        <w:rPr>
          <w:rStyle w:val="HideTWBExt"/>
        </w:rPr>
        <w:t>NumAm</w:t>
      </w:r>
      <w:r>
        <w:rPr>
          <w:rStyle w:val="HideTWBExt"/>
        </w:rPr>
        <w:t>&gt;</w:t>
      </w:r>
      <w:r>
        <w:t>pakeitimas</w:t>
      </w:r>
    </w:p>
    <w:p>
      <w:pPr>
        <w:pStyle w:val="NormalBold12b"/>
      </w:pPr>
      <w:r>
        <w:rPr>
          <w:rStyle w:val="HideTWBExt"/>
        </w:rPr>
        <w:t>&lt;</w:t>
      </w:r>
      <w:r>
        <w:rPr>
          <w:rStyle w:val="HideTWBExt"/>
        </w:rPr>
        <w:t>DocAmend</w:t>
      </w:r>
      <w:r>
        <w:rPr>
          <w:rStyle w:val="HideTWBExt"/>
        </w:rPr>
        <w:t>&gt;</w:t>
      </w:r>
      <w:r>
        <w:t>Pasiūlymas dėl reglamento</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4 straipsnio 5 dalis</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Komisijos siūlomas tekstas</w:t>
            </w:r>
          </w:p>
        </w:tc>
        <w:tc>
          <w:tcPr>
            <w:tcW w:w="4876" w:type="dxa"/>
            <w:vAlign w:val="top"/>
          </w:tcPr>
          <w:p>
            <w:pPr>
              <w:pStyle w:val="AmColumnHeading"/>
            </w:pPr>
            <w:r>
              <w:t>Pakeitimas</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5.</w:t>
            </w:r>
            <w:r>
              <w:tab/>
            </w:r>
            <w:r>
              <w:t xml:space="preserve">Ne vėliau kaip 170-ą kalendorinę </w:t>
            </w:r>
            <w:r>
              <w:rPr>
                <w:b/>
                <w:i/>
                <w:strike w:val="0"/>
                <w:color w:val="auto"/>
                <w:highlight w:val="none"/>
                <w:u w:val="none" w:color="auto"/>
                <w:vertAlign w:val="baseline"/>
              </w:rPr>
              <w:t>dieną nuo</w:t>
            </w:r>
            <w:r>
              <w:t xml:space="preserve"> laipsniško AIS veikimo pradžios valstybės narės naudoja AIS su biometrinėmis funkcijomis visuose savo sienos perėjimo punktuose ir AIS registruoja visus Reglamento (ES) 2017/2226 2 straipsnio 1 ir 2 dalyse nurodytus trečiųjų šalių piliečius.</w:t>
            </w:r>
          </w:p>
        </w:tc>
        <w:tc>
          <w:tcPr>
            <w:tcW w:w="4876" w:type="dxa"/>
            <w:vAlign w:val="top"/>
          </w:tcPr>
          <w:p>
            <w:pPr>
              <w:pStyle w:val="Normal6a"/>
            </w:pPr>
            <w:r>
              <w:t>5.</w:t>
            </w:r>
            <w:r>
              <w:tab/>
            </w:r>
            <w:r>
              <w:t xml:space="preserve">Ne vėliau kaip 170-ą kalendorinę laipsniško AIS veikimo pradžios </w:t>
            </w:r>
            <w:r>
              <w:rPr>
                <w:b/>
                <w:i/>
                <w:strike w:val="0"/>
                <w:color w:val="auto"/>
                <w:highlight w:val="none"/>
                <w:u w:val="none" w:color="auto"/>
                <w:vertAlign w:val="baseline"/>
              </w:rPr>
              <w:t>dieną</w:t>
            </w:r>
            <w:r>
              <w:t xml:space="preserve"> valstybės narės naudoja AIS su biometrinėmis funkcijomis visuose savo sienos perėjimo punktuose ir AIS registruoja visus Reglamento (ES) 2017/2226 2 straipsnio 1 ir 2 dalyse nurodytus trečiųjų šalių piliečius.</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ab/>
      </w:r>
      <w:r>
        <w:tab/>
      </w:r>
      <w:r>
        <w:rPr>
          <w:rStyle w:val="HideTWBExt"/>
        </w:rPr>
        <w:t>&lt;</w:t>
      </w:r>
      <w:r>
        <w:rPr>
          <w:rStyle w:val="HideTWBExt"/>
        </w:rPr>
        <w:t>NumAm</w:t>
      </w:r>
      <w:r>
        <w:rPr>
          <w:rStyle w:val="HideTWBExt"/>
        </w:rPr>
        <w:t>&gt;</w:t>
      </w:r>
      <w:r>
        <w:t>24</w:t>
      </w:r>
      <w:r>
        <w:rPr>
          <w:rStyle w:val="HideTWBExt"/>
        </w:rPr>
        <w:t>&lt;/</w:t>
      </w:r>
      <w:r>
        <w:rPr>
          <w:rStyle w:val="HideTWBExt"/>
        </w:rPr>
        <w:t>NumAm</w:t>
      </w:r>
      <w:r>
        <w:rPr>
          <w:rStyle w:val="HideTWBExt"/>
        </w:rPr>
        <w:t>&gt;</w:t>
      </w:r>
      <w:r>
        <w:t>pakeitimas</w:t>
      </w:r>
    </w:p>
    <w:p>
      <w:pPr>
        <w:pStyle w:val="NormalBold12b"/>
      </w:pPr>
      <w:r>
        <w:rPr>
          <w:rStyle w:val="HideTWBExt"/>
        </w:rPr>
        <w:t>&lt;</w:t>
      </w:r>
      <w:r>
        <w:rPr>
          <w:rStyle w:val="HideTWBExt"/>
        </w:rPr>
        <w:t>DocAmend</w:t>
      </w:r>
      <w:r>
        <w:rPr>
          <w:rStyle w:val="HideTWBExt"/>
        </w:rPr>
        <w:t>&gt;</w:t>
      </w:r>
      <w:r>
        <w:t>Pasiūlymas dėl reglamento</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5 straipsnio 4 dalies 2 pastraipa</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Komisijos siūlomas tekstas</w:t>
            </w:r>
          </w:p>
        </w:tc>
        <w:tc>
          <w:tcPr>
            <w:tcW w:w="4876" w:type="dxa"/>
            <w:vAlign w:val="top"/>
          </w:tcPr>
          <w:p>
            <w:pPr>
              <w:pStyle w:val="AmColumnHeading"/>
            </w:pPr>
            <w:r>
              <w:t>Pakeitimas</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Ši prielaida netaikoma trečiųjų šalių piliečiams, kurie bet kokiu būdu gali pateikti patikimų įrodymų, kad jie pagal Sąjungos teisę naudojasi laisvo judėjimo teise</w:t>
            </w:r>
            <w:r>
              <w:rPr>
                <w:b/>
                <w:i/>
                <w:strike w:val="0"/>
                <w:color w:val="auto"/>
                <w:highlight w:val="none"/>
                <w:u w:val="none" w:color="auto"/>
                <w:vertAlign w:val="baseline"/>
              </w:rPr>
              <w:t>, pagal Susitarimą dėl JK išstojimo iš ES turi teisę gyventi priimančiojoje valstybėje narėje arba</w:t>
            </w:r>
            <w:r>
              <w:t xml:space="preserve"> kad jie turi leidimą gyventi ar ilgalaikę vizą.</w:t>
            </w:r>
          </w:p>
        </w:tc>
        <w:tc>
          <w:tcPr>
            <w:tcW w:w="4876" w:type="dxa"/>
            <w:vAlign w:val="top"/>
          </w:tcPr>
          <w:p>
            <w:pPr>
              <w:pStyle w:val="Normal6a"/>
            </w:pPr>
            <w:r>
              <w:t xml:space="preserve">Ši prielaida netaikoma trečiųjų šalių piliečiams, kurie bet kokiu būdu gali pateikti patikimų įrodymų, kad jie pagal Sąjungos teisę naudojasi laisvo judėjimo teise </w:t>
            </w:r>
            <w:r>
              <w:rPr>
                <w:b/>
                <w:i/>
                <w:strike w:val="0"/>
                <w:color w:val="auto"/>
                <w:highlight w:val="none"/>
                <w:u w:val="none" w:color="auto"/>
                <w:vertAlign w:val="baseline"/>
              </w:rPr>
              <w:t>ar</w:t>
            </w:r>
            <w:r>
              <w:t xml:space="preserve"> kad jie turi leidimą gyventi ar ilgalaikę vizą.</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ab/>
      </w:r>
      <w:r>
        <w:tab/>
      </w:r>
      <w:r>
        <w:rPr>
          <w:rStyle w:val="HideTWBExt"/>
        </w:rPr>
        <w:t>&lt;</w:t>
      </w:r>
      <w:r>
        <w:rPr>
          <w:rStyle w:val="HideTWBExt"/>
        </w:rPr>
        <w:t>NumAm</w:t>
      </w:r>
      <w:r>
        <w:rPr>
          <w:rStyle w:val="HideTWBExt"/>
        </w:rPr>
        <w:t>&gt;</w:t>
      </w:r>
      <w:r>
        <w:t>25</w:t>
      </w:r>
      <w:r>
        <w:rPr>
          <w:rStyle w:val="HideTWBExt"/>
        </w:rPr>
        <w:t>&lt;/</w:t>
      </w:r>
      <w:r>
        <w:rPr>
          <w:rStyle w:val="HideTWBExt"/>
        </w:rPr>
        <w:t>NumAm</w:t>
      </w:r>
      <w:r>
        <w:rPr>
          <w:rStyle w:val="HideTWBExt"/>
        </w:rPr>
        <w:t>&gt;</w:t>
      </w:r>
      <w:r>
        <w:t>pakeitimas</w:t>
      </w:r>
    </w:p>
    <w:p>
      <w:pPr>
        <w:pStyle w:val="NormalBold12b"/>
      </w:pPr>
      <w:r>
        <w:rPr>
          <w:rStyle w:val="HideTWBExt"/>
        </w:rPr>
        <w:t>&lt;</w:t>
      </w:r>
      <w:r>
        <w:rPr>
          <w:rStyle w:val="HideTWBExt"/>
        </w:rPr>
        <w:t>DocAmend</w:t>
      </w:r>
      <w:r>
        <w:rPr>
          <w:rStyle w:val="HideTWBExt"/>
        </w:rPr>
        <w:t>&gt;</w:t>
      </w:r>
      <w:r>
        <w:t>Pasiūlymas dėl reglamento</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7 straipsnio 1 dalies 4 pastraipa</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Komisijos siūlomas tekstas</w:t>
            </w:r>
          </w:p>
        </w:tc>
        <w:tc>
          <w:tcPr>
            <w:tcW w:w="4876" w:type="dxa"/>
            <w:vAlign w:val="top"/>
          </w:tcPr>
          <w:p>
            <w:pPr>
              <w:pStyle w:val="AmColumnHeading"/>
            </w:pPr>
            <w:r>
              <w:t>Pakeitimas</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 xml:space="preserve">Abiem atvejais valstybės narės nedelsdamos ir ne vėliau kaip per šešias valandas nuo sustabdymo pradžios praneša Komisijai ir eu-LISA apie dalinio arba visiško sustabdymo priežastį ir numatomą jo trukmę </w:t>
            </w:r>
            <w:r>
              <w:rPr>
                <w:b/>
                <w:i/>
                <w:strike w:val="0"/>
                <w:color w:val="auto"/>
                <w:highlight w:val="none"/>
                <w:u w:val="none" w:color="auto"/>
                <w:vertAlign w:val="baseline"/>
              </w:rPr>
              <w:t>ir užtikrina</w:t>
            </w:r>
            <w:r>
              <w:t xml:space="preserve">, </w:t>
            </w:r>
            <w:r>
              <w:rPr>
                <w:b/>
                <w:i/>
                <w:strike w:val="0"/>
                <w:color w:val="auto"/>
                <w:highlight w:val="none"/>
                <w:u w:val="none" w:color="auto"/>
                <w:vertAlign w:val="baseline"/>
              </w:rPr>
              <w:t>kad apie tokį</w:t>
            </w:r>
            <w:r>
              <w:t xml:space="preserve"> sustabdymą </w:t>
            </w:r>
            <w:r>
              <w:rPr>
                <w:b/>
                <w:i/>
                <w:strike w:val="0"/>
                <w:color w:val="auto"/>
                <w:highlight w:val="none"/>
                <w:u w:val="none" w:color="auto"/>
                <w:vertAlign w:val="baseline"/>
              </w:rPr>
              <w:t>būtų tinkamai informuoti infrastruktūros</w:t>
            </w:r>
            <w:r>
              <w:t xml:space="preserve">, </w:t>
            </w:r>
            <w:r>
              <w:rPr>
                <w:b/>
                <w:i/>
                <w:strike w:val="0"/>
                <w:color w:val="auto"/>
                <w:highlight w:val="none"/>
                <w:u w:val="none" w:color="auto"/>
                <w:vertAlign w:val="baseline"/>
              </w:rPr>
              <w:t>kurioje yra sienos perėjimo punktų priegloba, operatoriai ir vežėjai.</w:t>
            </w:r>
            <w:r>
              <w:t xml:space="preserve"> </w:t>
            </w:r>
            <w:r>
              <w:rPr>
                <w:b/>
                <w:i/>
                <w:strike w:val="0"/>
                <w:color w:val="auto"/>
                <w:highlight w:val="none"/>
                <w:u w:val="none" w:color="auto"/>
                <w:vertAlign w:val="baseline"/>
              </w:rPr>
              <w:t>Kai išskirtinės aplinkybės</w:t>
            </w:r>
            <w:r>
              <w:t xml:space="preserve">, </w:t>
            </w:r>
            <w:r>
              <w:rPr>
                <w:b/>
                <w:i/>
                <w:strike w:val="0"/>
                <w:color w:val="auto"/>
                <w:highlight w:val="none"/>
                <w:u w:val="none" w:color="auto"/>
                <w:vertAlign w:val="baseline"/>
              </w:rPr>
              <w:t>lėmusios sustabdymą, išnyksta</w:t>
            </w:r>
            <w:r>
              <w:t xml:space="preserve">, </w:t>
            </w:r>
            <w:r>
              <w:rPr>
                <w:b/>
                <w:i/>
                <w:strike w:val="0"/>
                <w:color w:val="auto"/>
                <w:highlight w:val="none"/>
                <w:u w:val="none" w:color="auto"/>
                <w:vertAlign w:val="baseline"/>
              </w:rPr>
              <w:t>valstybės narės nedelsdamos apie tai praneša Komisijai</w:t>
            </w:r>
            <w:r>
              <w:t xml:space="preserve"> ir </w:t>
            </w:r>
            <w:r>
              <w:rPr>
                <w:b/>
                <w:i/>
                <w:strike w:val="0"/>
                <w:color w:val="auto"/>
                <w:highlight w:val="none"/>
                <w:u w:val="none" w:color="auto"/>
                <w:vertAlign w:val="baseline"/>
              </w:rPr>
              <w:t>eu-LISA</w:t>
            </w:r>
            <w:r>
              <w:t>.</w:t>
            </w:r>
          </w:p>
        </w:tc>
        <w:tc>
          <w:tcPr>
            <w:tcW w:w="4876" w:type="dxa"/>
            <w:vAlign w:val="top"/>
          </w:tcPr>
          <w:p>
            <w:pPr>
              <w:pStyle w:val="Normal6a"/>
            </w:pPr>
            <w:r>
              <w:t xml:space="preserve">Abiem atvejais valstybės narės nedelsdamos </w:t>
            </w:r>
            <w:r>
              <w:rPr>
                <w:b/>
                <w:i/>
                <w:strike w:val="0"/>
                <w:color w:val="auto"/>
                <w:highlight w:val="none"/>
                <w:u w:val="none" w:color="auto"/>
                <w:vertAlign w:val="baseline"/>
              </w:rPr>
              <w:t>informuoja infrastruktūros, kurioje yra sienos perėjimo punktai, operatorius</w:t>
            </w:r>
            <w:r>
              <w:t xml:space="preserve"> ir </w:t>
            </w:r>
            <w:r>
              <w:rPr>
                <w:b/>
                <w:i/>
                <w:strike w:val="0"/>
                <w:color w:val="auto"/>
                <w:highlight w:val="none"/>
                <w:u w:val="none" w:color="auto"/>
                <w:vertAlign w:val="baseline"/>
              </w:rPr>
              <w:t>vežėjus.</w:t>
            </w:r>
            <w:r>
              <w:t xml:space="preserve"> Ne vėliau kaip per šešias valandas nuo sustabdymo pradžios </w:t>
            </w:r>
            <w:r>
              <w:rPr>
                <w:b/>
                <w:i/>
                <w:strike w:val="0"/>
                <w:color w:val="auto"/>
                <w:highlight w:val="none"/>
                <w:u w:val="none" w:color="auto"/>
                <w:vertAlign w:val="baseline"/>
              </w:rPr>
              <w:t>valstybės narės</w:t>
            </w:r>
            <w:r>
              <w:t xml:space="preserve"> praneša Komisijai ir eu-LISA apie dalinio arba visiško sustabdymo priežastį ir numatomą jo trukmę</w:t>
            </w:r>
            <w:r>
              <w:rPr>
                <w:b/>
                <w:i/>
                <w:strike w:val="0"/>
                <w:color w:val="auto"/>
                <w:highlight w:val="none"/>
                <w:u w:val="none" w:color="auto"/>
                <w:vertAlign w:val="baseline"/>
              </w:rPr>
              <w:t>.</w:t>
            </w:r>
            <w:r>
              <w:t xml:space="preserve"> </w:t>
            </w:r>
            <w:r>
              <w:rPr>
                <w:b/>
                <w:i/>
                <w:strike w:val="0"/>
                <w:color w:val="auto"/>
                <w:highlight w:val="none"/>
                <w:u w:val="none" w:color="auto"/>
                <w:vertAlign w:val="baseline"/>
              </w:rPr>
              <w:t>Kai išskirtinės aplinkybės</w:t>
            </w:r>
            <w:r>
              <w:t xml:space="preserve">, </w:t>
            </w:r>
            <w:r>
              <w:rPr>
                <w:b/>
                <w:i/>
                <w:strike w:val="0"/>
                <w:color w:val="auto"/>
                <w:highlight w:val="none"/>
                <w:u w:val="none" w:color="auto"/>
                <w:vertAlign w:val="baseline"/>
              </w:rPr>
              <w:t>lėmusios</w:t>
            </w:r>
            <w:r>
              <w:t xml:space="preserve"> sustabdymą</w:t>
            </w:r>
            <w:r>
              <w:rPr>
                <w:b/>
                <w:i/>
                <w:strike w:val="0"/>
                <w:color w:val="auto"/>
                <w:highlight w:val="none"/>
                <w:u w:val="none" w:color="auto"/>
                <w:vertAlign w:val="baseline"/>
              </w:rPr>
              <w:t>, išnyksta</w:t>
            </w:r>
            <w:r>
              <w:t xml:space="preserve">, </w:t>
            </w:r>
            <w:r>
              <w:rPr>
                <w:b/>
                <w:i/>
                <w:strike w:val="0"/>
                <w:color w:val="auto"/>
                <w:highlight w:val="none"/>
                <w:u w:val="none" w:color="auto"/>
                <w:vertAlign w:val="baseline"/>
              </w:rPr>
              <w:t>valstybės narės nebetaiko sustabdymo priemonės ir nedelsdamos apie tai praneša Komisijai</w:t>
            </w:r>
            <w:r>
              <w:t xml:space="preserve">, </w:t>
            </w:r>
            <w:r>
              <w:rPr>
                <w:b/>
                <w:i/>
                <w:strike w:val="0"/>
                <w:color w:val="auto"/>
                <w:highlight w:val="none"/>
                <w:u w:val="none" w:color="auto"/>
                <w:vertAlign w:val="baseline"/>
              </w:rPr>
              <w:t>eu-LISA ir infrastruktūros</w:t>
            </w:r>
            <w:r>
              <w:t xml:space="preserve">, </w:t>
            </w:r>
            <w:r>
              <w:rPr>
                <w:b/>
                <w:i/>
                <w:strike w:val="0"/>
                <w:color w:val="auto"/>
                <w:highlight w:val="none"/>
                <w:u w:val="none" w:color="auto"/>
                <w:vertAlign w:val="baseline"/>
              </w:rPr>
              <w:t>kurioje yra sienos perėjimo punktai, operatoriams</w:t>
            </w:r>
            <w:r>
              <w:t xml:space="preserve"> ir </w:t>
            </w:r>
            <w:r>
              <w:rPr>
                <w:b/>
                <w:i/>
                <w:strike w:val="0"/>
                <w:color w:val="auto"/>
                <w:highlight w:val="none"/>
                <w:u w:val="none" w:color="auto"/>
                <w:vertAlign w:val="baseline"/>
              </w:rPr>
              <w:t>vežėjams</w:t>
            </w:r>
            <w:r>
              <w:t>.</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ab/>
      </w:r>
      <w:r>
        <w:tab/>
      </w:r>
      <w:r>
        <w:rPr>
          <w:rStyle w:val="HideTWBExt"/>
        </w:rPr>
        <w:t>&lt;</w:t>
      </w:r>
      <w:r>
        <w:rPr>
          <w:rStyle w:val="HideTWBExt"/>
        </w:rPr>
        <w:t>NumAm</w:t>
      </w:r>
      <w:r>
        <w:rPr>
          <w:rStyle w:val="HideTWBExt"/>
        </w:rPr>
        <w:t>&gt;</w:t>
      </w:r>
      <w:r>
        <w:t>26</w:t>
      </w:r>
      <w:r>
        <w:rPr>
          <w:rStyle w:val="HideTWBExt"/>
        </w:rPr>
        <w:t>&lt;/</w:t>
      </w:r>
      <w:r>
        <w:rPr>
          <w:rStyle w:val="HideTWBExt"/>
        </w:rPr>
        <w:t>NumAm</w:t>
      </w:r>
      <w:r>
        <w:rPr>
          <w:rStyle w:val="HideTWBExt"/>
        </w:rPr>
        <w:t>&gt;</w:t>
      </w:r>
      <w:r>
        <w:t>pakeitimas</w:t>
      </w:r>
    </w:p>
    <w:p>
      <w:pPr>
        <w:pStyle w:val="NormalBold12b"/>
      </w:pPr>
      <w:r>
        <w:rPr>
          <w:rStyle w:val="HideTWBExt"/>
        </w:rPr>
        <w:t>&lt;</w:t>
      </w:r>
      <w:r>
        <w:rPr>
          <w:rStyle w:val="HideTWBExt"/>
        </w:rPr>
        <w:t>DocAmend</w:t>
      </w:r>
      <w:r>
        <w:rPr>
          <w:rStyle w:val="HideTWBExt"/>
        </w:rPr>
        <w:t>&gt;</w:t>
      </w:r>
      <w:r>
        <w:t>Pasiūlymas dėl reglamento</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7 straipsnio 3 dalis</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Komisijos siūlomas tekstas</w:t>
            </w:r>
          </w:p>
        </w:tc>
        <w:tc>
          <w:tcPr>
            <w:tcW w:w="4876" w:type="dxa"/>
            <w:vAlign w:val="top"/>
          </w:tcPr>
          <w:p>
            <w:pPr>
              <w:pStyle w:val="AmColumnHeading"/>
            </w:pPr>
            <w:r>
              <w:t>Pakeitimas</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rPr>
                <w:b/>
                <w:i/>
                <w:strike w:val="0"/>
                <w:color w:val="auto"/>
                <w:highlight w:val="none"/>
                <w:u w:val="none" w:color="auto"/>
                <w:vertAlign w:val="baseline"/>
              </w:rPr>
              <w:t>3.</w:t>
            </w:r>
            <w:r>
              <w:tab/>
            </w:r>
            <w:r>
              <w:rPr>
                <w:b/>
                <w:i/>
                <w:strike w:val="0"/>
                <w:color w:val="auto"/>
                <w:highlight w:val="none"/>
                <w:u w:val="none" w:color="auto"/>
                <w:vertAlign w:val="baseline"/>
              </w:rPr>
              <w:t>Jei biometrinių duomenų yra mažiau kaip 80 proc. laipsniškos AIS veikimo pradžios laikotarpiu AIS registruotų asmens bylų, šio straipsnio 2 dalyje nustatytas laikotarpis automatiškai pratęsiamas 60 kalendorinių dienų.</w:t>
            </w:r>
          </w:p>
        </w:tc>
        <w:tc>
          <w:tcPr>
            <w:tcW w:w="4876" w:type="dxa"/>
            <w:vAlign w:val="top"/>
          </w:tcPr>
          <w:p>
            <w:pPr>
              <w:pStyle w:val="Normal6a"/>
            </w:pPr>
            <w:r>
              <w:rPr>
                <w:b/>
                <w:i/>
                <w:strike w:val="0"/>
                <w:color w:val="auto"/>
                <w:highlight w:val="none"/>
                <w:u w:val="none" w:color="auto"/>
                <w:vertAlign w:val="baseline"/>
              </w:rPr>
              <w:t>Išbraukta.</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ab/>
      </w:r>
      <w:r>
        <w:tab/>
      </w:r>
      <w:r>
        <w:rPr>
          <w:rStyle w:val="HideTWBExt"/>
        </w:rPr>
        <w:t>&lt;</w:t>
      </w:r>
      <w:r>
        <w:rPr>
          <w:rStyle w:val="HideTWBExt"/>
        </w:rPr>
        <w:t>NumAm</w:t>
      </w:r>
      <w:r>
        <w:rPr>
          <w:rStyle w:val="HideTWBExt"/>
        </w:rPr>
        <w:t>&gt;</w:t>
      </w:r>
      <w:r>
        <w:t>27</w:t>
      </w:r>
      <w:r>
        <w:rPr>
          <w:rStyle w:val="HideTWBExt"/>
        </w:rPr>
        <w:t>&lt;/</w:t>
      </w:r>
      <w:r>
        <w:rPr>
          <w:rStyle w:val="HideTWBExt"/>
        </w:rPr>
        <w:t>NumAm</w:t>
      </w:r>
      <w:r>
        <w:rPr>
          <w:rStyle w:val="HideTWBExt"/>
        </w:rPr>
        <w:t>&gt;</w:t>
      </w:r>
      <w:r>
        <w:t>pakeitimas</w:t>
      </w:r>
    </w:p>
    <w:p>
      <w:pPr>
        <w:pStyle w:val="NormalBold12b"/>
      </w:pPr>
      <w:r>
        <w:rPr>
          <w:rStyle w:val="HideTWBExt"/>
        </w:rPr>
        <w:t>&lt;</w:t>
      </w:r>
      <w:r>
        <w:rPr>
          <w:rStyle w:val="HideTWBExt"/>
        </w:rPr>
        <w:t>DocAmend</w:t>
      </w:r>
      <w:r>
        <w:rPr>
          <w:rStyle w:val="HideTWBExt"/>
        </w:rPr>
        <w:t>&gt;</w:t>
      </w:r>
      <w:r>
        <w:t>Pasiūlymas dėl reglamento</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7 straipsnio 4 dalis</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Komisijos siūlomas tekstas</w:t>
            </w:r>
          </w:p>
        </w:tc>
        <w:tc>
          <w:tcPr>
            <w:tcW w:w="4876" w:type="dxa"/>
            <w:vAlign w:val="top"/>
          </w:tcPr>
          <w:p>
            <w:pPr>
              <w:pStyle w:val="AmColumnHeading"/>
            </w:pPr>
            <w:r>
              <w:t>Pakeitimas</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rPr>
                <w:b/>
                <w:i/>
                <w:strike w:val="0"/>
                <w:color w:val="auto"/>
                <w:highlight w:val="none"/>
                <w:u w:val="none" w:color="auto"/>
                <w:vertAlign w:val="baseline"/>
              </w:rPr>
              <w:t>4.</w:t>
            </w:r>
            <w:r>
              <w:tab/>
            </w:r>
            <w:r>
              <w:rPr>
                <w:b/>
                <w:i/>
                <w:strike w:val="0"/>
                <w:color w:val="auto"/>
                <w:highlight w:val="none"/>
                <w:u w:val="none" w:color="auto"/>
                <w:vertAlign w:val="baseline"/>
              </w:rPr>
              <w:t>Ne vėliau kaip 10-ą kalendorinę dieną po laipsniškos AIS veikimo pradžios laikotarpio pabaigos eu-LISA pateikia Komisijai statistinius duomenis, kad Komisija galėtų patikrinti, ar pasiekta ši procentinė dalis. Ne vėliau kaip 30-ą kalendorinę dieną nuo laipsniškos AIS veikimo pradžios laikotarpio pabaigos Komisija informuoja valstybes nares apie jos atlikto patikrinimo rezultatus.</w:t>
            </w:r>
          </w:p>
        </w:tc>
        <w:tc>
          <w:tcPr>
            <w:tcW w:w="4876" w:type="dxa"/>
            <w:vAlign w:val="top"/>
          </w:tcPr>
          <w:p>
            <w:pPr>
              <w:pStyle w:val="Normal6a"/>
            </w:pPr>
            <w:r>
              <w:rPr>
                <w:b/>
                <w:i/>
                <w:strike w:val="0"/>
                <w:color w:val="auto"/>
                <w:highlight w:val="none"/>
                <w:u w:val="none" w:color="auto"/>
                <w:vertAlign w:val="baseline"/>
              </w:rPr>
              <w:t>Išbraukta.</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ab/>
      </w:r>
      <w:r>
        <w:tab/>
      </w:r>
      <w:r>
        <w:rPr>
          <w:rStyle w:val="HideTWBExt"/>
        </w:rPr>
        <w:t>&lt;</w:t>
      </w:r>
      <w:r>
        <w:rPr>
          <w:rStyle w:val="HideTWBExt"/>
        </w:rPr>
        <w:t>NumAm</w:t>
      </w:r>
      <w:r>
        <w:rPr>
          <w:rStyle w:val="HideTWBExt"/>
        </w:rPr>
        <w:t>&gt;</w:t>
      </w:r>
      <w:r>
        <w:t>28</w:t>
      </w:r>
      <w:r>
        <w:rPr>
          <w:rStyle w:val="HideTWBExt"/>
        </w:rPr>
        <w:t>&lt;/</w:t>
      </w:r>
      <w:r>
        <w:rPr>
          <w:rStyle w:val="HideTWBExt"/>
        </w:rPr>
        <w:t>NumAm</w:t>
      </w:r>
      <w:r>
        <w:rPr>
          <w:rStyle w:val="HideTWBExt"/>
        </w:rPr>
        <w:t>&gt;</w:t>
      </w:r>
      <w:r>
        <w:t>pakeitimas</w:t>
      </w:r>
    </w:p>
    <w:p>
      <w:pPr>
        <w:pStyle w:val="NormalBold12b"/>
      </w:pPr>
      <w:r>
        <w:rPr>
          <w:rStyle w:val="HideTWBExt"/>
        </w:rPr>
        <w:t>&lt;</w:t>
      </w:r>
      <w:r>
        <w:rPr>
          <w:rStyle w:val="HideTWBExt"/>
        </w:rPr>
        <w:t>DocAmend</w:t>
      </w:r>
      <w:r>
        <w:rPr>
          <w:rStyle w:val="HideTWBExt"/>
        </w:rPr>
        <w:t>&gt;</w:t>
      </w:r>
      <w:r>
        <w:t>Pasiūlymas dėl reglamento</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8 straipsnio 2 dalies 1 pastraipos d punktas</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Komisijos siūlomas tekstas</w:t>
            </w:r>
          </w:p>
        </w:tc>
        <w:tc>
          <w:tcPr>
            <w:tcW w:w="4876" w:type="dxa"/>
            <w:vAlign w:val="top"/>
          </w:tcPr>
          <w:p>
            <w:pPr>
              <w:pStyle w:val="AmColumnHeading"/>
            </w:pPr>
            <w:r>
              <w:t>Pakeitimas</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d)</w:t>
            </w:r>
            <w:r>
              <w:tab/>
            </w:r>
            <w:r>
              <w:t xml:space="preserve">7 straipsnio 2 ir 3 dalys nustoja būti taikomos praėjus </w:t>
            </w:r>
            <w:r>
              <w:rPr>
                <w:b/>
                <w:i/>
                <w:strike w:val="0"/>
                <w:color w:val="auto"/>
                <w:highlight w:val="none"/>
                <w:u w:val="none" w:color="auto"/>
                <w:vertAlign w:val="baseline"/>
              </w:rPr>
              <w:t>300</w:t>
            </w:r>
            <w:r>
              <w:t xml:space="preserve"> kalendorinių dienų nuo Komisijos pagal Reglamento (ES) 2017/2226 66 straipsnio 1 dalį nustatytos datos;</w:t>
            </w:r>
          </w:p>
        </w:tc>
        <w:tc>
          <w:tcPr>
            <w:tcW w:w="4876" w:type="dxa"/>
            <w:vAlign w:val="top"/>
          </w:tcPr>
          <w:p>
            <w:pPr>
              <w:pStyle w:val="Normal6a"/>
            </w:pPr>
            <w:r>
              <w:t>d)</w:t>
            </w:r>
            <w:r>
              <w:tab/>
            </w:r>
            <w:r>
              <w:t xml:space="preserve">7 straipsnio 2 ir 3 dalys nustoja būti taikomos praėjus </w:t>
            </w:r>
            <w:r>
              <w:rPr>
                <w:b/>
                <w:i/>
                <w:strike w:val="0"/>
                <w:color w:val="auto"/>
                <w:highlight w:val="none"/>
                <w:u w:val="none" w:color="auto"/>
                <w:vertAlign w:val="baseline"/>
              </w:rPr>
              <w:t>240</w:t>
            </w:r>
            <w:r>
              <w:t xml:space="preserve"> kalendorinių dienų nuo Komisijos pagal Reglamento (ES) 2017/2226 66 straipsnio 1 dalį nustatytos datos;</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r>
        <w:rPr>
          <w:rStyle w:val="HideTWBExt"/>
        </w:rPr>
        <w:t>&lt;/</w:t>
      </w:r>
      <w:r>
        <w:rPr>
          <w:rStyle w:val="HideTWBExt"/>
        </w:rPr>
        <w:t>RepeatBlock-Amend</w:t>
      </w:r>
      <w:r>
        <w:rPr>
          <w:rStyle w:val="HideTWBExt"/>
        </w:rPr>
        <w:t>&gt;</w:t>
      </w:r>
    </w:p>
    <w:p>
      <w:pPr>
        <w:sectPr>
          <w:footerReference w:type="even" r:id="rId5"/>
          <w:footerReference w:type="default" r:id="rId6"/>
          <w:footerReference w:type="first" r:id="rId7"/>
          <w:pgSz w:w="11906" w:h="16838"/>
          <w:pgMar w:top="1134" w:right="1417" w:bottom="1417" w:left="1417" w:header="1134" w:footer="567" w:gutter="0"/>
          <w:cols w:num="1" w:space="708"/>
          <w:titlePg/>
          <w:docGrid w:linePitch="360"/>
        </w:sectPr>
      </w:pPr>
    </w:p>
    <w:p>
      <w:pPr>
        <w:pStyle w:val="PageHeading"/>
      </w:pPr>
      <w:bookmarkStart w:id="1" w:name="_Toc256000003"/>
      <w:r>
        <w:t>AIŠKINAMOJI DALIS</w:t>
      </w:r>
      <w:bookmarkEnd w:id="1"/>
    </w:p>
    <w:p>
      <w:pPr>
        <w:pStyle w:val="Normal12a"/>
      </w:pPr>
      <w:r>
        <w:rPr>
          <w:rStyle w:val="Bold"/>
        </w:rPr>
        <w:t>Įvadas</w:t>
      </w:r>
    </w:p>
    <w:p>
      <w:pPr>
        <w:pStyle w:val="Normal12a"/>
      </w:pPr>
      <w:r>
        <w:t xml:space="preserve">Atvykimo ir išvykimo sistema (AIS), numatyta Reglamente (ES) 2017/2226 (AIS reglamentas), yra pagrindinė Šengeno erdvės sienų valdymo sudedamoji dalis. AIS, centralizuotoje sistemoje, registruojami trečiųjų šalių piliečių, kertančių 29 Šengeno valstybių narių išorės sienas trumpalaikiam buvimui, atvykimo ir išvykimo bei atsisakymo leisti jiems atvykti duomenys. Tai yra svarbus ES pastangų didinti saugumą ir veiksmingumą prie savo išorės sienų etapas. Pirmą kartą sistemoje bus renkami išorės sienas kertančių trečiųjų šalių piliečių biometriniai duomenys, t. y. veido atvaizdai ir pirštų atspaudai, taip pat raidiniai skaitmeniniai duomenys. Įdiegus AIS Šengeno valstybėms narėms bus suteikta tikralaikė prieiga prie trečiųjų šalių piliečių asmens duomenų, kelionių istorijos ir informacijos apie tai, ar jie laikosi leidžiamo trumpalaikio buvimo Šengeno erdvėje laikotarpį apibrėžiančių sąlygų. Todėl AIS padės sumažinti tapatybės klastojimo ir užsibuvimo tikimybę ir taip galiausiai padidinti Šengeno erdvės saugumą. Įdiegus automatizuotą sienų infrastruktūrą, AIS galiausiai taip pat turėtų sutrumpinti </w:t>
      </w:r>
      <w:r>
        <w:rPr>
          <w:rStyle w:val="Italic"/>
        </w:rPr>
        <w:t>bona fide</w:t>
      </w:r>
      <w:r>
        <w:t xml:space="preserve"> keliautojų laukimo sienos perėjimo punktuose laiką.</w:t>
      </w:r>
    </w:p>
    <w:p>
      <w:pPr>
        <w:pStyle w:val="Normal12a"/>
      </w:pPr>
      <w:r>
        <w:t>AIS kūrimas užtruko ilgiau, nei tikėtasi, ir praleisti tiksliniai terminai, kai sistema turėjo pradėti veikti. Vienas iš reikalavimų, kuriuos įvykdžius turėjo pradėti veikti AIS, yra tai, kad Komisija iš kiekvienos valstybės narės turi gauti pranešimą apie pasirengimą. Šiuo metu trys valstybės narės nurodė, kad negali pateikti tokio pranešimo. Vėluojama dėl vidaus problemų ir nuogąstavimų dėl eu-LISA valdomos centrinės sistemos stabilumo.</w:t>
      </w:r>
    </w:p>
    <w:p>
      <w:pPr>
        <w:pStyle w:val="Normal12a"/>
      </w:pPr>
      <w:r>
        <w:t>Atsižvelgdami į pirmiau išdėstytus faktus, su AIS veikimu susiję suinteresuotieji subjektai išreiškė pageidavimą, kad prieš pradedant vykdyti naujus procesus prie išorės sienų nacionalinėms valdžios institucijoms ir keliautojams būtų nustatytas prisitaikymo laikotarpis. Dideliu mastu diegiant naują didelės apimties IT sistemą visuose sienos perėjimo punktuose gali kilti pavojus saugioms ir sklandžioms kelionėms.</w:t>
      </w:r>
    </w:p>
    <w:p>
      <w:pPr>
        <w:pStyle w:val="Normal12a"/>
      </w:pPr>
      <w:r>
        <w:t>Vis dėlto, AIS reglamente numatyta tik sistemos naudojimo visu operaciniu pajėgumu pradžia, reikalaujant, kad visos valstybės narės visuose savo išorės sienos perėjimo punktuose pradėtų naudoti AIS visu operaciniu pajėgumu ir vienu metu visų keliautojų, kurie turi būti registruojami AIS, atžvilgiu. Galimybė nustatyti prisitaikymo laikotarpį šiame dokumente nenumatyta.</w:t>
      </w:r>
    </w:p>
    <w:p>
      <w:pPr>
        <w:pStyle w:val="Normal12a"/>
      </w:pPr>
      <w:r>
        <w:t>Taigi, 2024 m. gruodžio mėn. Komisija pateikė pasiūlymą dėl laipsniškos AIS veikimo pradžios. Laipsniškai pradedant naudoti sistemą, valstybės narės ją dažniau naudos 180 dienų laikotarpiu, kol sistema bus visiškai įdiegta.</w:t>
      </w:r>
    </w:p>
    <w:p>
      <w:pPr>
        <w:pStyle w:val="Normal12a"/>
      </w:pPr>
      <w:r>
        <w:rPr>
          <w:rStyle w:val="Bold"/>
        </w:rPr>
        <w:t>Pranešėjos pozicija</w:t>
      </w:r>
    </w:p>
    <w:p>
      <w:pPr>
        <w:pStyle w:val="Normal12a"/>
      </w:pPr>
      <w:r>
        <w:t>Pranešėja pritaria pasiūlymui dėl AIS ir jos tikslų didinti saugumą ir padėti valdyti žmonių srautus prie ES išorės sienų. Būtinybę stiprinti sienų saugumą aiškiai atskleidė siaubinga 2015 ir 2016 m. teroristinių išpuolių banga ES valstybėse narėse, įskaitant Prancūziją ir Belgiją. Nors pranešėja supranta, kad sudėtinga sukurti labai didelę naują sistemą, apimančią naujus aparatinės ir programinės įrangos komponentus, taip pat pakeisti procedūras sienos perėjimo punktuose, tačiau ji apgailestauja, kad praėjus aštuoneriems metams nuo reglamento priėmimo ši sistema vis dar neveikia. Nuo 2017 m. grėsmės saugumui nesumažėjo – priešingai. Kad būtų galima galiausiai sudaryti sąlygas plačiu mastu įdiegti AIS, pranešėja iš esmės sutinka su pasiūlymu laipsniškai pradėti vykdyti veiklą.</w:t>
      </w:r>
    </w:p>
    <w:p>
      <w:pPr>
        <w:pStyle w:val="Normal12a"/>
      </w:pPr>
      <w:r>
        <w:t>Pranešėja siūlo toliau nurodytus Komisijos pasiūlymo pakeitimus.</w:t>
      </w:r>
    </w:p>
    <w:p>
      <w:pPr>
        <w:pStyle w:val="Normal12a"/>
      </w:pPr>
      <w:r>
        <w:t>1. Pranešėja pabrėžia, kad laipsniškas AIS diegimas per 180 dienų laipsniško veikimo pradžios laikotarpį yra savanoriškas. Valstybės narės, kurios nusprendžia pradėti naudoti AIS visu pajėgumu visiems trečiųjų šalių piliečiams, kurie turi būti registruojami AIS nuo pirmos dienos visuose savo sienos perėjimo punktuose, registruoti, turėtų galėti tai daryti.</w:t>
      </w:r>
    </w:p>
    <w:p>
      <w:pPr>
        <w:pStyle w:val="Normal12a"/>
      </w:pPr>
      <w:r>
        <w:t>2. Vis dėlto, valstybėms narėms, kurios nusprendžia laipsniškai diegti AIS, turėtų būti suteikta daugiau lankstumo, nei numatyta Komisijos pasiūlyme. Užuot nuo pirmosios dienos pradėjus registruoti ne mažiau kaip 10 proc. nurodytų asmenų skaičiaus, valstybėms narėms turėtų būti leidžiama 10 proc. kiekį sukaupti per pirmąsias 30 laipsniškos veiklos pradžios dienų. O vietoj to, kad 90-ą dieną AIS būtų užregistruota bent 50 proc. numatomo sienos kirtimo atvejų skaičiaus, šis skaičius turėtų siekti bent 35 proc. Šios pakoreguotos procentinės dalys atspindi realybę, nes naujų sudėtingų sistemų diegimas paprastai yra eksponentinis, o ne linijinis.</w:t>
      </w:r>
    </w:p>
    <w:p>
      <w:pPr>
        <w:pStyle w:val="Normal12a"/>
      </w:pPr>
      <w:r>
        <w:t>3. Pranešėja pabrėžia, kad valstybių narių diegimo nebeturėtų stabdyti eu-LISA valdomo AIS centrinio komponento apribojimai.</w:t>
      </w:r>
    </w:p>
    <w:p>
      <w:pPr>
        <w:pStyle w:val="Normal12a"/>
      </w:pPr>
      <w:r>
        <w:t>4. Pranešėja paaiškina tam tikras nuostatas, susijusias su diegimo planu ir mėnesinių ataskaitų teikimo reikalavimais, procentinių dydžių apskaičiavimo baze ir informacijos srautais per galimą sistemos naudojimo sustabdymą.</w:t>
      </w:r>
    </w:p>
    <w:p>
      <w:pPr>
        <w:pStyle w:val="Normal12a"/>
      </w:pPr>
      <w:r>
        <w:t>5. Pranešėja sutrumpina siūlomą laikotarpį po laipsniškos veikimo pradžios, per kurį valstybės narės gali iš dalies sustabdyti AIS veikimą, ir pabrėžia, kad valstybės narės, kurios dar nepateikė savo pranešimų dėl pasirengimo, dabar turi tai padaryti skubiai, kad sistema galėtų pradėti veikti 2025 m. rudenį, t. y. laikotarpį, kai tarpvalstybinių kelionių skaičius yra nedidelis.</w:t>
      </w:r>
    </w:p>
    <w:p>
      <w:pPr>
        <w:pStyle w:val="Normal12a"/>
      </w:pPr>
    </w:p>
    <w:sectPr>
      <w:type w:val="nextPage"/>
      <w:pgSz w:w="11906" w:h="16838"/>
      <w:pgMar w:top="1134" w:right="1417" w:bottom="1417" w:left="1417" w:header="1134" w:footer="567" w:gutter="0"/>
      <w:cols w:num="1" w:space="708"/>
      <w:titlePg w:val="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7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20007A87" w:usb1="80000000" w:usb2="00000008"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t>PE</w:t>
    </w:r>
    <w:r>
      <w:rPr>
        <w:rStyle w:val="HideTWBExt"/>
      </w:rPr>
      <w:t>&lt;</w:t>
    </w:r>
    <w:r>
      <w:rPr>
        <w:rStyle w:val="HideTWBExt"/>
      </w:rPr>
      <w:t>NoPE</w:t>
    </w:r>
    <w:r>
      <w:rPr>
        <w:rStyle w:val="HideTWBExt"/>
      </w:rPr>
      <w:t>&gt;</w:t>
    </w:r>
    <w:r>
      <w:t>770.093</w:t>
    </w:r>
    <w:r>
      <w:rPr>
        <w:rStyle w:val="HideTWBExt"/>
      </w:rPr>
      <w:t>&lt;/</w:t>
    </w:r>
    <w:r>
      <w:rPr>
        <w:rStyle w:val="HideTWBExt"/>
      </w:rPr>
      <w:t>NoPE</w:t>
    </w:r>
    <w:r>
      <w:rPr>
        <w:rStyle w:val="HideTWBExt"/>
      </w:rPr>
      <w:t>&gt;</w:t>
    </w:r>
    <w:r>
      <w:rPr>
        <w:rStyle w:val="HideTWBExt"/>
      </w:rPr>
      <w:t>&lt;</w:t>
    </w:r>
    <w:r>
      <w:rPr>
        <w:rStyle w:val="HideTWBExt"/>
      </w:rPr>
      <w:t>Version</w:t>
    </w:r>
    <w:r>
      <w:rPr>
        <w:rStyle w:val="HideTWBExt"/>
      </w:rPr>
      <w:t>&gt;</w:t>
    </w:r>
    <w:r>
      <w:t>v01-00</w:t>
    </w:r>
    <w:r>
      <w:rPr>
        <w:rStyle w:val="HideTWBExt"/>
      </w:rPr>
      <w:t>&lt;/</w:t>
    </w:r>
    <w:r>
      <w:rPr>
        <w:rStyle w:val="HideTWBExt"/>
      </w:rPr>
      <w:t>Version</w:t>
    </w:r>
    <w:r>
      <w:rPr>
        <w:rStyle w:val="HideTWBExt"/>
      </w:rPr>
      <w:t>&gt;</w:t>
    </w:r>
    <w:r>
      <w:tab/>
    </w:r>
    <w:r>
      <w:fldChar w:fldCharType="begin"/>
    </w:r>
    <w:r>
      <w:instrText>PAGE</w:instrText>
    </w:r>
    <w:r>
      <w:fldChar w:fldCharType="separate"/>
    </w:r>
    <w:r>
      <w:t>22</w:t>
    </w:r>
    <w:r>
      <w:fldChar w:fldCharType="end"/>
    </w:r>
    <w:r>
      <w:t>/</w:t>
    </w:r>
    <w:r>
      <w:fldChar w:fldCharType="begin"/>
    </w:r>
    <w:r>
      <w:instrText>NUMPAGES</w:instrText>
    </w:r>
    <w:r>
      <w:fldChar w:fldCharType="separate"/>
    </w:r>
    <w:r>
      <w:t>22</w:t>
    </w:r>
    <w:r>
      <w:fldChar w:fldCharType="end"/>
    </w:r>
    <w:r>
      <w:tab/>
    </w:r>
    <w:r>
      <w:rPr>
        <w:rStyle w:val="HideTWBExt"/>
      </w:rPr>
      <w:t>&lt;</w:t>
    </w:r>
    <w:r>
      <w:rPr>
        <w:rStyle w:val="HideTWBExt"/>
      </w:rPr>
      <w:t>PathFdR</w:t>
    </w:r>
    <w:r>
      <w:rPr>
        <w:rStyle w:val="HideTWBExt"/>
      </w:rPr>
      <w:t>&gt;</w:t>
    </w:r>
    <w:r>
      <w:t>PR\1316296LT.docx</w:t>
    </w:r>
    <w:r>
      <w:rPr>
        <w:rStyle w:val="HideTWBExt"/>
      </w:rPr>
      <w:t>&lt;/</w:t>
    </w:r>
    <w:r>
      <w:rPr>
        <w:rStyle w:val="HideTWBExt"/>
      </w:rPr>
      <w:t>PathFdR</w:t>
    </w:r>
    <w:r>
      <w:rPr>
        <w:rStyle w:val="HideTWBExt"/>
      </w:rPr>
      <w:t>&gt;</w:t>
    </w:r>
  </w:p>
  <w:p>
    <w:pPr>
      <w:pStyle w:val="EPFooter2"/>
    </w:pPr>
    <w:r>
      <w:t>LT</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w:t>
    </w:r>
    <w:r>
      <w:rPr>
        <w:rStyle w:val="HideTWBExt"/>
      </w:rPr>
      <w:t>PathFdR</w:t>
    </w:r>
    <w:r>
      <w:rPr>
        <w:rStyle w:val="HideTWBExt"/>
      </w:rPr>
      <w:t>&gt;</w:t>
    </w:r>
    <w:r>
      <w:t>PR\1316296LT.docx</w:t>
    </w:r>
    <w:r>
      <w:rPr>
        <w:rStyle w:val="HideTWBExt"/>
      </w:rPr>
      <w:t>&lt;/</w:t>
    </w:r>
    <w:r>
      <w:rPr>
        <w:rStyle w:val="HideTWBExt"/>
      </w:rPr>
      <w:t>PathFdR</w:t>
    </w:r>
    <w:r>
      <w:rPr>
        <w:rStyle w:val="HideTWBExt"/>
      </w:rPr>
      <w:t>&gt;</w:t>
    </w:r>
    <w:r>
      <w:tab/>
    </w:r>
    <w:r>
      <w:fldChar w:fldCharType="begin"/>
    </w:r>
    <w:r>
      <w:instrText>PAGE</w:instrText>
    </w:r>
    <w:r>
      <w:fldChar w:fldCharType="separate"/>
    </w:r>
    <w:r>
      <w:t>21</w:t>
    </w:r>
    <w:r>
      <w:fldChar w:fldCharType="end"/>
    </w:r>
    <w:r>
      <w:t>/</w:t>
    </w:r>
    <w:r>
      <w:fldChar w:fldCharType="begin"/>
    </w:r>
    <w:r>
      <w:instrText>NUMPAGES</w:instrText>
    </w:r>
    <w:r>
      <w:fldChar w:fldCharType="separate"/>
    </w:r>
    <w:r>
      <w:t>22</w:t>
    </w:r>
    <w:r>
      <w:fldChar w:fldCharType="end"/>
    </w:r>
    <w:r>
      <w:tab/>
    </w:r>
    <w:r>
      <w:t>PE</w:t>
    </w:r>
    <w:r>
      <w:rPr>
        <w:rStyle w:val="HideTWBExt"/>
      </w:rPr>
      <w:t>&lt;</w:t>
    </w:r>
    <w:r>
      <w:rPr>
        <w:rStyle w:val="HideTWBExt"/>
      </w:rPr>
      <w:t>NoPE</w:t>
    </w:r>
    <w:r>
      <w:rPr>
        <w:rStyle w:val="HideTWBExt"/>
      </w:rPr>
      <w:t>&gt;</w:t>
    </w:r>
    <w:r>
      <w:t>770.093</w:t>
    </w:r>
    <w:r>
      <w:rPr>
        <w:rStyle w:val="HideTWBExt"/>
      </w:rPr>
      <w:t>&lt;/</w:t>
    </w:r>
    <w:r>
      <w:rPr>
        <w:rStyle w:val="HideTWBExt"/>
      </w:rPr>
      <w:t>NoPE</w:t>
    </w:r>
    <w:r>
      <w:rPr>
        <w:rStyle w:val="HideTWBExt"/>
      </w:rPr>
      <w:t>&gt;</w:t>
    </w:r>
    <w:r>
      <w:rPr>
        <w:rStyle w:val="HideTWBExt"/>
      </w:rPr>
      <w:t>&lt;</w:t>
    </w:r>
    <w:r>
      <w:rPr>
        <w:rStyle w:val="HideTWBExt"/>
      </w:rPr>
      <w:t>Version</w:t>
    </w:r>
    <w:r>
      <w:rPr>
        <w:rStyle w:val="HideTWBExt"/>
      </w:rPr>
      <w:t>&gt;</w:t>
    </w:r>
    <w:r>
      <w:t>v01-00</w:t>
    </w:r>
    <w:r>
      <w:rPr>
        <w:rStyle w:val="HideTWBExt"/>
      </w:rPr>
      <w:t>&lt;/</w:t>
    </w:r>
    <w:r>
      <w:rPr>
        <w:rStyle w:val="HideTWBExt"/>
      </w:rPr>
      <w:t>Version</w:t>
    </w:r>
    <w:r>
      <w:rPr>
        <w:rStyle w:val="HideTWBExt"/>
      </w:rPr>
      <w:t>&gt;</w:t>
    </w:r>
  </w:p>
  <w:p>
    <w:pPr>
      <w:pStyle w:val="EPFooter2"/>
    </w:pPr>
    <w:r>
      <w:tab/>
    </w:r>
    <w:r>
      <w:tab/>
    </w:r>
    <w:r>
      <w:t>LT</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w:t>
    </w:r>
    <w:r>
      <w:rPr>
        <w:rStyle w:val="HideTWBExt"/>
      </w:rPr>
      <w:t>PathFdR</w:t>
    </w:r>
    <w:r>
      <w:rPr>
        <w:rStyle w:val="HideTWBExt"/>
      </w:rPr>
      <w:t>&gt;</w:t>
    </w:r>
    <w:r>
      <w:t>PR\1316296LT.docx</w:t>
    </w:r>
    <w:r>
      <w:rPr>
        <w:rStyle w:val="HideTWBExt"/>
      </w:rPr>
      <w:t>&lt;/</w:t>
    </w:r>
    <w:r>
      <w:rPr>
        <w:rStyle w:val="HideTWBExt"/>
      </w:rPr>
      <w:t>PathFdR</w:t>
    </w:r>
    <w:r>
      <w:rPr>
        <w:rStyle w:val="HideTWBExt"/>
      </w:rPr>
      <w:t>&gt;</w:t>
    </w:r>
    <w:r>
      <w:tab/>
    </w:r>
    <w:r>
      <w:tab/>
    </w:r>
    <w:r>
      <w:t>PE</w:t>
    </w:r>
    <w:r>
      <w:rPr>
        <w:rStyle w:val="HideTWBExt"/>
      </w:rPr>
      <w:t>&lt;</w:t>
    </w:r>
    <w:r>
      <w:rPr>
        <w:rStyle w:val="HideTWBExt"/>
      </w:rPr>
      <w:t>NoPE</w:t>
    </w:r>
    <w:r>
      <w:rPr>
        <w:rStyle w:val="HideTWBExt"/>
      </w:rPr>
      <w:t>&gt;</w:t>
    </w:r>
    <w:r>
      <w:t>770.093</w:t>
    </w:r>
    <w:r>
      <w:rPr>
        <w:rStyle w:val="HideTWBExt"/>
      </w:rPr>
      <w:t>&lt;/</w:t>
    </w:r>
    <w:r>
      <w:rPr>
        <w:rStyle w:val="HideTWBExt"/>
      </w:rPr>
      <w:t>NoPE</w:t>
    </w:r>
    <w:r>
      <w:rPr>
        <w:rStyle w:val="HideTWBExt"/>
      </w:rPr>
      <w:t>&gt;</w:t>
    </w:r>
    <w:r>
      <w:rPr>
        <w:rStyle w:val="HideTWBExt"/>
      </w:rPr>
      <w:t>&lt;</w:t>
    </w:r>
    <w:r>
      <w:rPr>
        <w:rStyle w:val="HideTWBExt"/>
      </w:rPr>
      <w:t>Version</w:t>
    </w:r>
    <w:r>
      <w:rPr>
        <w:rStyle w:val="HideTWBExt"/>
      </w:rPr>
      <w:t>&gt;</w:t>
    </w:r>
    <w:r>
      <w:t>v01-00</w:t>
    </w:r>
    <w:r>
      <w:rPr>
        <w:rStyle w:val="HideTWBExt"/>
      </w:rPr>
      <w:t>&lt;/</w:t>
    </w:r>
    <w:r>
      <w:rPr>
        <w:rStyle w:val="HideTWBExt"/>
      </w:rPr>
      <w:t>Version</w:t>
    </w:r>
    <w:r>
      <w:rPr>
        <w:rStyle w:val="HideTWBExt"/>
      </w:rPr>
      <w:t>&gt;</w:t>
    </w:r>
  </w:p>
  <w:p>
    <w:pPr>
      <w:pStyle w:val="EPFooter2"/>
    </w:pPr>
    <w:r>
      <w:t>LT</w:t>
    </w:r>
    <w:r>
      <w:tab/>
    </w:r>
    <w:r>
      <w:rPr>
        <w:rStyle w:val="EPFooter2Motto"/>
      </w:rPr>
      <w:t>Suvienijusi įvairovę</w:t>
    </w:r>
    <w:r>
      <w:tab/>
    </w:r>
    <w:r>
      <w:t>LT</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F654581"/>
    <w:multiLevelType w:val="hybridMultilevel"/>
    <w:tmpl w:val="F16C6036"/>
    <w:lvl w:ilvl="0">
      <w:start w:val="1"/>
      <w:numFmt w:val="bullet"/>
      <w:pStyle w:val="Normal12aBullet1"/>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
    <w:nsid w:val="6D6C09CF"/>
    <w:multiLevelType w:val="hybridMultilevel"/>
    <w:tmpl w:val="0DAA9F68"/>
    <w:lvl w:ilvl="0">
      <w:start w:val="1"/>
      <w:numFmt w:val="bullet"/>
      <w:pStyle w:val="Normal12aBullet2"/>
      <w:lvlText w:val="o"/>
      <w:lvlJc w:val="left"/>
      <w:pPr>
        <w:ind w:left="1080" w:hanging="360"/>
      </w:pPr>
      <w:rPr>
        <w:rFonts w:ascii="Courier New" w:hAnsi="Courier New" w:cs="Courier New" w:hint="default"/>
      </w:rPr>
    </w:lvl>
    <w:lvl w:ilvl="1" w:tentative="1">
      <w:start w:val="1"/>
      <w:numFmt w:val="bullet"/>
      <w:lvlText w:val="o"/>
      <w:lvlJc w:val="left"/>
      <w:pPr>
        <w:ind w:left="1800" w:hanging="360"/>
      </w:pPr>
      <w:rPr>
        <w:rFonts w:ascii="Courier New" w:hAnsi="Courier New" w:cs="Courier New" w:hint="default"/>
      </w:rPr>
    </w:lvl>
    <w:lvl w:ilvl="2" w:tentative="1">
      <w:start w:val="1"/>
      <w:numFmt w:val="bullet"/>
      <w:lvlText w:val=""/>
      <w:lvlJc w:val="left"/>
      <w:pPr>
        <w:ind w:left="2520" w:hanging="360"/>
      </w:pPr>
      <w:rPr>
        <w:rFonts w:ascii="Wingdings" w:hAnsi="Wingdings" w:hint="default"/>
      </w:rPr>
    </w:lvl>
    <w:lvl w:ilvl="3" w:tentative="1">
      <w:start w:val="1"/>
      <w:numFmt w:val="bullet"/>
      <w:lvlText w:val=""/>
      <w:lvlJc w:val="left"/>
      <w:pPr>
        <w:ind w:left="3240" w:hanging="360"/>
      </w:pPr>
      <w:rPr>
        <w:rFonts w:ascii="Symbol" w:hAnsi="Symbol" w:hint="default"/>
      </w:rPr>
    </w:lvl>
    <w:lvl w:ilvl="4" w:tentative="1">
      <w:start w:val="1"/>
      <w:numFmt w:val="bullet"/>
      <w:lvlText w:val="o"/>
      <w:lvlJc w:val="left"/>
      <w:pPr>
        <w:ind w:left="3960" w:hanging="360"/>
      </w:pPr>
      <w:rPr>
        <w:rFonts w:ascii="Courier New" w:hAnsi="Courier New" w:cs="Courier New" w:hint="default"/>
      </w:rPr>
    </w:lvl>
    <w:lvl w:ilvl="5" w:tentative="1">
      <w:start w:val="1"/>
      <w:numFmt w:val="bullet"/>
      <w:lvlText w:val=""/>
      <w:lvlJc w:val="left"/>
      <w:pPr>
        <w:ind w:left="4680" w:hanging="360"/>
      </w:pPr>
      <w:rPr>
        <w:rFonts w:ascii="Wingdings" w:hAnsi="Wingdings" w:hint="default"/>
      </w:rPr>
    </w:lvl>
    <w:lvl w:ilvl="6" w:tentative="1">
      <w:start w:val="1"/>
      <w:numFmt w:val="bullet"/>
      <w:lvlText w:val=""/>
      <w:lvlJc w:val="left"/>
      <w:pPr>
        <w:ind w:left="5400" w:hanging="360"/>
      </w:pPr>
      <w:rPr>
        <w:rFonts w:ascii="Symbol" w:hAnsi="Symbol" w:hint="default"/>
      </w:rPr>
    </w:lvl>
    <w:lvl w:ilvl="7" w:tentative="1">
      <w:start w:val="1"/>
      <w:numFmt w:val="bullet"/>
      <w:lvlText w:val="o"/>
      <w:lvlJc w:val="left"/>
      <w:pPr>
        <w:ind w:left="6120" w:hanging="360"/>
      </w:pPr>
      <w:rPr>
        <w:rFonts w:ascii="Courier New" w:hAnsi="Courier New" w:cs="Courier New" w:hint="default"/>
      </w:rPr>
    </w:lvl>
    <w:lvl w:ilvl="8" w:tentative="1">
      <w:start w:val="1"/>
      <w:numFmt w:val="bullet"/>
      <w:lvlText w:val=""/>
      <w:lvlJc w:val="left"/>
      <w:pPr>
        <w:ind w:left="6840" w:hanging="360"/>
      </w:pPr>
      <w:rPr>
        <w:rFonts w:ascii="Wingdings" w:hAnsi="Wingdings" w:hint="default"/>
      </w:r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mirrorMargins/>
  <w:proofState w:grammar="clean"/>
  <w:stylePaneFormatFilter w:val="3F01"/>
  <w:defaultTabStop w:val="720"/>
  <w:evenAndOddHeaders/>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A77B3E"/>
    <w:rsid w:val="00A77B3E"/>
    <w:rsid w:val="00CA2A55"/>
  </w:rsids>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pPr>
      <w:widowControl w:val="0"/>
    </w:pPr>
    <w:rPr>
      <w:snapToGrid w:val="0"/>
      <w:sz w:val="24"/>
      <w:lang w:eastAsia="en-US"/>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semiHidden/>
    <w:unhideWhenUsed/>
  </w:style>
  <w:style w:type="table" w:default="1" w:styleId="TableNormal">
    <w:name w:val="Normal Table"/>
    <w:semiHidden/>
    <w:unhideWhenUsed/>
    <w:tblPr>
      <w:tblInd w:w="0" w:type="dxa"/>
      <w:tblCellMar>
        <w:top w:w="0" w:type="dxa"/>
        <w:left w:w="108" w:type="dxa"/>
        <w:bottom w:w="0" w:type="dxa"/>
        <w:right w:w="108" w:type="dxa"/>
      </w:tblCellMar>
    </w:tblPr>
  </w:style>
  <w:style w:type="numbering" w:default="1" w:styleId="NoList">
    <w:name w:val="No List"/>
    <w:semiHidden/>
    <w:unhideWhenUsed/>
  </w:style>
  <w:style w:type="character" w:customStyle="1" w:styleId="HideTWBExt">
    <w:name w:val="HideTWBExt"/>
    <w:rPr>
      <w:rFonts w:ascii="Arial" w:hAnsi="Arial"/>
      <w:noProof/>
      <w:vanish/>
      <w:color w:val="000080"/>
      <w:sz w:val="20"/>
    </w:rPr>
  </w:style>
  <w:style w:type="paragraph" w:customStyle="1" w:styleId="EPComma">
    <w:name w:val="EPComma"/>
    <w:basedOn w:val="Normal"/>
    <w:rsid w:val="006A5366"/>
    <w:pPr>
      <w:spacing w:before="480" w:after="240"/>
    </w:pPr>
  </w:style>
  <w:style w:type="paragraph" w:customStyle="1" w:styleId="CoverNormal">
    <w:name w:val="CoverNormal"/>
    <w:basedOn w:val="Normal"/>
    <w:pPr>
      <w:ind w:left="1418"/>
    </w:pPr>
  </w:style>
  <w:style w:type="paragraph" w:customStyle="1" w:styleId="TOCRight">
    <w:name w:val="TOC Right"/>
    <w:basedOn w:val="Normal"/>
    <w:rsid w:val="00E839D9"/>
    <w:pPr>
      <w:spacing w:after="240"/>
      <w:jc w:val="right"/>
    </w:pPr>
  </w:style>
  <w:style w:type="paragraph" w:customStyle="1" w:styleId="CoverDateRefPart">
    <w:name w:val="CoverDateRefPart"/>
    <w:basedOn w:val="Normal"/>
    <w:rsid w:val="00C5424C"/>
    <w:pPr>
      <w:spacing w:after="1200"/>
    </w:pPr>
  </w:style>
  <w:style w:type="paragraph" w:customStyle="1" w:styleId="EPName">
    <w:name w:val="EPName"/>
    <w:basedOn w:val="Normal"/>
    <w:rsid w:val="00D16E15"/>
    <w:pPr>
      <w:spacing w:before="80" w:after="80"/>
    </w:pPr>
    <w:rPr>
      <w:rFonts w:ascii="Arial Narrow" w:hAnsi="Arial Narrow" w:cs="Arial"/>
      <w:b/>
      <w:snapToGrid/>
      <w:sz w:val="32"/>
      <w:szCs w:val="22"/>
      <w:lang w:eastAsia="en-GB"/>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FootnoteText">
    <w:name w:val="footnote text"/>
    <w:basedOn w:val="Normal"/>
    <w:semiHidden/>
    <w:rPr>
      <w:sz w:val="20"/>
    </w:rPr>
  </w:style>
  <w:style w:type="paragraph" w:customStyle="1" w:styleId="NormalBold">
    <w:name w:val="NormalBold"/>
    <w:basedOn w:val="Normal"/>
    <w:rsid w:val="006A5366"/>
    <w:rPr>
      <w:b/>
    </w:rPr>
  </w:style>
  <w:style w:type="paragraph" w:customStyle="1" w:styleId="CoverReference">
    <w:name w:val="CoverReference"/>
    <w:basedOn w:val="Normal"/>
    <w:rsid w:val="00791131"/>
    <w:pPr>
      <w:spacing w:before="1080"/>
      <w:jc w:val="right"/>
    </w:pPr>
    <w:rPr>
      <w:rFonts w:ascii="Arial" w:hAnsi="Arial" w:cs="Arial"/>
      <w:b/>
    </w:rPr>
  </w:style>
  <w:style w:type="paragraph" w:customStyle="1" w:styleId="CoverNormal24a">
    <w:name w:val="CoverNormal24a"/>
    <w:basedOn w:val="Normal"/>
    <w:rsid w:val="00D20BEB"/>
    <w:pPr>
      <w:spacing w:after="480"/>
      <w:ind w:left="1417"/>
    </w:pPr>
  </w:style>
  <w:style w:type="paragraph" w:styleId="TOC1">
    <w:name w:val="toc 1"/>
    <w:basedOn w:val="Normal"/>
    <w:next w:val="Normal"/>
    <w:autoRedefine/>
    <w:uiPriority w:val="39"/>
    <w:rsid w:val="00E57F92"/>
    <w:pPr>
      <w:spacing w:after="240"/>
    </w:pPr>
  </w:style>
  <w:style w:type="paragraph" w:customStyle="1" w:styleId="TOCPage">
    <w:name w:val="TOC Page"/>
    <w:basedOn w:val="Normal"/>
    <w:next w:val="TOC1"/>
    <w:rsid w:val="004302F8"/>
    <w:pPr>
      <w:keepNext/>
      <w:spacing w:after="240"/>
      <w:jc w:val="right"/>
    </w:pPr>
    <w:rPr>
      <w:rFonts w:ascii="Arial" w:hAnsi="Arial"/>
      <w:b/>
    </w:rPr>
  </w:style>
  <w:style w:type="paragraph" w:customStyle="1" w:styleId="CoverDocType24a">
    <w:name w:val="CoverDocType24a"/>
    <w:basedOn w:val="Normal"/>
    <w:rsid w:val="00F03FCA"/>
    <w:pPr>
      <w:spacing w:after="480"/>
      <w:ind w:left="1418"/>
    </w:pPr>
    <w:rPr>
      <w:rFonts w:ascii="Arial" w:hAnsi="Arial"/>
      <w:b/>
      <w:sz w:val="48"/>
    </w:rPr>
  </w:style>
  <w:style w:type="character" w:customStyle="1" w:styleId="HideTWBInt">
    <w:name w:val="HideTWBInt"/>
    <w:rPr>
      <w:rFonts w:ascii="Arial" w:hAnsi="Arial" w:cs="Arial"/>
      <w:vanish/>
      <w:color w:val="808080"/>
      <w:sz w:val="20"/>
    </w:rPr>
  </w:style>
  <w:style w:type="paragraph" w:styleId="TOC2">
    <w:name w:val="toc 2"/>
    <w:basedOn w:val="Normal"/>
    <w:next w:val="Normal"/>
    <w:autoRedefine/>
    <w:semiHidden/>
    <w:pPr>
      <w:ind w:left="240"/>
    </w:pPr>
  </w:style>
  <w:style w:type="paragraph" w:customStyle="1" w:styleId="NormalHanging12a">
    <w:name w:val="NormalHanging12a"/>
    <w:basedOn w:val="Normal"/>
    <w:rsid w:val="00572801"/>
    <w:pPr>
      <w:widowControl/>
      <w:spacing w:after="240"/>
      <w:ind w:left="567" w:hanging="567"/>
    </w:pPr>
  </w:style>
  <w:style w:type="paragraph" w:styleId="TOC3">
    <w:name w:val="toc 3"/>
    <w:basedOn w:val="Normal"/>
    <w:next w:val="Normal"/>
    <w:autoRedefine/>
    <w:semiHidden/>
    <w:pPr>
      <w:ind w:left="480"/>
    </w:pPr>
  </w:style>
  <w:style w:type="paragraph" w:styleId="TOC4">
    <w:name w:val="toc 4"/>
    <w:basedOn w:val="Normal"/>
    <w:next w:val="Normal"/>
    <w:autoRedefine/>
    <w:semiHidden/>
    <w:pPr>
      <w:ind w:left="720"/>
    </w:pPr>
  </w:style>
  <w:style w:type="paragraph" w:customStyle="1" w:styleId="PageHeading">
    <w:name w:val="PageHeading"/>
    <w:basedOn w:val="Normal"/>
    <w:rsid w:val="00F03FCA"/>
    <w:pPr>
      <w:keepNext/>
      <w:spacing w:after="480"/>
      <w:jc w:val="center"/>
    </w:pPr>
    <w:rPr>
      <w:rFonts w:ascii="Arial" w:hAnsi="Arial" w:cs="Arial"/>
      <w:b/>
    </w:rPr>
  </w:style>
  <w:style w:type="paragraph" w:styleId="TOC5">
    <w:name w:val="toc 5"/>
    <w:basedOn w:val="Normal"/>
    <w:next w:val="Normal"/>
    <w:autoRedefine/>
    <w:semiHidden/>
    <w:pPr>
      <w:ind w:left="960"/>
    </w:pPr>
  </w:style>
  <w:style w:type="paragraph" w:styleId="TOC6">
    <w:name w:val="toc 6"/>
    <w:basedOn w:val="Normal"/>
    <w:next w:val="Normal"/>
    <w:autoRedefine/>
    <w:semiHidden/>
    <w:pPr>
      <w:ind w:left="1200"/>
    </w:pPr>
  </w:style>
  <w:style w:type="paragraph" w:styleId="TOC7">
    <w:name w:val="toc 7"/>
    <w:basedOn w:val="Normal"/>
    <w:next w:val="Normal"/>
    <w:autoRedefine/>
    <w:semiHidden/>
    <w:pPr>
      <w:ind w:left="1440"/>
    </w:pPr>
  </w:style>
  <w:style w:type="paragraph" w:styleId="TOC8">
    <w:name w:val="toc 8"/>
    <w:basedOn w:val="Normal"/>
    <w:next w:val="Normal"/>
    <w:autoRedefine/>
    <w:semiHidden/>
    <w:pPr>
      <w:ind w:left="1680"/>
    </w:pPr>
  </w:style>
  <w:style w:type="paragraph" w:styleId="TOC9">
    <w:name w:val="toc 9"/>
    <w:basedOn w:val="Normal"/>
    <w:next w:val="Normal"/>
    <w:autoRedefine/>
    <w:semiHidden/>
    <w:pPr>
      <w:ind w:left="1920"/>
    </w:pPr>
  </w:style>
  <w:style w:type="paragraph" w:customStyle="1" w:styleId="TOCSubHeading">
    <w:name w:val="TOC SubHeading"/>
    <w:basedOn w:val="Normal"/>
    <w:rsid w:val="00F03FCA"/>
    <w:pPr>
      <w:spacing w:before="480" w:after="240"/>
    </w:pPr>
    <w:rPr>
      <w:b/>
    </w:rPr>
  </w:style>
  <w:style w:type="paragraph" w:customStyle="1" w:styleId="TOCTabLeader">
    <w:name w:val="TOC TabLeader"/>
    <w:basedOn w:val="Normal"/>
    <w:rsid w:val="00E839D9"/>
    <w:pPr>
      <w:tabs>
        <w:tab w:val="left" w:leader="dot" w:pos="5954"/>
      </w:tabs>
      <w:spacing w:after="240"/>
    </w:pPr>
  </w:style>
  <w:style w:type="paragraph" w:customStyle="1" w:styleId="CoverNormalHanging">
    <w:name w:val="CoverNormalHanging"/>
    <w:basedOn w:val="Normal"/>
    <w:rsid w:val="00BF1100"/>
    <w:pPr>
      <w:ind w:left="3686" w:hanging="2268"/>
    </w:pPr>
  </w:style>
  <w:style w:type="paragraph" w:styleId="TOCHeading">
    <w:name w:val="TOC Heading"/>
    <w:basedOn w:val="Normal"/>
    <w:next w:val="TOCPage"/>
    <w:rsid w:val="007F2104"/>
    <w:pPr>
      <w:keepNext/>
      <w:spacing w:before="240" w:after="240"/>
      <w:jc w:val="center"/>
    </w:pPr>
    <w:rPr>
      <w:rFonts w:ascii="Arial" w:hAnsi="Arial"/>
      <w:b/>
      <w:snapToGrid/>
      <w:lang w:eastAsia="en-GB"/>
    </w:rPr>
  </w:style>
  <w:style w:type="table" w:styleId="TableGrid">
    <w:name w:val="Table Grid"/>
    <w:basedOn w:val="TableNormal"/>
    <w:rsid w:val="00F732B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F03FCA"/>
    <w:pPr>
      <w:jc w:val="center"/>
    </w:pPr>
    <w:rPr>
      <w:rFonts w:ascii="Arial" w:hAnsi="Arial" w:cs="Arial"/>
      <w:i/>
      <w:snapToGrid/>
      <w:sz w:val="22"/>
      <w:szCs w:val="22"/>
      <w:lang w:eastAsia="en-GB"/>
    </w:rPr>
  </w:style>
  <w:style w:type="paragraph" w:customStyle="1" w:styleId="LineTop">
    <w:name w:val="LineTop"/>
    <w:basedOn w:val="Normal"/>
    <w:next w:val="Normal"/>
    <w:rsid w:val="00F732B6"/>
    <w:pPr>
      <w:pBdr>
        <w:top w:val="single" w:sz="4" w:space="1" w:color="auto"/>
      </w:pBdr>
      <w:jc w:val="center"/>
    </w:pPr>
    <w:rPr>
      <w:rFonts w:ascii="Arial" w:hAnsi="Arial" w:cs="Arial"/>
      <w:snapToGrid/>
      <w:sz w:val="16"/>
      <w:szCs w:val="16"/>
      <w:lang w:eastAsia="en-GB"/>
    </w:rPr>
  </w:style>
  <w:style w:type="paragraph" w:customStyle="1" w:styleId="LineBottom">
    <w:name w:val="LineBottom"/>
    <w:basedOn w:val="Normal"/>
    <w:next w:val="Normal"/>
    <w:rsid w:val="00791131"/>
    <w:pPr>
      <w:pBdr>
        <w:bottom w:val="single" w:sz="4" w:space="1" w:color="auto"/>
      </w:pBdr>
      <w:spacing w:after="240"/>
      <w:jc w:val="center"/>
    </w:pPr>
    <w:rPr>
      <w:rFonts w:ascii="Arial" w:hAnsi="Arial" w:cs="Arial"/>
      <w:snapToGrid/>
      <w:sz w:val="16"/>
      <w:szCs w:val="16"/>
      <w:lang w:eastAsia="en-GB"/>
    </w:rPr>
  </w:style>
  <w:style w:type="paragraph" w:customStyle="1" w:styleId="EPTerm">
    <w:name w:val="EPTerm"/>
    <w:basedOn w:val="Normal"/>
    <w:next w:val="Normal"/>
    <w:rsid w:val="00D16E15"/>
    <w:pPr>
      <w:spacing w:after="80"/>
    </w:pPr>
    <w:rPr>
      <w:rFonts w:ascii="Arial" w:hAnsi="Arial" w:cs="Arial"/>
      <w:snapToGrid/>
      <w:sz w:val="20"/>
      <w:szCs w:val="22"/>
      <w:lang w:eastAsia="en-GB"/>
    </w:rPr>
  </w:style>
  <w:style w:type="paragraph" w:customStyle="1" w:styleId="EPLogo">
    <w:name w:val="EPLogo"/>
    <w:basedOn w:val="Normal"/>
    <w:qFormat/>
    <w:rsid w:val="00D16E15"/>
    <w:pPr>
      <w:jc w:val="right"/>
    </w:pPr>
    <w:rPr>
      <w:snapToGrid/>
      <w:lang w:eastAsia="en-GB"/>
    </w:rPr>
  </w:style>
  <w:style w:type="paragraph" w:customStyle="1" w:styleId="CoverRefPart">
    <w:name w:val="CoverRefPart"/>
    <w:basedOn w:val="Normal"/>
    <w:rsid w:val="00577455"/>
    <w:pPr>
      <w:jc w:val="right"/>
    </w:pPr>
    <w:rPr>
      <w:rFonts w:ascii="Arial" w:hAnsi="Arial"/>
    </w:rPr>
  </w:style>
  <w:style w:type="paragraph" w:customStyle="1" w:styleId="Subheading">
    <w:name w:val="Subheading"/>
    <w:basedOn w:val="Normal"/>
    <w:rsid w:val="0065571D"/>
    <w:pPr>
      <w:spacing w:before="480" w:after="240"/>
    </w:pPr>
    <w:rPr>
      <w:b/>
      <w:bCs/>
      <w:i/>
      <w:iCs/>
    </w:rPr>
  </w:style>
  <w:style w:type="paragraph" w:customStyle="1" w:styleId="EPFooter">
    <w:name w:val="EPFooter"/>
    <w:basedOn w:val="Normal"/>
    <w:rsid w:val="007C663F"/>
    <w:pPr>
      <w:tabs>
        <w:tab w:val="center" w:pos="4535"/>
        <w:tab w:val="right" w:pos="9071"/>
      </w:tabs>
      <w:spacing w:before="240" w:after="240"/>
    </w:pPr>
    <w:rPr>
      <w:sz w:val="22"/>
    </w:rPr>
  </w:style>
  <w:style w:type="paragraph" w:styleId="Header">
    <w:name w:val="header"/>
    <w:basedOn w:val="Normal"/>
    <w:link w:val="HeaderChar"/>
    <w:semiHidden/>
    <w:rsid w:val="007C663F"/>
    <w:pPr>
      <w:tabs>
        <w:tab w:val="center" w:pos="4513"/>
        <w:tab w:val="right" w:pos="9026"/>
      </w:tabs>
    </w:pPr>
  </w:style>
  <w:style w:type="character" w:customStyle="1" w:styleId="HeaderChar">
    <w:name w:val="Header Char"/>
    <w:basedOn w:val="DefaultParagraphFont"/>
    <w:link w:val="Header"/>
    <w:semiHidden/>
    <w:rsid w:val="00791131"/>
    <w:rPr>
      <w:snapToGrid w:val="0"/>
      <w:sz w:val="24"/>
      <w:lang w:eastAsia="en-US"/>
    </w:rPr>
  </w:style>
  <w:style w:type="character" w:styleId="PageNumber">
    <w:name w:val="page number"/>
    <w:basedOn w:val="DefaultParagraphFont"/>
    <w:semiHidden/>
    <w:rsid w:val="00131752"/>
  </w:style>
  <w:style w:type="paragraph" w:customStyle="1" w:styleId="AmColumnHeading">
    <w:name w:val="AmColumnHeading"/>
    <w:basedOn w:val="Normal"/>
    <w:rsid w:val="00B47478"/>
    <w:pPr>
      <w:spacing w:after="240"/>
      <w:jc w:val="center"/>
    </w:pPr>
    <w:rPr>
      <w:i/>
      <w:snapToGrid/>
      <w:lang w:eastAsia="en-GB"/>
    </w:rPr>
  </w:style>
  <w:style w:type="paragraph" w:customStyle="1" w:styleId="AmCrossRef">
    <w:name w:val="AmCrossRef"/>
    <w:basedOn w:val="Normal"/>
    <w:rsid w:val="00B47478"/>
    <w:pPr>
      <w:spacing w:before="240" w:after="240"/>
      <w:jc w:val="center"/>
    </w:pPr>
    <w:rPr>
      <w:i/>
      <w:snapToGrid/>
      <w:lang w:eastAsia="en-GB"/>
    </w:rPr>
  </w:style>
  <w:style w:type="paragraph" w:customStyle="1" w:styleId="AmJustText">
    <w:name w:val="AmJustText"/>
    <w:basedOn w:val="Normal"/>
    <w:rsid w:val="00B47478"/>
    <w:pPr>
      <w:spacing w:after="240"/>
    </w:pPr>
    <w:rPr>
      <w:i/>
      <w:snapToGrid/>
      <w:lang w:eastAsia="en-GB"/>
    </w:rPr>
  </w:style>
  <w:style w:type="paragraph" w:customStyle="1" w:styleId="AmJustTitle">
    <w:name w:val="AmJustTitle"/>
    <w:basedOn w:val="Normal"/>
    <w:next w:val="AmJustText"/>
    <w:rsid w:val="00B47478"/>
    <w:pPr>
      <w:keepNext/>
      <w:spacing w:before="240" w:after="240"/>
      <w:jc w:val="center"/>
    </w:pPr>
    <w:rPr>
      <w:i/>
      <w:snapToGrid/>
      <w:lang w:eastAsia="en-GB"/>
    </w:rPr>
  </w:style>
  <w:style w:type="paragraph" w:customStyle="1" w:styleId="AmNumberTabs">
    <w:name w:val="AmNumberTabs"/>
    <w:basedOn w:val="Normal"/>
    <w:rsid w:val="00B47478"/>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snapToGrid/>
      <w:lang w:eastAsia="en-GB"/>
    </w:rPr>
  </w:style>
  <w:style w:type="paragraph" w:customStyle="1" w:styleId="AmOrLang">
    <w:name w:val="AmOrLang"/>
    <w:basedOn w:val="Normal"/>
    <w:rsid w:val="00B47478"/>
    <w:pPr>
      <w:spacing w:before="240" w:after="240"/>
      <w:jc w:val="right"/>
    </w:pPr>
    <w:rPr>
      <w:snapToGrid/>
      <w:lang w:eastAsia="en-GB"/>
    </w:rPr>
  </w:style>
  <w:style w:type="paragraph" w:customStyle="1" w:styleId="AnnexWPDate">
    <w:name w:val="AnnexWPDate"/>
    <w:basedOn w:val="Normal"/>
    <w:rsid w:val="00B47478"/>
    <w:pPr>
      <w:spacing w:before="240" w:after="480"/>
      <w:jc w:val="right"/>
    </w:pPr>
    <w:rPr>
      <w:snapToGrid/>
      <w:lang w:eastAsia="en-GB"/>
    </w:rPr>
  </w:style>
  <w:style w:type="paragraph" w:customStyle="1" w:styleId="AnnexWPDocType">
    <w:name w:val="AnnexWPDocType"/>
    <w:basedOn w:val="Normal"/>
    <w:rsid w:val="00B47478"/>
    <w:pPr>
      <w:spacing w:after="240"/>
      <w:jc w:val="center"/>
    </w:pPr>
    <w:rPr>
      <w:b/>
      <w:snapToGrid/>
      <w:lang w:eastAsia="en-GB"/>
    </w:rPr>
  </w:style>
  <w:style w:type="paragraph" w:customStyle="1" w:styleId="AnnexWPLogo">
    <w:name w:val="AnnexWPLogo"/>
    <w:basedOn w:val="Normal"/>
    <w:rsid w:val="00B47478"/>
    <w:pPr>
      <w:spacing w:before="120" w:after="120"/>
    </w:pPr>
    <w:rPr>
      <w:snapToGrid/>
      <w:lang w:eastAsia="en-GB"/>
    </w:rPr>
  </w:style>
  <w:style w:type="paragraph" w:customStyle="1" w:styleId="AnnexWPSmall">
    <w:name w:val="AnnexWPSmall"/>
    <w:basedOn w:val="Normal"/>
    <w:rsid w:val="00B47478"/>
    <w:rPr>
      <w:smallCaps/>
      <w:snapToGrid/>
      <w:sz w:val="20"/>
      <w:lang w:eastAsia="en-GB"/>
    </w:rPr>
  </w:style>
  <w:style w:type="paragraph" w:customStyle="1" w:styleId="AnnexWPTabs">
    <w:name w:val="AnnexWPTabs"/>
    <w:basedOn w:val="Normal"/>
    <w:rsid w:val="00B47478"/>
    <w:pPr>
      <w:tabs>
        <w:tab w:val="right" w:pos="3686"/>
        <w:tab w:val="left" w:pos="3827"/>
      </w:tabs>
    </w:pPr>
    <w:rPr>
      <w:b/>
      <w:snapToGrid/>
      <w:lang w:eastAsia="en-GB"/>
    </w:rPr>
  </w:style>
  <w:style w:type="paragraph" w:customStyle="1" w:styleId="AnnexWPTitle">
    <w:name w:val="AnnexWPTitle"/>
    <w:basedOn w:val="Normal"/>
    <w:rsid w:val="00B47478"/>
    <w:pPr>
      <w:spacing w:before="480"/>
    </w:pPr>
    <w:rPr>
      <w:b/>
      <w:snapToGrid/>
      <w:lang w:eastAsia="en-GB"/>
    </w:rPr>
  </w:style>
  <w:style w:type="paragraph" w:customStyle="1" w:styleId="AmHeadingConsam">
    <w:name w:val="AmHeadingConsam"/>
    <w:basedOn w:val="Normal"/>
    <w:next w:val="Normal"/>
    <w:rsid w:val="00B47478"/>
    <w:pPr>
      <w:spacing w:before="720" w:after="240"/>
      <w:jc w:val="center"/>
    </w:pPr>
    <w:rPr>
      <w:snapToGrid/>
      <w:lang w:eastAsia="en-GB"/>
    </w:rPr>
  </w:style>
  <w:style w:type="paragraph" w:customStyle="1" w:styleId="CoverNormal12a">
    <w:name w:val="CoverNormal12a"/>
    <w:basedOn w:val="Normal"/>
    <w:rsid w:val="00B47478"/>
    <w:pPr>
      <w:spacing w:after="240"/>
      <w:ind w:left="1418"/>
    </w:pPr>
    <w:rPr>
      <w:snapToGrid/>
      <w:lang w:eastAsia="en-GB"/>
    </w:rPr>
  </w:style>
  <w:style w:type="paragraph" w:customStyle="1" w:styleId="Confidential">
    <w:name w:val="Confidential"/>
    <w:basedOn w:val="Normal"/>
    <w:rsid w:val="00B47478"/>
    <w:pPr>
      <w:spacing w:before="120" w:after="120"/>
      <w:jc w:val="center"/>
    </w:pPr>
    <w:rPr>
      <w:rFonts w:ascii="Arial" w:hAnsi="Arial"/>
      <w:caps/>
      <w:snapToGrid/>
      <w:lang w:eastAsia="en-GB"/>
    </w:rPr>
  </w:style>
  <w:style w:type="paragraph" w:customStyle="1" w:styleId="CoverReferenceIMM">
    <w:name w:val="CoverReferenceIMM"/>
    <w:basedOn w:val="Normal"/>
    <w:rsid w:val="00B47478"/>
    <w:pPr>
      <w:spacing w:before="360"/>
      <w:jc w:val="right"/>
    </w:pPr>
    <w:rPr>
      <w:rFonts w:ascii="Arial" w:hAnsi="Arial"/>
      <w:b/>
      <w:snapToGrid/>
      <w:lang w:eastAsia="en-GB"/>
    </w:rPr>
  </w:style>
  <w:style w:type="paragraph" w:customStyle="1" w:styleId="CoverDate">
    <w:name w:val="CoverDate"/>
    <w:basedOn w:val="Normal"/>
    <w:rsid w:val="00B47478"/>
    <w:pPr>
      <w:spacing w:before="240" w:after="1200"/>
    </w:pPr>
    <w:rPr>
      <w:snapToGrid/>
      <w:lang w:eastAsia="en-GB"/>
    </w:rPr>
  </w:style>
  <w:style w:type="paragraph" w:customStyle="1" w:styleId="CoverDocType">
    <w:name w:val="CoverDocType"/>
    <w:basedOn w:val="Normal"/>
    <w:rsid w:val="00B47478"/>
    <w:pPr>
      <w:ind w:left="1418"/>
    </w:pPr>
    <w:rPr>
      <w:rFonts w:ascii="Arial" w:hAnsi="Arial"/>
      <w:b/>
      <w:snapToGrid/>
      <w:sz w:val="48"/>
      <w:lang w:eastAsia="en-GB"/>
    </w:rPr>
  </w:style>
  <w:style w:type="character" w:styleId="FootnoteReference">
    <w:name w:val="footnote reference"/>
    <w:rsid w:val="00B47478"/>
    <w:rPr>
      <w:vertAlign w:val="superscript"/>
    </w:rPr>
  </w:style>
  <w:style w:type="paragraph" w:customStyle="1" w:styleId="NormalBold12a">
    <w:name w:val="NormalBold12a"/>
    <w:basedOn w:val="Normal"/>
    <w:rsid w:val="00B47478"/>
    <w:pPr>
      <w:spacing w:after="240"/>
    </w:pPr>
    <w:rPr>
      <w:b/>
      <w:snapToGrid/>
      <w:lang w:eastAsia="en-GB"/>
    </w:rPr>
  </w:style>
  <w:style w:type="paragraph" w:customStyle="1" w:styleId="NormalCenter12a">
    <w:name w:val="NormalCenter12a"/>
    <w:basedOn w:val="Normal"/>
    <w:rsid w:val="00B47478"/>
    <w:pPr>
      <w:spacing w:after="240"/>
      <w:jc w:val="center"/>
    </w:pPr>
    <w:rPr>
      <w:snapToGrid/>
      <w:lang w:eastAsia="en-GB"/>
    </w:rPr>
  </w:style>
  <w:style w:type="paragraph" w:customStyle="1" w:styleId="Normal6a">
    <w:name w:val="Normal6a"/>
    <w:basedOn w:val="Normal"/>
    <w:rsid w:val="00B47478"/>
    <w:pPr>
      <w:spacing w:after="120"/>
    </w:pPr>
    <w:rPr>
      <w:snapToGrid/>
      <w:lang w:eastAsia="en-GB"/>
    </w:rPr>
  </w:style>
  <w:style w:type="paragraph" w:customStyle="1" w:styleId="NormalBold12b">
    <w:name w:val="NormalBold12b"/>
    <w:basedOn w:val="Normal"/>
    <w:rsid w:val="00B47478"/>
    <w:pPr>
      <w:spacing w:before="240"/>
    </w:pPr>
    <w:rPr>
      <w:b/>
      <w:snapToGrid/>
      <w:lang w:eastAsia="en-GB"/>
    </w:rPr>
  </w:style>
  <w:style w:type="paragraph" w:customStyle="1" w:styleId="Arial14CentreBold">
    <w:name w:val="Arial14CentreBold"/>
    <w:basedOn w:val="Normal"/>
    <w:qFormat/>
    <w:rsid w:val="00A75A20"/>
    <w:pPr>
      <w:jc w:val="center"/>
    </w:pPr>
    <w:rPr>
      <w:rFonts w:ascii="Arial" w:hAnsi="Arial" w:cs="Arial"/>
      <w:b/>
      <w:snapToGrid/>
      <w:sz w:val="28"/>
      <w:szCs w:val="28"/>
      <w:lang w:eastAsia="en-GB"/>
    </w:rPr>
  </w:style>
  <w:style w:type="character" w:customStyle="1" w:styleId="Bold">
    <w:name w:val="Bold"/>
    <w:uiPriority w:val="1"/>
    <w:rsid w:val="0065571D"/>
    <w:rPr>
      <w:b/>
    </w:rPr>
  </w:style>
  <w:style w:type="character" w:customStyle="1" w:styleId="BoldItalic">
    <w:name w:val="BoldItalic"/>
    <w:uiPriority w:val="1"/>
    <w:rsid w:val="0065571D"/>
    <w:rPr>
      <w:b/>
      <w:i/>
      <w:u w:val="none"/>
    </w:rPr>
  </w:style>
  <w:style w:type="character" w:customStyle="1" w:styleId="BoldItalicUnderline">
    <w:name w:val="BoldItalicUnderline"/>
    <w:uiPriority w:val="1"/>
    <w:rsid w:val="0065571D"/>
    <w:rPr>
      <w:b/>
      <w:i/>
      <w:u w:val="single"/>
    </w:rPr>
  </w:style>
  <w:style w:type="character" w:customStyle="1" w:styleId="BoldUnderline">
    <w:name w:val="BoldUnderline"/>
    <w:uiPriority w:val="1"/>
    <w:rsid w:val="0065571D"/>
    <w:rPr>
      <w:b/>
      <w:u w:val="single"/>
    </w:rPr>
  </w:style>
  <w:style w:type="paragraph" w:customStyle="1" w:styleId="CoverNormalLeft">
    <w:name w:val="CoverNormalLeft"/>
    <w:basedOn w:val="CoverNormal"/>
    <w:qFormat/>
    <w:rsid w:val="00A75A20"/>
    <w:pPr>
      <w:ind w:left="0"/>
    </w:pPr>
    <w:rPr>
      <w:snapToGrid/>
      <w:lang w:eastAsia="en-GB"/>
    </w:rPr>
  </w:style>
  <w:style w:type="paragraph" w:customStyle="1" w:styleId="EPFooter2Landscape">
    <w:name w:val="EPFooter2Landscape"/>
    <w:qFormat/>
    <w:rsid w:val="00A75A20"/>
    <w:pPr>
      <w:tabs>
        <w:tab w:val="center" w:pos="4536"/>
        <w:tab w:val="center" w:pos="9923"/>
        <w:tab w:val="right" w:pos="15026"/>
      </w:tabs>
    </w:pPr>
    <w:rPr>
      <w:rFonts w:ascii="Arial" w:hAnsi="Arial" w:cs="Arial"/>
      <w:b/>
      <w:sz w:val="48"/>
      <w:szCs w:val="22"/>
    </w:rPr>
  </w:style>
  <w:style w:type="character" w:customStyle="1" w:styleId="EPFooter2Motto">
    <w:name w:val="EPFooter2Motto"/>
    <w:uiPriority w:val="1"/>
    <w:qFormat/>
    <w:rsid w:val="002707F5"/>
    <w:rPr>
      <w:rFonts w:ascii="Arial" w:hAnsi="Arial"/>
      <w:b/>
      <w:i/>
      <w:color w:val="C0C0C0"/>
      <w:sz w:val="22"/>
    </w:rPr>
  </w:style>
  <w:style w:type="paragraph" w:customStyle="1" w:styleId="EPFooterLandscape">
    <w:name w:val="EPFooterLandscape"/>
    <w:qFormat/>
    <w:rsid w:val="00A75A20"/>
    <w:pPr>
      <w:tabs>
        <w:tab w:val="center" w:pos="6804"/>
        <w:tab w:val="right" w:pos="15026"/>
      </w:tabs>
    </w:pPr>
    <w:rPr>
      <w:sz w:val="22"/>
    </w:rPr>
  </w:style>
  <w:style w:type="character" w:customStyle="1" w:styleId="Italic">
    <w:name w:val="Italic"/>
    <w:uiPriority w:val="1"/>
    <w:rsid w:val="0065571D"/>
    <w:rPr>
      <w:i/>
    </w:rPr>
  </w:style>
  <w:style w:type="character" w:customStyle="1" w:styleId="ItalicUnderline">
    <w:name w:val="ItalicUnderline"/>
    <w:uiPriority w:val="1"/>
    <w:rsid w:val="0065571D"/>
    <w:rPr>
      <w:i/>
      <w:u w:val="single"/>
    </w:rPr>
  </w:style>
  <w:style w:type="paragraph" w:customStyle="1" w:styleId="LegendSign">
    <w:name w:val="LegendSign"/>
    <w:basedOn w:val="Normal"/>
    <w:qFormat/>
    <w:rsid w:val="00A75A20"/>
    <w:pPr>
      <w:tabs>
        <w:tab w:val="right" w:pos="454"/>
        <w:tab w:val="left" w:pos="737"/>
      </w:tabs>
      <w:ind w:left="737" w:hanging="737"/>
    </w:pPr>
    <w:rPr>
      <w:snapToGrid/>
      <w:sz w:val="18"/>
      <w:lang w:eastAsia="en-GB"/>
    </w:rPr>
  </w:style>
  <w:style w:type="paragraph" w:customStyle="1" w:styleId="LegendStandard">
    <w:name w:val="LegendStandard"/>
    <w:basedOn w:val="LegendSign"/>
    <w:qFormat/>
    <w:rsid w:val="00A75A20"/>
    <w:pPr>
      <w:ind w:left="0" w:firstLine="0"/>
    </w:pPr>
  </w:style>
  <w:style w:type="paragraph" w:customStyle="1" w:styleId="LegendTitle">
    <w:name w:val="LegendTitle"/>
    <w:basedOn w:val="Normal"/>
    <w:qFormat/>
    <w:rsid w:val="00A75A20"/>
    <w:pPr>
      <w:spacing w:before="240" w:after="240"/>
    </w:pPr>
    <w:rPr>
      <w:b/>
      <w:i/>
      <w:snapToGrid/>
      <w:lang w:eastAsia="en-GB"/>
    </w:rPr>
  </w:style>
  <w:style w:type="character" w:customStyle="1" w:styleId="HideTermComment">
    <w:name w:val="HideTermComment"/>
    <w:uiPriority w:val="1"/>
    <w:qFormat/>
    <w:rsid w:val="00A75A20"/>
    <w:rPr>
      <w:rFonts w:ascii="Arial" w:hAnsi="Arial"/>
      <w:vanish/>
      <w:color w:val="0066CC"/>
      <w:sz w:val="18"/>
    </w:rPr>
  </w:style>
  <w:style w:type="character" w:customStyle="1" w:styleId="HideTerminTermComment">
    <w:name w:val="HideTerminTermComment"/>
    <w:basedOn w:val="HideTermComment"/>
    <w:uiPriority w:val="1"/>
    <w:qFormat/>
    <w:rsid w:val="00A75A20"/>
    <w:rPr>
      <w:rFonts w:ascii="Arial" w:hAnsi="Arial"/>
      <w:vanish/>
      <w:color w:val="538135" w:themeColor="accent6" w:themeShade="BF"/>
      <w:sz w:val="18"/>
    </w:rPr>
  </w:style>
  <w:style w:type="paragraph" w:customStyle="1" w:styleId="Normal12a">
    <w:name w:val="Normal12a"/>
    <w:basedOn w:val="Normal"/>
    <w:rsid w:val="00031EA2"/>
    <w:pPr>
      <w:spacing w:after="240"/>
    </w:pPr>
    <w:rPr>
      <w:snapToGrid/>
      <w:lang w:eastAsia="en-GB"/>
    </w:rPr>
  </w:style>
  <w:style w:type="paragraph" w:customStyle="1" w:styleId="Normal12b">
    <w:name w:val="Normal12b"/>
    <w:basedOn w:val="Normal"/>
    <w:qFormat/>
    <w:rsid w:val="00A75A20"/>
    <w:pPr>
      <w:spacing w:before="240"/>
    </w:pPr>
    <w:rPr>
      <w:snapToGrid/>
      <w:lang w:eastAsia="en-GB"/>
    </w:rPr>
  </w:style>
  <w:style w:type="paragraph" w:customStyle="1" w:styleId="NormalBoldUnderline24b">
    <w:name w:val="NormalBoldUnderline24b"/>
    <w:basedOn w:val="Normal"/>
    <w:qFormat/>
    <w:rsid w:val="001038F2"/>
    <w:pPr>
      <w:spacing w:before="480"/>
    </w:pPr>
    <w:rPr>
      <w:b/>
      <w:snapToGrid/>
      <w:u w:val="single"/>
      <w:lang w:eastAsia="en-GB"/>
    </w:rPr>
  </w:style>
  <w:style w:type="paragraph" w:customStyle="1" w:styleId="NormalBoldUnderline24b12a">
    <w:name w:val="NormalBoldUnderline24b12a"/>
    <w:basedOn w:val="NormalBoldUnderline24b"/>
    <w:qFormat/>
    <w:rsid w:val="00A75A20"/>
    <w:pPr>
      <w:spacing w:after="240"/>
    </w:pPr>
  </w:style>
  <w:style w:type="paragraph" w:customStyle="1" w:styleId="Normal12aBullet1">
    <w:name w:val="Normal12aBullet1"/>
    <w:basedOn w:val="Normal"/>
    <w:qFormat/>
    <w:rsid w:val="00A75A20"/>
    <w:pPr>
      <w:widowControl/>
      <w:numPr>
        <w:numId w:val="1"/>
      </w:numPr>
    </w:pPr>
    <w:rPr>
      <w:snapToGrid/>
      <w:lang w:eastAsia="en-GB"/>
    </w:rPr>
  </w:style>
  <w:style w:type="paragraph" w:customStyle="1" w:styleId="Normal12aBullet2">
    <w:name w:val="Normal12aBullet2"/>
    <w:basedOn w:val="Normal"/>
    <w:qFormat/>
    <w:rsid w:val="00A75A20"/>
    <w:pPr>
      <w:numPr>
        <w:numId w:val="2"/>
      </w:numPr>
    </w:pPr>
    <w:rPr>
      <w:snapToGrid/>
      <w:lang w:eastAsia="en-GB"/>
    </w:rPr>
  </w:style>
  <w:style w:type="paragraph" w:customStyle="1" w:styleId="NormalHanging12a1">
    <w:name w:val="NormalHanging12a1"/>
    <w:basedOn w:val="Normal"/>
    <w:qFormat/>
    <w:rsid w:val="00C668A5"/>
    <w:pPr>
      <w:spacing w:after="240"/>
      <w:ind w:left="992" w:hanging="425"/>
    </w:pPr>
    <w:rPr>
      <w:snapToGrid/>
      <w:lang w:eastAsia="en-GB"/>
    </w:rPr>
  </w:style>
  <w:style w:type="paragraph" w:customStyle="1" w:styleId="NormalHanging12a2">
    <w:name w:val="NormalHanging12a2"/>
    <w:basedOn w:val="NormalHanging12a1"/>
    <w:qFormat/>
    <w:rsid w:val="00A75A20"/>
    <w:pPr>
      <w:ind w:left="1417"/>
    </w:pPr>
  </w:style>
  <w:style w:type="paragraph" w:customStyle="1" w:styleId="NormalHanging12a3">
    <w:name w:val="NormalHanging12a3"/>
    <w:basedOn w:val="NormalHanging12a2"/>
    <w:qFormat/>
    <w:rsid w:val="00A75A20"/>
    <w:pPr>
      <w:ind w:left="1843"/>
    </w:pPr>
  </w:style>
  <w:style w:type="paragraph" w:customStyle="1" w:styleId="NormalHanging12a4">
    <w:name w:val="NormalHanging12a4"/>
    <w:basedOn w:val="NormalHanging12a3"/>
    <w:qFormat/>
    <w:rsid w:val="00A75A20"/>
    <w:pPr>
      <w:ind w:left="2268"/>
    </w:pPr>
  </w:style>
  <w:style w:type="paragraph" w:customStyle="1" w:styleId="NormalHanging12a5">
    <w:name w:val="NormalHanging12a5"/>
    <w:basedOn w:val="NormalHanging12a4"/>
    <w:qFormat/>
    <w:rsid w:val="00A75A20"/>
    <w:pPr>
      <w:ind w:left="2693"/>
    </w:pPr>
  </w:style>
  <w:style w:type="paragraph" w:customStyle="1" w:styleId="NormalHanging12a6">
    <w:name w:val="NormalHanging12a6"/>
    <w:basedOn w:val="NormalHanging12a5"/>
    <w:qFormat/>
    <w:rsid w:val="00A75A20"/>
    <w:pPr>
      <w:ind w:left="3118"/>
    </w:pPr>
  </w:style>
  <w:style w:type="paragraph" w:customStyle="1" w:styleId="NormalHanging12a7">
    <w:name w:val="NormalHanging12a7"/>
    <w:basedOn w:val="NormalHanging12a6"/>
    <w:qFormat/>
    <w:rsid w:val="00A75A20"/>
    <w:pPr>
      <w:ind w:left="3544"/>
    </w:pPr>
  </w:style>
  <w:style w:type="paragraph" w:customStyle="1" w:styleId="NormalHangingCenter">
    <w:name w:val="NormalHangingCenter"/>
    <w:basedOn w:val="Normal"/>
    <w:qFormat/>
    <w:rsid w:val="00BC0B6B"/>
    <w:pPr>
      <w:spacing w:after="240"/>
      <w:ind w:left="567" w:hanging="567"/>
      <w:jc w:val="center"/>
    </w:pPr>
    <w:rPr>
      <w:snapToGrid/>
      <w:lang w:eastAsia="en-GB"/>
    </w:rPr>
  </w:style>
  <w:style w:type="paragraph" w:customStyle="1" w:styleId="NormalHangingJustified">
    <w:name w:val="NormalHangingJustified"/>
    <w:basedOn w:val="Normal"/>
    <w:qFormat/>
    <w:rsid w:val="00BC0B6B"/>
    <w:pPr>
      <w:spacing w:after="240"/>
      <w:ind w:left="714" w:hanging="357"/>
      <w:jc w:val="both"/>
    </w:pPr>
    <w:rPr>
      <w:snapToGrid/>
      <w:lang w:eastAsia="en-GB"/>
    </w:rPr>
  </w:style>
  <w:style w:type="paragraph" w:customStyle="1" w:styleId="NormalUnderline24b12a">
    <w:name w:val="NormalUnderline24b12a"/>
    <w:basedOn w:val="EPComma"/>
    <w:qFormat/>
    <w:rsid w:val="00A75A20"/>
    <w:rPr>
      <w:snapToGrid/>
      <w:u w:val="single"/>
      <w:lang w:eastAsia="en-GB"/>
    </w:rPr>
  </w:style>
  <w:style w:type="paragraph" w:customStyle="1" w:styleId="Normal2">
    <w:name w:val="Normal2"/>
    <w:next w:val="Normal"/>
    <w:qFormat/>
    <w:rsid w:val="00A75A20"/>
    <w:pPr>
      <w:spacing w:line="120" w:lineRule="auto"/>
    </w:pPr>
    <w:rPr>
      <w:color w:val="000000"/>
      <w:sz w:val="4"/>
      <w:szCs w:val="24"/>
    </w:rPr>
  </w:style>
  <w:style w:type="character" w:customStyle="1" w:styleId="NormalBI">
    <w:name w:val="NormalBI"/>
    <w:basedOn w:val="DefaultParagraphFont"/>
    <w:uiPriority w:val="1"/>
    <w:qFormat/>
    <w:rsid w:val="00A75A20"/>
    <w:rPr>
      <w:rFonts w:ascii="Times New Roman" w:hAnsi="Times New Roman"/>
      <w:b/>
      <w:i/>
      <w:sz w:val="24"/>
    </w:rPr>
  </w:style>
  <w:style w:type="paragraph" w:customStyle="1" w:styleId="NormalBoldItalic6a">
    <w:name w:val="NormalBoldItalic6a"/>
    <w:basedOn w:val="Normal6a"/>
    <w:qFormat/>
    <w:rsid w:val="00A75A20"/>
    <w:rPr>
      <w:b/>
      <w:i/>
    </w:rPr>
  </w:style>
  <w:style w:type="paragraph" w:customStyle="1" w:styleId="NormalBoldItalicCenter6a">
    <w:name w:val="NormalBoldItalicCenter6a"/>
    <w:basedOn w:val="Normal6a"/>
    <w:qFormat/>
    <w:rsid w:val="00A75A20"/>
    <w:pPr>
      <w:jc w:val="center"/>
    </w:pPr>
    <w:rPr>
      <w:b/>
      <w:i/>
    </w:rPr>
  </w:style>
  <w:style w:type="paragraph" w:customStyle="1" w:styleId="NormalItalic6a">
    <w:name w:val="NormalItalic6a"/>
    <w:basedOn w:val="Normal6a"/>
    <w:qFormat/>
    <w:rsid w:val="00A75A20"/>
    <w:rPr>
      <w:i/>
    </w:rPr>
  </w:style>
  <w:style w:type="paragraph" w:customStyle="1" w:styleId="PageHeadingNotTOC">
    <w:name w:val="PageHeadingNotTOC"/>
    <w:basedOn w:val="PageHeading"/>
    <w:rsid w:val="00A75A20"/>
    <w:rPr>
      <w:rFonts w:cs="Times New Roman"/>
      <w:snapToGrid/>
      <w:lang w:eastAsia="en-GB"/>
    </w:rPr>
  </w:style>
  <w:style w:type="character" w:customStyle="1" w:styleId="Sub">
    <w:name w:val="Sub"/>
    <w:uiPriority w:val="1"/>
    <w:qFormat/>
    <w:rsid w:val="0065571D"/>
    <w:rPr>
      <w:vertAlign w:val="subscript"/>
    </w:rPr>
  </w:style>
  <w:style w:type="character" w:customStyle="1" w:styleId="SubBold">
    <w:name w:val="SubBold"/>
    <w:uiPriority w:val="1"/>
    <w:qFormat/>
    <w:rsid w:val="0065571D"/>
    <w:rPr>
      <w:b/>
      <w:vertAlign w:val="subscript"/>
    </w:rPr>
  </w:style>
  <w:style w:type="character" w:customStyle="1" w:styleId="SubBoldItalic">
    <w:name w:val="SubBoldItalic"/>
    <w:uiPriority w:val="1"/>
    <w:rsid w:val="0065571D"/>
    <w:rPr>
      <w:b/>
      <w:i/>
      <w:vertAlign w:val="subscript"/>
    </w:rPr>
  </w:style>
  <w:style w:type="character" w:customStyle="1" w:styleId="SubItalic">
    <w:name w:val="SubItalic"/>
    <w:uiPriority w:val="1"/>
    <w:qFormat/>
    <w:rsid w:val="0065571D"/>
    <w:rPr>
      <w:b/>
      <w:i/>
      <w:vertAlign w:val="subscript"/>
    </w:rPr>
  </w:style>
  <w:style w:type="character" w:customStyle="1" w:styleId="Sup">
    <w:name w:val="Sup"/>
    <w:uiPriority w:val="1"/>
    <w:rsid w:val="0065571D"/>
    <w:rPr>
      <w:vertAlign w:val="superscript"/>
    </w:rPr>
  </w:style>
  <w:style w:type="character" w:customStyle="1" w:styleId="SupBoldItalic">
    <w:name w:val="SupBoldItalic"/>
    <w:uiPriority w:val="1"/>
    <w:qFormat/>
    <w:rsid w:val="0065571D"/>
    <w:rPr>
      <w:b/>
      <w:i/>
      <w:vertAlign w:val="superscript"/>
    </w:rPr>
  </w:style>
  <w:style w:type="character" w:customStyle="1" w:styleId="Underline">
    <w:name w:val="Underline"/>
    <w:uiPriority w:val="1"/>
    <w:rsid w:val="0065571D"/>
    <w:rPr>
      <w:u w:val="single"/>
    </w:rPr>
  </w:style>
  <w:style w:type="paragraph" w:customStyle="1" w:styleId="NormalBoldCenter">
    <w:name w:val="NormalBoldCenter"/>
    <w:basedOn w:val="Normal"/>
    <w:rsid w:val="00880359"/>
    <w:pPr>
      <w:jc w:val="center"/>
    </w:pPr>
    <w:rPr>
      <w:b/>
      <w:snapToGrid/>
      <w:lang w:eastAsia="en-GB"/>
    </w:rPr>
  </w:style>
  <w:style w:type="paragraph" w:customStyle="1" w:styleId="ProcedureTable">
    <w:name w:val="ProcedureTable"/>
    <w:basedOn w:val="Normal"/>
    <w:rsid w:val="008572D4"/>
    <w:rPr>
      <w:snapToGrid/>
      <w:sz w:val="20"/>
      <w:lang w:eastAsia="en-GB"/>
    </w:rPr>
  </w:style>
  <w:style w:type="paragraph" w:customStyle="1" w:styleId="ProcedureTableBold">
    <w:name w:val="ProcedureTableBold"/>
    <w:basedOn w:val="Normal"/>
    <w:rsid w:val="008572D4"/>
    <w:rPr>
      <w:b/>
      <w:snapToGrid/>
      <w:sz w:val="20"/>
      <w:lang w:eastAsia="en-GB"/>
    </w:rPr>
  </w:style>
  <w:style w:type="paragraph" w:customStyle="1" w:styleId="NormalCenter">
    <w:name w:val="NormalCenter"/>
    <w:basedOn w:val="Normal"/>
    <w:rsid w:val="00314D1A"/>
    <w:pPr>
      <w:jc w:val="center"/>
    </w:pPr>
    <w:rPr>
      <w:snapToGrid/>
      <w:lang w:eastAsia="en-GB"/>
    </w:rPr>
  </w:style>
  <w:style w:type="character" w:customStyle="1" w:styleId="SubBoldItalicUnderline">
    <w:name w:val="SubBoldItalicUnderline"/>
    <w:uiPriority w:val="1"/>
    <w:rsid w:val="0065571D"/>
    <w:rPr>
      <w:b/>
      <w:i/>
      <w:u w:val="single"/>
      <w:vertAlign w:val="subscript"/>
    </w:rPr>
  </w:style>
  <w:style w:type="character" w:customStyle="1" w:styleId="SubBoldUnderline">
    <w:name w:val="SubBoldUnderline"/>
    <w:uiPriority w:val="1"/>
    <w:rsid w:val="0065571D"/>
    <w:rPr>
      <w:b/>
      <w:u w:val="single"/>
      <w:vertAlign w:val="subscript"/>
    </w:rPr>
  </w:style>
  <w:style w:type="character" w:customStyle="1" w:styleId="SubItalicUnderline">
    <w:name w:val="SubItalicUnderline"/>
    <w:uiPriority w:val="1"/>
    <w:rsid w:val="0065571D"/>
    <w:rPr>
      <w:i/>
      <w:u w:val="single"/>
      <w:vertAlign w:val="subscript"/>
    </w:rPr>
  </w:style>
  <w:style w:type="character" w:customStyle="1" w:styleId="SubUnderline">
    <w:name w:val="SubUnderline"/>
    <w:uiPriority w:val="1"/>
    <w:rsid w:val="0065571D"/>
    <w:rPr>
      <w:u w:val="single"/>
      <w:vertAlign w:val="subscript"/>
    </w:rPr>
  </w:style>
  <w:style w:type="character" w:customStyle="1" w:styleId="SupBold">
    <w:name w:val="SupBold"/>
    <w:uiPriority w:val="1"/>
    <w:rsid w:val="0065571D"/>
    <w:rPr>
      <w:b/>
      <w:vertAlign w:val="superscript"/>
    </w:rPr>
  </w:style>
  <w:style w:type="character" w:customStyle="1" w:styleId="SupBoldItalicUnderline">
    <w:name w:val="SupBoldItalicUnderline"/>
    <w:uiPriority w:val="1"/>
    <w:rsid w:val="0065571D"/>
    <w:rPr>
      <w:b/>
      <w:i/>
      <w:u w:val="single"/>
      <w:vertAlign w:val="superscript"/>
    </w:rPr>
  </w:style>
  <w:style w:type="character" w:customStyle="1" w:styleId="SupBoldUnderline">
    <w:name w:val="SupBoldUnderline"/>
    <w:uiPriority w:val="1"/>
    <w:rsid w:val="0065571D"/>
    <w:rPr>
      <w:b/>
      <w:u w:val="single"/>
      <w:vertAlign w:val="superscript"/>
    </w:rPr>
  </w:style>
  <w:style w:type="character" w:customStyle="1" w:styleId="SupItalic">
    <w:name w:val="SupItalic"/>
    <w:uiPriority w:val="1"/>
    <w:rsid w:val="0065571D"/>
    <w:rPr>
      <w:i/>
      <w:vertAlign w:val="superscript"/>
    </w:rPr>
  </w:style>
  <w:style w:type="character" w:customStyle="1" w:styleId="SupItalicUnderline">
    <w:name w:val="SupItalicUnderline"/>
    <w:uiPriority w:val="1"/>
    <w:rsid w:val="0065571D"/>
    <w:rPr>
      <w:i/>
      <w:u w:val="single"/>
      <w:vertAlign w:val="superscript"/>
    </w:rPr>
  </w:style>
  <w:style w:type="character" w:customStyle="1" w:styleId="SupUnderline">
    <w:name w:val="SupUnderline"/>
    <w:uiPriority w:val="1"/>
    <w:rsid w:val="0065571D"/>
    <w:rPr>
      <w:u w:val="single"/>
      <w:vertAlign w:val="superscript"/>
    </w:rPr>
  </w:style>
  <w:style w:type="paragraph" w:customStyle="1" w:styleId="Normal24a">
    <w:name w:val="Normal24a"/>
    <w:basedOn w:val="Normal"/>
    <w:rsid w:val="00B140D0"/>
    <w:pPr>
      <w:spacing w:after="480"/>
    </w:pPr>
    <w:rPr>
      <w:snapToGrid/>
      <w:lang w:eastAsia="en-GB"/>
    </w:rPr>
  </w:style>
  <w:style w:type="paragraph" w:customStyle="1" w:styleId="Normal12a24b">
    <w:name w:val="Normal12a24b"/>
    <w:basedOn w:val="Normal"/>
    <w:rsid w:val="00D46F6C"/>
    <w:pPr>
      <w:spacing w:before="360" w:after="240"/>
    </w:pPr>
  </w:style>
  <w:style w:type="paragraph" w:customStyle="1" w:styleId="NormalTab">
    <w:name w:val="NormalTab"/>
    <w:basedOn w:val="Normal"/>
    <w:rsid w:val="00CC6F1E"/>
    <w:pPr>
      <w:tabs>
        <w:tab w:val="center" w:pos="284"/>
        <w:tab w:val="left" w:pos="425"/>
      </w:tabs>
    </w:pPr>
    <w:rPr>
      <w:snapToGrid/>
      <w:lang w:eastAsia="en-GB"/>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footer" Target="footer1.xml" /><Relationship Id="rId6" Type="http://schemas.openxmlformats.org/officeDocument/2006/relationships/footer" Target="footer2.xml" /><Relationship Id="rId7" Type="http://schemas.openxmlformats.org/officeDocument/2006/relationships/footer" Target="footer3.xml" /><Relationship Id="rId8" Type="http://schemas.openxmlformats.org/officeDocument/2006/relationships/theme" Target="theme/theme1.xml" /><Relationship Id="rId9" Type="http://schemas.openxmlformats.org/officeDocument/2006/relationships/numbering" Target="numbering.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Template>
  <TotalTime>0</TotalTime>
  <Pages>22</Pages>
  <Words>0</Words>
  <Characters>0</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PR_COD_1amCom</dc:title>
  <dc:creator>e-Parliament@europarl.europa.eu</dc:creator>
  <cp:lastModifiedBy>e-Parliament@europarl.europa.eu</cp:lastModifiedBy>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LT</vt:lpwstr>
  </property>
  <property fmtid="{D5CDD505-2E9C-101B-9397-08002B2CF9AE}" pid="3" name="&lt;FdR&gt;">
    <vt:lpwstr>1316296</vt:lpwstr>
  </property>
  <property fmtid="{D5CDD505-2E9C-101B-9397-08002B2CF9AE}" pid="4" name="&lt;Model&gt;">
    <vt:lpwstr>PR_COD_1amCom</vt:lpwstr>
  </property>
  <property fmtid="{D5CDD505-2E9C-101B-9397-08002B2CF9AE}" pid="5" name="&lt;Type&gt;">
    <vt:lpwstr>PR</vt:lpwstr>
  </property>
  <property fmtid="{D5CDD505-2E9C-101B-9397-08002B2CF9AE}" pid="6" name="DMXMLUID">
    <vt:lpwstr>20250318-155619-000318-593717</vt:lpwstr>
  </property>
  <property fmtid="{D5CDD505-2E9C-101B-9397-08002B2CF9AE}" pid="7" name="FooterPath">
    <vt:lpwstr>PR\1316296LT.doc</vt:lpwstr>
  </property>
  <property fmtid="{D5CDD505-2E9C-101B-9397-08002B2CF9AE}" pid="8" name="PE Number">
    <vt:lpwstr>770.093</vt:lpwstr>
  </property>
  <property fmtid="{D5CDD505-2E9C-101B-9397-08002B2CF9AE}" pid="9" name="UID">
    <vt:lpwstr>eu.europa.europarl-DIN1-2025-0000040829_01.05-lt-01.00_text-xml</vt:lpwstr>
  </property>
</Properties>
</file>