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Eiropas Parlaments</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Pilsoņu brīvību, tieslietu un iekšlietu komiteja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04.03.2025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ZIŅOJUMA PROJEKTS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par priekšlikumu Eiropas Parlamenta un Padomes regulai par pagaidu atkāpi no konkrētiem Regulas (ES) 2017/2226 un Regulas (ES) 2016/399 noteikumiem attiecībā uz ieceļošanas/izceļošanas sistēmas darbības pakāpenisku sākšanu</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Pilsoņu brīvību, tieslietu un iekšlietu komiteja</w:t>
      </w:r>
      <w:r>
        <w:rPr>
          <w:rStyle w:val="HideTWBExt"/>
        </w:rPr>
        <w:t>&lt;/</w:t>
      </w:r>
      <w:r>
        <w:rPr>
          <w:rStyle w:val="HideTWBExt"/>
        </w:rPr>
        <w:t>Commission</w:t>
      </w:r>
      <w:r>
        <w:rPr>
          <w:rStyle w:val="HideTWBExt"/>
        </w:rPr>
        <w:t>&gt;</w:t>
      </w:r>
    </w:p>
    <w:p>
      <w:pPr>
        <w:pStyle w:val="CoverNormal24a"/>
      </w:pPr>
      <w:r>
        <w:t>Referente</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Izmantoto apzīmējumu skaidrojums</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Apspriežu procedūra</w:t>
            </w:r>
          </w:p>
          <w:p>
            <w:pPr>
              <w:pStyle w:val="LegendSign"/>
            </w:pPr>
            <w:r>
              <w:tab/>
            </w:r>
            <w:r>
              <w:t>***</w:t>
            </w:r>
            <w:r>
              <w:tab/>
            </w:r>
            <w:r>
              <w:t>Piekrišanas procedūra</w:t>
            </w:r>
          </w:p>
          <w:p>
            <w:pPr>
              <w:pStyle w:val="LegendSign"/>
            </w:pPr>
            <w:r>
              <w:tab/>
            </w:r>
            <w:r>
              <w:t>***I</w:t>
            </w:r>
            <w:r>
              <w:tab/>
            </w:r>
            <w:r>
              <w:t>Parastā likumdošanas procedūra (pirmais lasījums)</w:t>
            </w:r>
          </w:p>
          <w:p>
            <w:pPr>
              <w:pStyle w:val="LegendSign"/>
            </w:pPr>
            <w:r>
              <w:tab/>
            </w:r>
            <w:r>
              <w:t>***II</w:t>
            </w:r>
            <w:r>
              <w:tab/>
            </w:r>
            <w:r>
              <w:t>Parastā likumdošanas procedūra (otrais lasījums)</w:t>
            </w:r>
          </w:p>
          <w:p>
            <w:pPr>
              <w:pStyle w:val="LegendSign"/>
            </w:pPr>
            <w:r>
              <w:tab/>
            </w:r>
            <w:r>
              <w:t>***III</w:t>
            </w:r>
            <w:r>
              <w:tab/>
            </w:r>
            <w:r>
              <w:t>Parastā likumdošanas procedūra (trešais lasījums)</w:t>
            </w:r>
          </w:p>
          <w:p>
            <w:pPr>
              <w:pStyle w:val="LegendSign"/>
            </w:pPr>
          </w:p>
          <w:p>
            <w:pPr>
              <w:pStyle w:val="LegendStandard"/>
            </w:pPr>
            <w:r>
              <w:t>(Norādītā procedūra pamatojas uz akta projektā ierosināto juridisko pamatu.)</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Grozījumi akta projektā</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Parlamenta grozījumi, kas sagatavoti divās slejās</w:t>
            </w:r>
          </w:p>
          <w:p>
            <w:pPr>
              <w:pStyle w:val="LegendStandard"/>
            </w:pPr>
          </w:p>
          <w:p>
            <w:pPr>
              <w:pStyle w:val="LegendStandard"/>
            </w:pPr>
            <w:r>
              <w:t xml:space="preserve">Svītrotās teksta daļas iezīmē </w:t>
            </w:r>
            <w:r>
              <w:rPr>
                <w:rStyle w:val="BoldItalic"/>
              </w:rPr>
              <w:t>treknā slīprakstā</w:t>
            </w:r>
            <w:r>
              <w:t xml:space="preserve"> kreisajā slejā. Aizstātās teksta daļas iezīmē </w:t>
            </w:r>
            <w:r>
              <w:rPr>
                <w:rStyle w:val="Bold"/>
              </w:rPr>
              <w:t>treknā slīprakstā</w:t>
            </w:r>
            <w:r>
              <w:t xml:space="preserve"> abās slejās. Jauno tekstu iezīmē </w:t>
            </w:r>
            <w:r>
              <w:rPr>
                <w:rStyle w:val="Bold"/>
              </w:rPr>
              <w:t>treknā slīprakstā</w:t>
            </w:r>
            <w:r>
              <w:t xml:space="preserve"> labajā slejā.</w:t>
            </w:r>
          </w:p>
          <w:p>
            <w:pPr>
              <w:pStyle w:val="LegendStandard"/>
            </w:pPr>
          </w:p>
          <w:p>
            <w:pPr>
              <w:pStyle w:val="LegendStandard"/>
            </w:pPr>
            <w:r>
              <w:t>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w:t>
            </w:r>
          </w:p>
          <w:p>
            <w:pPr>
              <w:pStyle w:val="LegendStandard"/>
            </w:pPr>
          </w:p>
          <w:p>
            <w:pPr>
              <w:pStyle w:val="LegendStandard"/>
            </w:pPr>
            <w:r>
              <w:rPr>
                <w:rStyle w:val="Bold"/>
              </w:rPr>
              <w:t>Parlamenta grozījumi, kas sagatavoti kā konsolidēts teksts</w:t>
            </w:r>
          </w:p>
          <w:p>
            <w:pPr>
              <w:pStyle w:val="LegendStandard"/>
            </w:pPr>
          </w:p>
          <w:p>
            <w:pPr>
              <w:pStyle w:val="LegendStandard"/>
            </w:pPr>
            <w:r>
              <w:t xml:space="preserve">Jaunās teksta daļas iezīmē </w:t>
            </w:r>
            <w:r>
              <w:rPr>
                <w:rStyle w:val="Bold"/>
              </w:rPr>
              <w:t>treknā slīprakstā</w:t>
            </w:r>
            <w:r>
              <w:t xml:space="preserve">. Svītrotās teksta daļas iezīmē ar simbolu ▌ vai pārsvītro. Aizstātās teksta daļas iezīmē, ierakstot jauno tekstu </w:t>
            </w:r>
            <w:r>
              <w:rPr>
                <w:rStyle w:val="Bold"/>
              </w:rPr>
              <w:t>treknā slīprakstā</w:t>
            </w:r>
            <w:r>
              <w:t xml:space="preserve"> un izdzēšot vai pārsvītrojot aizstāto tekstu.</w:t>
            </w:r>
            <w:r>
              <w:br/>
            </w:r>
            <w:r>
              <w:t>Tas neattiecas uz tīri tehniska rakstura grozījumiem, kurus izdara attiecīgie dienesti, gatavojot galīgo tekstu. Tie netiek iezīmēti.</w:t>
            </w:r>
          </w:p>
          <w:p>
            <w:pPr>
              <w:pStyle w:val="LegendStandard"/>
            </w:pPr>
          </w:p>
        </w:tc>
      </w:tr>
    </w:tbl>
    <w:p/>
    <w:p/>
    <w:p>
      <w:pPr>
        <w:pStyle w:val="TOCHeading"/>
      </w:pPr>
      <w:r>
        <w:br w:type="page"/>
      </w:r>
      <w:r>
        <w:t>SATURA RĀDĪTĀJS</w:t>
      </w:r>
    </w:p>
    <w:p>
      <w:pPr>
        <w:pStyle w:val="TOCPage"/>
      </w:pPr>
      <w:r>
        <w:t>Lpp.</w:t>
      </w:r>
    </w:p>
    <w:p>
      <w:pPr>
        <w:pStyle w:val="TOC1"/>
        <w:tabs>
          <w:tab w:val="right" w:leader="dot" w:pos="9062"/>
        </w:tabs>
        <w:rPr>
          <w:rFonts w:ascii="Calibri" w:hAnsi="Calibri"/>
          <w:noProof/>
          <w:sz w:val="22"/>
        </w:rPr>
      </w:pPr>
      <w:r>
        <w:fldChar w:fldCharType="begin"/>
      </w:r>
      <w:r>
        <w:instrText>TOC \t "PageHeading"</w:instrText>
      </w:r>
      <w:r>
        <w:fldChar w:fldCharType="separate"/>
      </w:r>
      <w:r>
        <w:t>EIROPAS PARLAMENTA NORMATĪVĀS REZOLŪCIJAS PROJEKTS</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PASKAIDROJUMS</w:t>
      </w:r>
      <w:r>
        <w:tab/>
      </w:r>
      <w:r>
        <w:fldChar w:fldCharType="begin"/>
      </w:r>
      <w:r>
        <w:instrText xml:space="preserve"> PAGEREF _Toc256000003 \h </w:instrText>
      </w:r>
      <w:r>
        <w:fldChar w:fldCharType="separate"/>
      </w:r>
      <w:r>
        <w:t>21</w:t>
      </w:r>
      <w:r>
        <w:fldChar w:fldCharType="end"/>
      </w:r>
    </w:p>
    <w:p>
      <w:pPr>
        <w:pStyle w:val="Normal12b"/>
      </w:pPr>
      <w:r>
        <w:fldChar w:fldCharType="end"/>
      </w:r>
    </w:p>
    <w:p>
      <w:pPr>
        <w:pStyle w:val="CoverNormalLeft"/>
      </w:pPr>
    </w:p>
    <w:p>
      <w:pPr>
        <w:pStyle w:val="PageHeading"/>
      </w:pPr>
      <w:r>
        <w:br w:type="page"/>
      </w:r>
      <w:r>
        <w:br w:type="page"/>
      </w:r>
      <w:bookmarkStart w:id="0" w:name="_Toc256000002"/>
      <w:r>
        <w:t>EIROPAS PARLAMENTA NORMATĪVĀS REZOLŪCIJAS PROJEKTS</w:t>
      </w:r>
      <w:bookmarkEnd w:id="0"/>
    </w:p>
    <w:p>
      <w:pPr>
        <w:pStyle w:val="NormalBold"/>
      </w:pPr>
      <w:r>
        <w:t>par priekšlikumu Eiropas Parlamenta un Padomes regulai par pagaidu atkāpi no konkrētiem Regulas (ES) 2017/2226 un Regulas (ES) 2016/399 noteikumiem attiecībā uz ieceļošanas/izceļošanas sistēmas darbības pakāpenisku sākšanu</w:t>
      </w:r>
    </w:p>
    <w:p>
      <w:pPr>
        <w:pStyle w:val="NormalBold12a"/>
      </w:pPr>
      <w:r>
        <w:t>(COM(2024)0567 – C10-0207/2024 – 2024/0315(COD))</w:t>
      </w:r>
    </w:p>
    <w:p>
      <w:pPr>
        <w:pStyle w:val="NormalBold12a"/>
      </w:pPr>
      <w:r>
        <w:t>(Parastā likumdošanas procedūra: pirmais lasījums)</w:t>
      </w:r>
    </w:p>
    <w:p>
      <w:pPr>
        <w:pStyle w:val="EPComma"/>
      </w:pPr>
      <w:r>
        <w:rPr>
          <w:rStyle w:val="Italic"/>
        </w:rPr>
        <w:t>Eiropas Parlaments</w:t>
      </w:r>
      <w:r>
        <w:t>,</w:t>
      </w:r>
    </w:p>
    <w:p>
      <w:pPr>
        <w:pStyle w:val="NormalHanging12a"/>
      </w:pPr>
      <w:r>
        <w:t>–</w:t>
      </w:r>
      <w:r>
        <w:tab/>
      </w:r>
      <w:r>
        <w:t>ņemot vērā Komisijas priekšlikumu Eiropas Parlamentam un Padomei (COM(2024)0567),</w:t>
      </w:r>
    </w:p>
    <w:p>
      <w:pPr>
        <w:pStyle w:val="NormalHanging12a"/>
      </w:pPr>
      <w:r>
        <w:t>–</w:t>
      </w:r>
      <w:r>
        <w:tab/>
      </w:r>
      <w:r>
        <w:t>ņemot vērā Līguma par Eiropas Savienības darbību 294. panta 2. punktu, 77. panta 2. punkta b) un d) apakšpunktu un 87. panta 2. punkta a) apakšpunktu, saskaņā ar kuriem Komisija tam ir iesniegusi priekšlikumu (C10-0207/2024),</w:t>
      </w:r>
    </w:p>
    <w:p>
      <w:pPr>
        <w:pStyle w:val="NormalHanging12a"/>
      </w:pPr>
      <w:r>
        <w:t>–</w:t>
      </w:r>
      <w:r>
        <w:tab/>
      </w:r>
      <w:r>
        <w:t>ņemot vērā Līguma par Eiropas Savienības darbību 294. panta 3. punktu,</w:t>
      </w:r>
    </w:p>
    <w:p>
      <w:pPr>
        <w:pStyle w:val="NormalHanging12a"/>
      </w:pPr>
      <w:r>
        <w:t>–</w:t>
      </w:r>
      <w:r>
        <w:tab/>
      </w:r>
      <w:r>
        <w:t>ņemot vērā Reglamenta 60. pantu,</w:t>
      </w:r>
    </w:p>
    <w:p>
      <w:pPr>
        <w:pStyle w:val="NormalHanging12a"/>
      </w:pPr>
      <w:r>
        <w:t>–</w:t>
      </w:r>
      <w:r>
        <w:tab/>
      </w:r>
      <w:r>
        <w:t>ņemot vērā Pilsoņu brīvību, tieslietu un iekšlietu komitejas ziņojumu (A10-0000/2025),</w:t>
      </w:r>
    </w:p>
    <w:p>
      <w:pPr>
        <w:pStyle w:val="NormalHanging12a"/>
      </w:pPr>
      <w:r>
        <w:t>1.</w:t>
      </w:r>
      <w:r>
        <w:tab/>
      </w:r>
      <w:r>
        <w:t>pieņem pirmajā lasījumā turpmāk izklāstīto nostāju;</w:t>
      </w:r>
    </w:p>
    <w:p>
      <w:pPr>
        <w:pStyle w:val="NormalHanging12a"/>
      </w:pPr>
      <w:r>
        <w:t>2.</w:t>
      </w:r>
      <w:r>
        <w:tab/>
      </w:r>
      <w:r>
        <w:t>prasa Komisijai priekšlikumu Parlamentam iesniegt vēlreiz, ja tā savu priekšlikumu aizstāj, būtiski groza vai ir paredzējusi to būtiski grozīt;</w:t>
      </w:r>
    </w:p>
    <w:p>
      <w:pPr>
        <w:pStyle w:val="NormalHanging12a"/>
      </w:pPr>
      <w:r>
        <w:t>3.</w:t>
      </w:r>
      <w:r>
        <w:tab/>
      </w:r>
      <w:r>
        <w:t>uzdod priekšsēdētājai Parlamenta nostāju nosūtīt Padomei, Komisijai un dalībvalstu parlamentiem.</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Regula (ES) 2017/2226 ļauj sākt darbību tikai pilnā apmērā, pieprasot, lai visas dalībvalstis sāktu izmantot IIS pilnībā attiecībā uz visiem trešo valstu valstspiederīgajiem, kuri ir jāreģistrē IIS, un vienlaikus izmantot IIS visās savās robežšķērsošanas vietās.</w:t>
            </w:r>
          </w:p>
        </w:tc>
        <w:tc>
          <w:tcPr>
            <w:tcW w:w="4876" w:type="dxa"/>
            <w:vAlign w:val="top"/>
          </w:tcPr>
          <w:p>
            <w:pPr>
              <w:pStyle w:val="Normal6a"/>
            </w:pPr>
            <w:r>
              <w:t>(3)</w:t>
            </w:r>
            <w:r>
              <w:tab/>
            </w:r>
            <w:r>
              <w:t xml:space="preserve">Regula (ES) 2017/2226 ļauj sākt darbību tikai pilnā apmērā, pieprasot, lai visas dalībvalstis sāktu izmantot IIS pilnībā attiecībā uz visiem trešo valstu valstspiederīgajiem, kuri ir jāreģistrē IIS, un vienlaikus izmantot IIS visās savās robežšķērsošanas vietās. </w:t>
            </w:r>
            <w:r>
              <w:rPr>
                <w:b/>
                <w:i/>
                <w:strike w:val="0"/>
                <w:color w:val="auto"/>
                <w:highlight w:val="none"/>
                <w:u w:val="none" w:color="auto"/>
                <w:vertAlign w:val="baseline"/>
              </w:rPr>
              <w:t>Tomēr visu IIS funkciju pilnīga darbības uzsākšana visās robežšķērsošanas vietās vienlaikus ir riska faktors, kas ietekmē IIS noturību kopumā un pasažieru plūsmas pie ārējām robežām.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Lai dalībvalstīm nodrošinātu elastību, kas vajadzīga, </w:t>
            </w:r>
            <w:r>
              <w:t>lai</w:t>
            </w:r>
            <w:r>
              <w:t xml:space="preserve"> tās </w:t>
            </w:r>
            <w:r>
              <w:t>sāktu</w:t>
            </w:r>
            <w:r>
              <w:t xml:space="preserve"> izmantot IIS </w:t>
            </w:r>
            <w:r>
              <w:t>atbilstoši savam gatavības līmenim</w:t>
            </w:r>
            <w:r>
              <w:t>, un atvieglotu tehniskos un darbības pielāgojumus IIS darbības sākumā, ir jāparedz noteikumi par IIS darbības pakāpenisku sākšanu. Lai nodrošinātu, ka šie pielāgojumi atspoguļo iespējamās ceļošanas plūsmas un sezonālos maksimumus, vajadzētu noteikt, ka šādas pakāpeniskas sākšanas periods ilgst 180 kalendārās dienas.</w:t>
            </w:r>
          </w:p>
        </w:tc>
        <w:tc>
          <w:tcPr>
            <w:tcW w:w="4876" w:type="dxa"/>
            <w:vAlign w:val="top"/>
          </w:tcPr>
          <w:p>
            <w:pPr>
              <w:pStyle w:val="Normal6a"/>
            </w:pPr>
            <w:r>
              <w:t>(4)</w:t>
            </w:r>
            <w:r>
              <w:tab/>
            </w:r>
            <w:r>
              <w:t xml:space="preserve">Lai dalībvalstīm nodrošinātu elastību, kas vajadzīga, </w:t>
            </w:r>
            <w:r>
              <w:t>kad</w:t>
            </w:r>
            <w:r>
              <w:t xml:space="preserve"> tās tās </w:t>
            </w:r>
            <w:r>
              <w:t>sāk</w:t>
            </w:r>
            <w:r>
              <w:t xml:space="preserve"> izmantot IIS, un atvieglotu tehniskos un darbības pielāgojumus IIS darbības sākumā, ir jāparedz noteikumi par IIS darbības pakāpenisku sākšanu</w:t>
            </w:r>
            <w:r>
              <w:t xml:space="preserve">, saskaņā ar kuriem dalībvalstīm vajadzētu būt iespējai izvēlēties ieviest </w:t>
            </w:r>
            <w:r>
              <w:t>IIS</w:t>
            </w:r>
            <w:r>
              <w:t>pakāpeniski</w:t>
            </w:r>
            <w:r>
              <w:t>. Lai nodrošinātu, ka šie pielāgojumi atspoguļo iespējamās ceļošanas plūsmas un sezonālos maksimumus, vajadzētu noteikt, ka šādas pakāpeniskas sākšanas periods ilgst 180 kalendārās dienas.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Tāpēc,</w:t>
            </w:r>
            <w:r>
              <w:t xml:space="preserve"> lai varētu sākt IIS darbību pakāpeniski, ir jāatkāpjas no konkrētiem noteikumiem Eiropas Parlamenta un Padomes Regulā (ES) 2017/2226 un Regulā (ES) 2016/399</w:t>
            </w:r>
            <w:r>
              <w:rPr>
                <w:rStyle w:val="Sup"/>
              </w:rPr>
              <w:t>3</w:t>
            </w:r>
            <w:r>
              <w:t xml:space="preserve"> (“Šengenas Robežu kodekss”). Citus Regulā (ES) 2017/2226 izklāstītos noteikumus, kurus šī regula neskar, piemēro, kā paredzēts minētajā regulā. Jo īpaši dati, kas reģistrēti IIS visā darbības pakāpeniskas sākšanas laikā, atbilst Regulā (ES) 2017/2226 izklāstītajiem noteikumiem un tiek uzskatīti par uzticamiem un precīziem.</w:t>
            </w:r>
          </w:p>
        </w:tc>
        <w:tc>
          <w:tcPr>
            <w:tcW w:w="4876" w:type="dxa"/>
            <w:vAlign w:val="top"/>
          </w:tcPr>
          <w:p>
            <w:pPr>
              <w:pStyle w:val="Normal6a"/>
            </w:pPr>
            <w:r>
              <w:t>(5)</w:t>
            </w:r>
            <w:r>
              <w:tab/>
            </w:r>
            <w:r>
              <w:t>Lai varētu sākt IIS darbību pakāpeniski, ir jāatkāpjas no konkrētiem noteikumiem Eiropas Parlamenta un Padomes Regulā (ES) 2017/2226 un Regulā (ES) 2016/399</w:t>
            </w:r>
            <w:r>
              <w:rPr>
                <w:rStyle w:val="Sup"/>
              </w:rPr>
              <w:t>3</w:t>
            </w:r>
            <w:r>
              <w:t xml:space="preserve"> (“Šengenas Robežu kodekss”). Citus Regulā (ES) 2017/2226 izklāstītos noteikumus, kurus šī regula neskar, piemēro, kā paredzēts minētajā regulā. Jo īpaši dati, kas reģistrēti IIS visā darbības pakāpeniskas sākšanas laikā, atbilst Regulā (ES) 2017/2226 izklāstītajiem noteikumiem un tiek uzskatīti par uzticamiem un precīziem. </w:t>
            </w:r>
            <w:r>
              <w:rPr>
                <w:b/>
                <w:i/>
                <w:strike w:val="0"/>
                <w:color w:val="auto"/>
                <w:highlight w:val="none"/>
                <w:u w:val="none" w:color="auto"/>
                <w:vertAlign w:val="baseline"/>
              </w:rPr>
              <w:t>Šī regula neskar to paziņojumu derīgumu, kurus dalībvalstis jau sniegušas Komisijai saskaņā ar Regulas (ES) 2017/2226 66. panta 1. punktu.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Eiropas Parlamenta un Padomes Regula (ES) 2016/399 (2016. gada 9. marts) par Savienības Kodeksu par noteikumiem, kas reglamentē personu pārvietošanos pār robežām (Šengenas Robežu kodekss) (OV L 77, 23.3.2016., 1. lpp., ELI: http://data.europa.eu/eli/reg/2016/399/oj).</w:t>
            </w:r>
          </w:p>
        </w:tc>
        <w:tc>
          <w:tcPr>
            <w:tcW w:w="4876" w:type="dxa"/>
            <w:vAlign w:val="top"/>
          </w:tcPr>
          <w:p>
            <w:pPr>
              <w:pStyle w:val="Normal6a"/>
            </w:pPr>
            <w:r>
              <w:rPr>
                <w:rStyle w:val="Sup"/>
              </w:rPr>
              <w:t>3</w:t>
            </w:r>
            <w:r>
              <w:t xml:space="preserve"> </w:t>
            </w:r>
            <w:r>
              <w:t>Eiropas Parlamenta un Padomes Regula (ES) 2016/399 (2016. gada 9. marts) par Savienības Kodeksu par noteikumiem, kas reglamentē personu pārvietošanos pār robežām (Šengenas Robežu kodekss) (OV L 77, 23.3.2016., 1. lpp.,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Dalībvalstīm būtu pakāpeniski jāsāk lietot IIS, lai ieceļošanas un izceļošanas brīdī vienā vai vairākās robežšķērsošanas vietās reģistrētu to trešo valstu valstspiederīgo datus, kuri jāreģistrē IIS. Ja tas ir iespējams un piemērojams, dalībvalstīm būtu jāiekļauj gaisa, sauszemes un jūras robežšķērsošanas vietu kombinācija. Lai nodrošinātu kontrolētu IIS darbības sākšanu un labāk pārvaldītu iespējamu ilgu gaidīšanu pie ārējām robežām un izvairītos no tās, dalībvalstīm attiecīgā gadījumā visas IIS funkcijas būtu jāievieš pakāpeniski un pakāpeniski jāsāk reģistrēt visu IIS reģistrējamo trešo valstu valstspiederīgo dati. Lai nodrošinātu </w:t>
            </w:r>
            <w:r>
              <w:t>koordinētu pieeju</w:t>
            </w:r>
            <w:r>
              <w:t xml:space="preserve">, darbību </w:t>
            </w:r>
            <w:r>
              <w:t>pakāpeniska sākšana</w:t>
            </w:r>
            <w:r>
              <w:t xml:space="preserve"> </w:t>
            </w:r>
            <w:r>
              <w:t>būtu</w:t>
            </w:r>
            <w:r>
              <w:t xml:space="preserve"> </w:t>
            </w:r>
            <w:r>
              <w:t>jāīsteno pa posmiem</w:t>
            </w:r>
            <w:r>
              <w:t xml:space="preserve">, </w:t>
            </w:r>
            <w:r>
              <w:t>kuriem</w:t>
            </w:r>
            <w:r>
              <w:t xml:space="preserve"> būtu jānosaka minimālās prasības, kas dalībvalstīm jāizpilda. </w:t>
            </w:r>
            <w:r>
              <w:rPr>
                <w:b/>
                <w:i/>
                <w:strike w:val="0"/>
                <w:color w:val="auto"/>
                <w:highlight w:val="none"/>
                <w:u w:val="none" w:color="auto"/>
                <w:vertAlign w:val="baseline"/>
              </w:rPr>
              <w:t>Dalībvalstīm no pakāpeniskās pieejas sākuma būs iespēja paātrināt īstenošanu valsts līmenī vai sākt IIS lietot pilnā apmērā.</w:t>
            </w:r>
          </w:p>
        </w:tc>
        <w:tc>
          <w:tcPr>
            <w:tcW w:w="4876" w:type="dxa"/>
            <w:vAlign w:val="top"/>
          </w:tcPr>
          <w:p>
            <w:pPr>
              <w:pStyle w:val="Normal6a"/>
            </w:pPr>
            <w:r>
              <w:t>(6)</w:t>
            </w:r>
            <w:r>
              <w:tab/>
            </w:r>
            <w:r>
              <w:t>Dalībvalstīm</w:t>
            </w:r>
            <w:r>
              <w:t>, kuras nesāk pilnībā lietot IIS visās savās robežšķērsošanas vietās vienlaikus,</w:t>
            </w:r>
            <w:r>
              <w:t xml:space="preserve"> būtu pakāpeniski jāsāk lietot IIS, lai ieceļošanas un izceļošanas brīdī vienā vai vairākās robežšķērsošanas vietās reģistrētu to trešo valstu valstspiederīgo datus, kuri jāreģistrē IIS. Ja tas ir iespējams un piemērojams, dalībvalstīm būtu jāiekļauj gaisa, sauszemes un jūras robežšķērsošanas vietu kombinācija. Lai nodrošinātu kontrolētu IIS darbības sākšanu un labāk pārvaldītu iespējamu ilgu gaidīšanu pie ārējām robežām un izvairītos no tās, dalībvalstīm attiecīgā gadījumā visas IIS funkcijas būtu jāievieš pakāpeniski un pakāpeniski jāsāk reģistrēt visu IIS reģistrējamo trešo valstu valstspiederīgo dati. Lai nodrošinātu</w:t>
            </w:r>
            <w:r>
              <w:t>, ka tiek sasniegts mērķis pilnībā izmantot IIS visās robežšķērsošanas vietās Savienībā</w:t>
            </w:r>
            <w:r>
              <w:t xml:space="preserve">, </w:t>
            </w:r>
            <w:r>
              <w:t>pakāpeniski ieviešot sistēmu, būtu jāparedz robežvērtības,</w:t>
            </w:r>
            <w:r>
              <w:t xml:space="preserve"> </w:t>
            </w:r>
            <w:r>
              <w:t>attiecībā uz kurām</w:t>
            </w:r>
            <w:r>
              <w:t xml:space="preserve"> būtu jānosaka minimālās prasības, kas dalībvalstīm jāizpilda.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Lai veicinātu raitu IIS ieviešanu, Eiropas Savienības Aģentūrai lielapjoma IT sistēmu darbības pārvaldībai brīvības, drošības un tiesiskuma telpā (</w:t>
            </w:r>
            <w:r>
              <w:t>eu-LISA</w:t>
            </w:r>
            <w:r>
              <w:t xml:space="preserve">) būtu jāizstrādā virslīmeņa ieviešanas plāns, kas dalībvalstīm un Savienības aģentūrām sniegtu norādījumus par IIS ieviešanas plānošanu un izpildi, sistēmai pakāpeniski sākot darbību, un tas būtu jāiesniedz Komisijai, dalībvalstīm un Savienības aģentūrām. </w:t>
            </w:r>
            <w:r>
              <w:rPr>
                <w:b/>
                <w:i/>
                <w:strike w:val="0"/>
                <w:color w:val="auto"/>
                <w:highlight w:val="none"/>
                <w:u w:val="none" w:color="auto"/>
                <w:vertAlign w:val="baseline"/>
              </w:rPr>
              <w:t>Šajā plānā būtu jāiekļauj centrālās sistēmas jaudas ierobežojumi, ko eu-LISA noteikusi katram ieviešanas posmam. Dalībvalstu lēmumos sākt darbību vai paātrināt darbības sākšanu būtu jāņem vērā centrālās sistēmas jauda, kas noteikta virslīmeņa ieviešanas plānā.</w:t>
            </w:r>
          </w:p>
        </w:tc>
        <w:tc>
          <w:tcPr>
            <w:tcW w:w="4876" w:type="dxa"/>
            <w:vAlign w:val="top"/>
          </w:tcPr>
          <w:p>
            <w:pPr>
              <w:pStyle w:val="Normal6a"/>
            </w:pPr>
            <w:r>
              <w:t>(7)</w:t>
            </w:r>
            <w:r>
              <w:tab/>
            </w:r>
            <w:r>
              <w:t>Lai veicinātu raitu IIS ieviešanu, Eiropas Savienības Aģentūrai lielapjoma IT sistēmu darbības pārvaldībai brīvības, drošības un tiesiskuma telpā (</w:t>
            </w:r>
            <w:r>
              <w:t>eu-LISA</w:t>
            </w:r>
            <w:r>
              <w:t>) būtu jāizstrādā virslīmeņa ieviešanas plāns, kas dalībvalstīm un Savienības aģentūrām sniegtu norādījumus par IIS ieviešanas plānošanu un izpildi, sistēmai pakāpeniski sākot darbību, un tas būtu jāiesniedz Komisijai, dalībvalstīm un Savienības aģentūrām.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Lai veicinātu raitu IIS ieviešanu, dalībvalstīm, apspriežoties ar Komisiju un </w:t>
            </w:r>
            <w:r>
              <w:t>eu-LISA</w:t>
            </w:r>
            <w:r>
              <w:t xml:space="preserve">, būtu jāizstrādā valsts ieviešanas plāni. Attiecībā uz katru IIS darbības pakāpeniskas sākšanas posmu valsts ieviešanas plānos būtu jāiekļauj informācija par noteiktajām robežvērtībām un prasībām, jo īpaši: (i) diena, no kuras IIS tiks lietota katrā robežšķērsošanas vietā, (ii) aplēstā IIS reģistrējamo robežšķērsošanas gadījumu skaita procentuālā daļa no to trešo valstu valstspiederīgo kopējā skaita, kuri jāreģistrē IIS, un iii) attiecīgā gadījumā biometrisko datu funkcijas, kas jāizmanto katrā izvēlētajā robežšķērsošanas vietā. Dalībvalstis tiek mudinātas, tām sagatavojot attiecīgos valsts ieviešanas plānus, pienācīgi koordinēt darbību ar robežšķērsošanas vietās pieejamās infrastruktūras operatoriem. Lai uzraudzītu atbilstību pakāpeniskai darbības sākšanai, dalībvalstīm būtu jāsniedz Komisijai un </w:t>
            </w:r>
            <w:r>
              <w:t>eu-LISA</w:t>
            </w:r>
            <w:r>
              <w:t xml:space="preserve"> ikmēneša ziņojumi par savu ieviešanas plānu īstenošanu. Šādos ikmēneša ziņojumos vajadzības gadījumā būtu jāiekļauj korektīvi pasākumi, lai nodrošinātu atbilstību pakāpeniskas darbības sākšanas prasībām.</w:t>
            </w:r>
          </w:p>
        </w:tc>
        <w:tc>
          <w:tcPr>
            <w:tcW w:w="4876" w:type="dxa"/>
            <w:vAlign w:val="top"/>
          </w:tcPr>
          <w:p>
            <w:pPr>
              <w:pStyle w:val="Normal6a"/>
            </w:pPr>
            <w:r>
              <w:t>(8)</w:t>
            </w:r>
            <w:r>
              <w:tab/>
            </w:r>
            <w:r>
              <w:t xml:space="preserve">Lai veicinātu raitu IIS ieviešanu, dalībvalstīm, apspriežoties ar Komisiju un </w:t>
            </w:r>
            <w:r>
              <w:t>eu-LISA</w:t>
            </w:r>
            <w:r>
              <w:t xml:space="preserve">, būtu jāizstrādā valsts ieviešanas plāni </w:t>
            </w:r>
            <w:r>
              <w:t>un tie jāiesniedz Komisijai</w:t>
            </w:r>
            <w:r>
              <w:t xml:space="preserve">. Attiecībā uz katru IIS darbības pakāpeniskas sākšanas posmu valsts ieviešanas plānos būtu jāiekļauj informācija par noteiktajām robežvērtībām un prasībām, jo īpaši: (i) diena, no kuras IIS tiks lietota katrā robežšķērsošanas vietā, (ii) aplēstā IIS reģistrējamo robežšķērsošanas gadījumu skaita procentuālā daļa no to trešo valstu valstspiederīgo kopējā skaita, kuri jāreģistrē IIS, un iii) attiecīgā gadījumā biometrisko datu funkcijas, kas jāizmanto katrā izvēlētajā robežšķērsošanas vietā. Dalībvalstis tiek mudinātas, tām sagatavojot attiecīgos valsts ieviešanas plānus, pienācīgi koordinēt darbību ar robežšķērsošanas vietās pieejamās infrastruktūras operatoriem. Lai uzraudzītu atbilstību pakāpeniskai darbības sākšanai, dalībvalstīm būtu jāsniedz Komisijai un </w:t>
            </w:r>
            <w:r>
              <w:t>eu-LISA</w:t>
            </w:r>
            <w:r>
              <w:t xml:space="preserve"> ikmēneša ziņojumi par savu ieviešanas plānu īstenošanu. Šādos ikmēneša ziņojumos vajadzības gadījumā būtu jāiekļauj korektīvi pasākumi, lai nodrošinātu atbilstību pakāpeniskas darbības sākšanas prasībām.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Tā kā IIS darbība sāksies pakāpeniski un IIS reģistrētie dati</w:t>
            </w:r>
            <w:r>
              <w:t>, iespējams,</w:t>
            </w:r>
            <w:r>
              <w:t xml:space="preserve"> būs nepilnīgi, IIS darbības pakāpeniskas sākšanas laikā trešo valstu valstspiederīgo ceļošanas dokumentos ieceļošanas un izceļošanas brīdī būtu sistemātiski jāiespiež spiedogi. Valsts iestādēm būtu jāņem vērā ieceļošanas/izceļošanas ierakstu vai ieceļošanas atteikuma ierakstu iespējamais nepilnīgums un būtu jāuzskata, ka spiedogiem ir augstāks spēks nekā IIS reģistrētajai informācijai. Turklāt, sniedzot informāciju trešo valstu valstspiederīgajiem par viņu maksimālo atlikušo atļautās uzturēšanās ilgumu, valsts iestādēm savs novērtējums būtu jābalsta uz spiedogiem, kas iespiesti ceļošanas dokumentos. Ka augstāks spēks ir IIS reģistrētajiem datiem, būtu jāuzskata tad, ja nav spiedoga.</w:t>
            </w:r>
          </w:p>
        </w:tc>
        <w:tc>
          <w:tcPr>
            <w:tcW w:w="4876" w:type="dxa"/>
            <w:vAlign w:val="top"/>
          </w:tcPr>
          <w:p>
            <w:pPr>
              <w:pStyle w:val="Normal6a"/>
            </w:pPr>
            <w:r>
              <w:t>(9)</w:t>
            </w:r>
            <w:r>
              <w:tab/>
            </w:r>
            <w:r>
              <w:t xml:space="preserve">Tā kā IIS darbība sāksies pakāpeniski un IIS reģistrētie dati </w:t>
            </w:r>
            <w:r>
              <w:t>tādējādi</w:t>
            </w:r>
            <w:r>
              <w:t xml:space="preserve"> būs nepilnīgi, IIS darbības pakāpeniskas sākšanas laikā trešo valstu valstspiederīgo ceļošanas dokumentos ieceļošanas un izceļošanas brīdī būtu sistemātiski jāiespiež spiedogi. Valsts iestādēm būtu jāņem vērā ieceļošanas/izceļošanas ierakstu vai ieceļošanas atteikuma ierakstu iespējamais nepilnīgums un būtu jāuzskata, ka spiedogiem ir augstāks spēks nekā IIS reģistrētajai informācijai. Turklāt, sniedzot informāciju trešo valstu valstspiederīgajiem par viņu maksimālo atlikušo atļautās uzturēšanās ilgumu, valsts iestādēm savs novērtējums būtu jābalsta uz spiedogiem, kas iespiesti ceļošanas dokumentos. Ka augstāks spēks ir IIS reģistrētajiem datiem, būtu jāuzskata tad, ja nav spiedoga.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Lai dalībvalstīm dotu laiku, kas vajadzīgs, lai pielāgotos IIS darbības sākšanai, pirmajās 60 kalendārajās dienās pēc darbības pakāpeniskas sākšanas biometrisko datu funkciju izmantošanai robežšķērsošanas vietās nevajadzētu būt obligātai. Ne vēlāk kā 90. kalendārajā dienā pēc darbības pakāpeniskas sākšanas dalībvalstīm būtu jālieto IIS ar biometrisko datu funkcijām vismaz pusē no to robežšķērsošanas vietām. Biometrisko datu sniegšanai nevajadzētu būt ieceļošanas nosacījumam tādiem trešo valstu valstspiederīgajiem, kuri jāreģistrē IIS, tādās robežšķērsošanas vietās, kur IIS lieto bez biometrisko datu funkcijām.</w:t>
            </w:r>
          </w:p>
        </w:tc>
        <w:tc>
          <w:tcPr>
            <w:tcW w:w="4876" w:type="dxa"/>
            <w:vAlign w:val="top"/>
          </w:tcPr>
          <w:p>
            <w:pPr>
              <w:pStyle w:val="Normal6a"/>
            </w:pPr>
            <w:r>
              <w:t>(11)</w:t>
            </w:r>
            <w:r>
              <w:tab/>
            </w:r>
            <w:r>
              <w:t>Lai dalībvalstīm dotu laiku, kas vajadzīgs, lai pielāgotos IIS darbības sākšanai, pirmajās 60 kalendārajās dienās pēc darbības pakāpeniskas sākšanas biometrisko datu funkciju izmantošanai robežšķērsošanas vietās nevajadzētu būt obligātai. (</w:t>
            </w:r>
            <w:r>
              <w:t>Neattiecas uz tekstu latviešu valodā</w:t>
            </w:r>
            <w:r>
              <w:t>) Biometrisko datu sniegšanai nevajadzētu būt ieceļošanas nosacījumam tādiem trešo valstu valstspiederīgajiem, kuri jāreģistrē IIS, tādās robežšķērsošanas vietās, kur IIS lieto bez biometrisko datu funkcijām.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Lai nodrošinātu ārējo robežu efektīvu pārvaldību IIS darbības pakāpeniskas sākšanas laikā tajās robežšķērsošanas vietās, kurās nelieto IIS, robežpārbaudes būtu jāveic saskaņā ar Regulu (ES) 2016/399, kas piemērojama no [diena pirms tās dienas, no kuras IIS jāsāk darbība atbilstoši Komisijas lēmumam, kas pieņemts saskaņā ar Regulas (ES) 2017/2226 66. panta 1. punktu]. Robežšķērsošanas vietās, kurās lieto IIS, robežpārbaudes būtu jāveic saskaņā ar Regulu (ES) 2017/2226 un Šengenas Robežu kodeksu. Tomēr, lai nodrošinātu darbības pakāpenisku sākšanu, būtu jāpiemēro īpašas atkāpes no minētajām regulām attiecībā uz pārbaudēm tādās robežšķērsošanas vietās, kurās IIS lieto bez biometrisko datu funkcijām. Tam būtu jānotiek, neskarot vīzas turētāju pārbaudes, ko veic, izmantojot pirkstu nospiedumus, saskaņā ar Regulu (EK) Nr. </w:t>
            </w:r>
            <w:r>
              <w:t>787/2008</w:t>
            </w:r>
            <w:r>
              <w:t>.</w:t>
            </w:r>
          </w:p>
        </w:tc>
        <w:tc>
          <w:tcPr>
            <w:tcW w:w="4876" w:type="dxa"/>
            <w:vAlign w:val="top"/>
          </w:tcPr>
          <w:p>
            <w:pPr>
              <w:pStyle w:val="Normal6a"/>
            </w:pPr>
            <w:r>
              <w:t>(23)</w:t>
            </w:r>
            <w:r>
              <w:tab/>
            </w:r>
            <w:r>
              <w:t>Lai nodrošinātu ārējo robežu efektīvu pārvaldību IIS darbības pakāpeniskas sākšanas laikā tajās robežšķērsošanas vietās, kurās nelieto IIS, robežpārbaudes būtu jāveic saskaņā ar Regulu (ES) 2016/399, kas piemērojama no [diena pirms tās dienas, no kuras IIS jāsāk darbība atbilstoši Komisijas lēmumam, kas pieņemts saskaņā ar Regulas (ES) 2017/2226 66. panta 1. punktu]. Robežšķērsošanas vietās, kurās lieto IIS, robežpārbaudes būtu jāveic saskaņā ar Regulu (ES) 2017/2226 un Šengenas Robežu kodeksu. Tomēr, lai nodrošinātu darbības pakāpenisku sākšanu, būtu jāpiemēro īpašas atkāpes no minētajām regulām attiecībā uz pārbaudēm tādās robežšķērsošanas vietās, kurās IIS lieto bez biometrisko datu funkcijām. Tam būtu jānotiek, neskarot vīzas turētāju pārbaudes, ko veic, izmantojot pirkstu nospiedumus, saskaņā ar Regulu (EK) Nr. </w:t>
            </w:r>
            <w:r>
              <w:t>767/2008</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Lai varētu efektīvi pielāgot tehniskos un organizatoriskos pasākumus </w:t>
            </w:r>
            <w:r>
              <w:t>IIS darbības pakāpeniskas sākšanas laikā katrā dalībvalstī</w:t>
            </w:r>
            <w:r>
              <w:t xml:space="preserve"> un lai pārvaldītu IIS centrālās sistēmas, valstu sistēmu vai komunikācijas infrastruktūras atteices ārkārtas apstākļus vai pārmērīgi ilgu gaidīšanu pie savām robežām, dalībvalstīm vajadzētu būt iespējai pilnībā vai daļēji apturēt IIS darbību konkrētās robežšķērsošanas vietās. Daļējas apturēšanas gadījumā biometrisko datu reģistrācija IIS būtu jāaptur. Pilnīgas apturēšanas gadījumā IIS nebūtu jāreģistrē dati. </w:t>
            </w:r>
            <w:r>
              <w:rPr>
                <w:b/>
                <w:i/>
                <w:strike w:val="0"/>
                <w:color w:val="auto"/>
                <w:highlight w:val="none"/>
                <w:u w:val="none" w:color="auto"/>
                <w:vertAlign w:val="baseline"/>
              </w:rPr>
              <w:t>Lai mazinātu papildu riskus, kas saistīti ar to, ka tiek ieviesta IIS ar biometrisko datu funkcijām, dalībvalstīm vajadzētu būt iespējai apturēt biometrisko datu reģistrāciju IIS pēc darbības pakāpeniskas sākšanas laikposma beigām tādos ārkārtas apstākļos, kas izraisa tik intensīvu satiksmi, ka gaidīšanas laiks pie robežām pārāk ieilgst Šādai apturēšanai vajadzētu būt iespējamai uz ierobežotu laikposmu, proti, 60 dienām pēc IIS darbības pakāpeniskas sākšanas laikposma beigām, un tā būtu jāpagarina par 60 dienām, ja IIS darbības pakāpeniskas sākšanas laikā mazāk nekā 80 % no IIS reģistrētajām personas datnēm satur biometriskos datus.</w:t>
            </w:r>
          </w:p>
        </w:tc>
        <w:tc>
          <w:tcPr>
            <w:tcW w:w="4876" w:type="dxa"/>
            <w:vAlign w:val="top"/>
          </w:tcPr>
          <w:p>
            <w:pPr>
              <w:pStyle w:val="Normal6a"/>
            </w:pPr>
            <w:r>
              <w:t>(24)</w:t>
            </w:r>
            <w:r>
              <w:tab/>
            </w:r>
            <w:r>
              <w:t xml:space="preserve">Lai varētu efektīvi pielāgot tehniskos un organizatoriskos pasākumus un lai pārvaldītu IIS centrālās sistēmas, </w:t>
            </w:r>
            <w:r>
              <w:t>iespējamas</w:t>
            </w:r>
            <w:r>
              <w:t xml:space="preserve"> valstu sistēmu vai komunikācijas infrastruktūras atteices ārkārtas apstākļus vai pārmērīgi ilgu gaidīšanu pie savām robežām, dalībvalstīm </w:t>
            </w:r>
            <w:r>
              <w:t>IIS darbības pakāpeniskas sākšanas laikā katrā dalībvalstī</w:t>
            </w:r>
            <w:r>
              <w:t xml:space="preserve"> vajadzētu būt iespējai pilnībā vai daļēji apturēt IIS darbību konkrētās robežšķērsošanas vietās. Daļējas apturēšanas gadījumā biometrisko datu reģistrācija IIS būtu jāaptur. Pilnīgas apturēšanas gadījumā IIS nebūtu jāreģistrē dati.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24.a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Lai mazinātu papildu riskus, kas saistīti ar to, ka tiek ieviesta IIS ar biometrisko datu funkcijām, dalībvalstīm vajadzētu būt iespējai apturēt biometrisko datu reģistrāciju IIS pēc darbības pakāpeniskas sākšanas perioda beigām tādos ārkārtas apstākļos, kas izraisa tik intensīvu satiksmi, ka gaidīšanas laiks pie robežām pārāk ieilgst Šādai apturēšanai vajadzētu būt iespējamai ierobežotā periodā, kas nepārsniedz 60 dienas pēc IIS pakāpeniskās ieviešanas beigām.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27.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Mērķi, kas izvirzīts šai regulai, ar ko atļauj atkāpes no Regulas (ES) 2017/2226 un Regulas (ES) </w:t>
            </w:r>
            <w:r>
              <w:t>2016/299</w:t>
            </w:r>
            <w:r>
              <w:t>, lai nodrošinātu pakāpenisku IIS darbības sākšanu, nevar pietiekami labi sasniegt atsevišķās dalībvalstīs, bet darbības mēroga un iedarbības dēļ to var labāk sasniegt Savienības līmenī. Tāpēc Savienība var pieņemt pasākumus saskaņā ar Līguma par Eiropas Savienību 5. pantā noteikto subsidiaritātes principu. Saskaņā ar minētajā pantā noteikto proporcionalitātes principu šajā regulā paredz vienīgi tos pasākumus, kas ir vajadzīgi minēto mērķu sasniegšanai.</w:t>
            </w:r>
          </w:p>
        </w:tc>
        <w:tc>
          <w:tcPr>
            <w:tcW w:w="4876" w:type="dxa"/>
            <w:vAlign w:val="top"/>
          </w:tcPr>
          <w:p>
            <w:pPr>
              <w:pStyle w:val="Normal6a"/>
            </w:pPr>
            <w:r>
              <w:t>(27)</w:t>
            </w:r>
            <w:r>
              <w:tab/>
            </w:r>
            <w:r>
              <w:t xml:space="preserve">Mērķi, kas izvirzīts šai regulai, ar ko atļauj atkāpes no Regulas (ES) 2017/2226 un Regulas (ES) </w:t>
            </w:r>
            <w:r>
              <w:t>2016/399</w:t>
            </w:r>
            <w:r>
              <w:t>, lai nodrošinātu pakāpenisku IIS darbības sākšanu, nevar pietiekami labi sasniegt atsevišķās dalībvalstīs, bet darbības mēroga un iedarbības dēļ to var labāk sasniegt Savienības līmenī. Tāpēc Savienība var pieņemt pasākumus saskaņā ar Līguma par Eiropas Savienību 5. pantā noteikto subsidiaritātes principu. Saskaņā ar minētajā pantā noteikto proporcionalitātes principu šajā regulā paredz vienīgi tos pasākumus, kas ir vajadzīgi minēto mērķu sasniegšanai.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punkts – c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“aplēstais robežšķērsošanas gadījumu skaits” ir Regulas (ES) 2017/2226 2. panta 1. un 2. punktā minēto trešo valstu valstspiederīgo robežšķērsošanas gadījumu skaits katrā dalībvalstī, kuru dalībvalsts aplēsusi, pamatojoties uz gada vidējo rādītāju, kas raksturo tādu trešo valstu valstspiederīgo robežšķērsošanas gadījumu kopējo skaitu, kuri ceļo īstermiņa uzturēšanās nolūkā minētajā dalībvalstī, un kas aprēķināts par </w:t>
            </w:r>
            <w:r>
              <w:t>iepriekšējiem trim gadiem</w:t>
            </w:r>
            <w:r>
              <w:t xml:space="preserve"> no šīs regulas 8. panta 1. punkta otrajā daļā minētās piemērošanas sākuma dienas.</w:t>
            </w:r>
          </w:p>
        </w:tc>
        <w:tc>
          <w:tcPr>
            <w:tcW w:w="4876" w:type="dxa"/>
            <w:vAlign w:val="top"/>
          </w:tcPr>
          <w:p>
            <w:pPr>
              <w:pStyle w:val="Normal6a"/>
            </w:pPr>
            <w:r>
              <w:t>(c)</w:t>
            </w:r>
            <w:r>
              <w:tab/>
            </w:r>
            <w:r>
              <w:t xml:space="preserve">“aplēstais robežšķērsošanas gadījumu skaits” ir Regulas (ES) 2017/2226 2. panta 1. un 2. punktā minēto trešo valstu valstspiederīgo robežšķērsošanas gadījumu skaits katrā dalībvalstī, kuru dalībvalsts aplēsusi, pamatojoties uz gada vidējo rādītāju, kas raksturo tādu trešo valstu valstspiederīgo robežšķērsošanas gadījumu kopējo skaitu, kuri ceļo īstermiņa uzturēšanās nolūkā minētajā dalībvalstī, un kas aprēķināts par </w:t>
            </w:r>
            <w:r>
              <w:t>iepriekšējo kalendāro gadu</w:t>
            </w:r>
            <w:r>
              <w:t xml:space="preserve"> no šīs regulas 8. panta 1. punkta otrajā daļā minētās piemērošanas sākuma dienas.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virsraksts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Ieviešanas plāni</w:t>
            </w:r>
          </w:p>
        </w:tc>
        <w:tc>
          <w:tcPr>
            <w:tcW w:w="4876" w:type="dxa"/>
            <w:vAlign w:val="top"/>
          </w:tcPr>
          <w:p>
            <w:pPr>
              <w:pStyle w:val="Normal6a"/>
            </w:pPr>
            <w:r>
              <w:t xml:space="preserve">Ieviešanas plāni </w:t>
            </w:r>
            <w:r>
              <w:t>un ikmēneša ziņojumi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Līdz [30. kalendārā diena pēc šīs regulas stāšanās spēkā] Eiropas Savienības Aģentūra lielapjoma IT sistēmu darbības pārvaldībai brīvības, drošības un tiesiskuma telpā (</w:t>
            </w:r>
            <w:r>
              <w:t>eu-LISA</w:t>
            </w:r>
            <w:r>
              <w:t>) iesniedz Komisijai, dalībvalstīm, kā arī Eiropolam virslīmeņa ieviešanas plānu IIS darbības pakāpeniskai sākšanai, ņemot vērā 4. pantā noteiktos posmus. Minētajā ieviešanas plānā iekļauj norādījumus dalībvalstīm un Eiropolam par IIS izmantošanu</w:t>
            </w:r>
            <w:r>
              <w:t>, tostarp IIS centrālās sistēmas jaudas ierobežojumus</w:t>
            </w:r>
            <w:r>
              <w:t>.</w:t>
            </w:r>
          </w:p>
        </w:tc>
        <w:tc>
          <w:tcPr>
            <w:tcW w:w="4876" w:type="dxa"/>
            <w:vAlign w:val="top"/>
          </w:tcPr>
          <w:p>
            <w:pPr>
              <w:pStyle w:val="Normal6a"/>
            </w:pPr>
            <w:r>
              <w:t>1.</w:t>
            </w:r>
            <w:r>
              <w:tab/>
            </w:r>
            <w:r>
              <w:t>Līdz [30. kalendārā diena pēc šīs regulas stāšanās spēkā] Eiropas Savienības Aģentūra lielapjoma IT sistēmu darbības pārvaldībai brīvības, drošības un tiesiskuma telpā (</w:t>
            </w:r>
            <w:r>
              <w:t>eu-LISA</w:t>
            </w:r>
            <w:r>
              <w:t>) iesniedz Komisijai, dalībvalstīm, kā arī Eiropolam virslīmeņa ieviešanas plānu IIS darbības pakāpeniskai sākšanai, ņemot vērā 4. pantā noteiktos posmus. Minētajā ieviešanas plānā iekļauj norādījumus dalībvalstīm un Eiropolam par IIS izmantošanu.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2.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Līdz [60. kalendārā diena pēc šīs regulas stāšanās spēkā] dalībvalstis, apspriežoties ar Komisiju un </w:t>
            </w:r>
            <w:r>
              <w:t>eu-LISA</w:t>
            </w:r>
            <w:r>
              <w:t xml:space="preserve">, izstrādā valsts ieviešanas </w:t>
            </w:r>
            <w:r>
              <w:t>plānu</w:t>
            </w:r>
            <w:r>
              <w:t xml:space="preserve"> IIS darbības pakāpeniskai sākšanai, ņemot vērā šā panta 1. punktā minēto virslīmeņa ieviešanas plānu un 4. pantā </w:t>
            </w:r>
            <w:r>
              <w:t>noteiktos posmus</w:t>
            </w:r>
            <w:r>
              <w:t>.</w:t>
            </w:r>
          </w:p>
        </w:tc>
        <w:tc>
          <w:tcPr>
            <w:tcW w:w="4876" w:type="dxa"/>
            <w:vAlign w:val="top"/>
          </w:tcPr>
          <w:p>
            <w:pPr>
              <w:pStyle w:val="Normal6a"/>
            </w:pPr>
            <w:r>
              <w:t>2.</w:t>
            </w:r>
            <w:r>
              <w:tab/>
            </w:r>
            <w:r>
              <w:t xml:space="preserve">Līdz [60. kalendārā diena pēc šīs regulas stāšanās spēkā] dalībvalstis, apspriežoties ar Komisiju un </w:t>
            </w:r>
            <w:r>
              <w:t>eu-LISA</w:t>
            </w:r>
            <w:r>
              <w:t xml:space="preserve">, izstrādā valsts ieviešanas </w:t>
            </w:r>
            <w:r>
              <w:t>plānus</w:t>
            </w:r>
            <w:r>
              <w:t xml:space="preserve"> IIS darbības pakāpeniskai sākšanai, ņemot vērā šā panta 1. punktā minēto virslīmeņa ieviešanas plānu</w:t>
            </w:r>
            <w:r>
              <w:t>,</w:t>
            </w:r>
            <w:r>
              <w:t xml:space="preserve"> un </w:t>
            </w:r>
            <w:r>
              <w:t>minētos plānus dara zināmus Komisijai</w:t>
            </w:r>
            <w:r>
              <w:t>.</w:t>
            </w:r>
            <w:r>
              <w:rPr>
                <w:b/>
                <w:i/>
                <w:strike w:val="0"/>
                <w:color w:val="auto"/>
                <w:highlight w:val="none"/>
                <w:u w:val="none" w:color="auto"/>
                <w:vertAlign w:val="baseline"/>
              </w:rPr>
              <w:t xml:space="preserve"> </w:t>
            </w:r>
            <w:r>
              <w:t>Ja dalībvalsts nesāk pilnībā lietot IIS no tās darbības pakāpeniskas sākšanas sākuma, valsts ieviešanas plānā norāda, kā tiek ievērotas</w:t>
            </w:r>
            <w:r>
              <w:t xml:space="preserve"> 4. pantā </w:t>
            </w:r>
            <w:r>
              <w:t>noteiktās robežvērtības un prasības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Attiecībā uz katru 4. pantā noteikto posmu valsts ieviešanas plānos iekļauj informāciju par minētajā pantā noteiktajām robežvērtībām un prasībām.</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4.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Sākot no 30. kalendārās dienas pēc IIS</w:t>
            </w:r>
            <w:r>
              <w:t xml:space="preserve"> darbības pakāpeniskas sākšanas</w:t>
            </w:r>
            <w:r>
              <w:t xml:space="preserve">, dalībvalstis sniedz Komisijai un </w:t>
            </w:r>
            <w:r>
              <w:t>eu-LISA</w:t>
            </w:r>
            <w:r>
              <w:t xml:space="preserve"> ikmēneša ziņojumus par savu valsts ieviešanas plānu īstenošanu, tostarp par korektīviem pasākumiem, ja tie vajadzīgi, lai izpildītu 4. pantā noteiktos pienākumus.</w:t>
            </w:r>
          </w:p>
        </w:tc>
        <w:tc>
          <w:tcPr>
            <w:tcW w:w="4876" w:type="dxa"/>
            <w:vAlign w:val="top"/>
          </w:tcPr>
          <w:p>
            <w:pPr>
              <w:pStyle w:val="Normal6a"/>
            </w:pPr>
            <w:r>
              <w:t>4.</w:t>
            </w:r>
            <w:r>
              <w:tab/>
            </w:r>
            <w:r>
              <w:t xml:space="preserve">Sākot no 30. kalendārās dienas pēc </w:t>
            </w:r>
            <w:r>
              <w:t>dienas, no kuras</w:t>
            </w:r>
            <w:r>
              <w:t xml:space="preserve"> IIS </w:t>
            </w:r>
            <w:r>
              <w:t>jāsāk darboties, kā nolēmusi Komisija saskaņā ar Regulas (ES) 2017/2226 66. panta 1. punktu</w:t>
            </w:r>
            <w:r>
              <w:t xml:space="preserve">, dalībvalstis sniedz Komisijai un </w:t>
            </w:r>
            <w:r>
              <w:t>eu-LISA</w:t>
            </w:r>
            <w:r>
              <w:t xml:space="preserve"> ikmēneša ziņojumus par savu valsts ieviešanas plānu īstenošanu, tostarp par korektīviem pasākumiem, ja tie vajadzīgi, lai izpildītu 4. pantā noteiktos pienākumus.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5.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Pēc Komisijas pieprasījuma </w:t>
            </w:r>
            <w:r>
              <w:t>eu-LISA</w:t>
            </w:r>
            <w:r>
              <w:t xml:space="preserve"> sniedz Komisijai statistiku, kas vajadzīga, lai uzraudzītu valsts ieviešanas plānus saskaņā ar Regulas (ES) 2017/2226 63. panta 6. punktu.</w:t>
            </w:r>
          </w:p>
        </w:tc>
        <w:tc>
          <w:tcPr>
            <w:tcW w:w="4876" w:type="dxa"/>
            <w:vAlign w:val="top"/>
          </w:tcPr>
          <w:p>
            <w:pPr>
              <w:pStyle w:val="Normal6a"/>
            </w:pPr>
            <w:r>
              <w:t>5.</w:t>
            </w:r>
            <w:r>
              <w:tab/>
            </w:r>
            <w:r>
              <w:t xml:space="preserve">Pēc Komisijas pieprasījuma </w:t>
            </w:r>
            <w:r>
              <w:t>eu-LISA</w:t>
            </w:r>
            <w:r>
              <w:t xml:space="preserve"> sniedz Komisijai statistiku, kas vajadzīga, lai uzraudzītu </w:t>
            </w:r>
            <w:r>
              <w:t>virslīmeņa ieviešanas plānu un</w:t>
            </w:r>
            <w:r>
              <w:t xml:space="preserve"> valsts ieviešanas plānus saskaņā ar Regulas (ES) 2017/2226 63. panta 6. punktu.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2. punkts – 1.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No IIS darbības pakāpeniskas sākšanas pirmās dienas katra dalībvalsts sāk izmantot IIS ieceļošanas un izceļošanas reģistrēšanai vienā vai vairākās robežšķērsošanas vietās, kombinējot, ja iespējams un piemērojams, gaisa, sauszemes un jūras robežšķērsošanas vietas, lai reģistrētu un glabātu Regulas (ES) 2017/2226 2. panta 1. un 2. punktā minēto trešo valstu valstspiederīgo datus. Dalībvalstis reģistrē IIS vismaz 10 % no aplēstā robežšķērsošanas gadījumu skaita minētajā dalībvalstī.</w:t>
            </w:r>
          </w:p>
        </w:tc>
        <w:tc>
          <w:tcPr>
            <w:tcW w:w="4876" w:type="dxa"/>
            <w:vAlign w:val="top"/>
          </w:tcPr>
          <w:p>
            <w:pPr>
              <w:pStyle w:val="Normal6a"/>
            </w:pPr>
            <w:r>
              <w:t xml:space="preserve">No IIS darbības pakāpeniskas sākšanas pirmās dienas katra dalībvalsts sāk izmantot IIS ieceļošanas un izceļošanas reģistrēšanai vienā vai vairākās robežšķērsošanas vietās, kombinējot, ja iespējams un piemērojams, gaisa, sauszemes un jūras robežšķērsošanas vietas, lai reģistrētu un glabātu Regulas (ES) 2017/2226 2. panta 1. un 2. punktā minēto trešo valstu valstspiederīgo datus. </w:t>
            </w:r>
            <w:r>
              <w:t>Ne vēlāk kā 30. kalendārajā dienā pēc IIS darbības pakāpeniskas sākšanas</w:t>
            </w:r>
            <w:r>
              <w:t xml:space="preserve"> dalībvalstis reģistrē IIS vismaz 10 % no aplēstā robežšķērsošanas gadījumu skaita minētajā dalībvalstī.</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Ne vēlāk kā 90. kalendārajā dienā pēc IIS darbības pakāpeniskas sākšanas dalībvalstis lieto IIS ar biometrisko datu funkcijām vismaz pusē no to robežšķērsošanas vietām. Dalībvalstis reģistrē vismaz </w:t>
            </w:r>
            <w:r>
              <w:t>50</w:t>
            </w:r>
            <w:r>
              <w:t> % no aplēstā robežšķērsošanas gadījumu skaita minētajā dalībvalstī. Regulas (ES) 2017/2226 2. panta 1. un 2. punktā minēto trešo valstu valstspiederīgo personas datnēs, kas reģistrētas IIS, ietver biometriskos datus.</w:t>
            </w:r>
          </w:p>
        </w:tc>
        <w:tc>
          <w:tcPr>
            <w:tcW w:w="4876" w:type="dxa"/>
            <w:vAlign w:val="top"/>
          </w:tcPr>
          <w:p>
            <w:pPr>
              <w:pStyle w:val="Normal6a"/>
            </w:pPr>
            <w:r>
              <w:t>3.</w:t>
            </w:r>
            <w:r>
              <w:tab/>
            </w:r>
            <w:r>
              <w:t xml:space="preserve">Ne vēlāk kā 90. kalendārajā dienā pēc IIS darbības pakāpeniskas sākšanas dalībvalstis lieto IIS ar biometrisko datu funkcijām vismaz pusē no to robežšķērsošanas vietām. Dalībvalstis reģistrē vismaz </w:t>
            </w:r>
            <w:r>
              <w:t>35</w:t>
            </w:r>
            <w:r>
              <w:t> % no aplēstā robežšķērsošanas gadījumu skaita minētajā dalībvalstī. Regulas (ES) 2017/2226 2. panta 1. un 2. punktā minēto trešo valstu valstspiederīgo personas datnēs, kas reģistrētas IIS, ietver biometriskos datus.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4.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Ne vēlāk kā 150. kalendārajā dienā pēc IIS darbības pakāpeniskas sākšanas dalībvalstis lieto IIS ar biometrisko datu funkcijām visās savās robežšķērsošanas vietās un turpina reģistrēt IIS vismaz 50 % no aplēstā robežšķērsošanas gadījumu skaita konkrētajā dalībvalstī.</w:t>
            </w:r>
          </w:p>
        </w:tc>
        <w:tc>
          <w:tcPr>
            <w:tcW w:w="4876" w:type="dxa"/>
            <w:vAlign w:val="top"/>
          </w:tcPr>
          <w:p>
            <w:pPr>
              <w:pStyle w:val="Normal6a"/>
            </w:pPr>
            <w:r>
              <w:t>4.</w:t>
            </w:r>
            <w:r>
              <w:tab/>
            </w:r>
            <w:r>
              <w:t>(</w:t>
            </w:r>
            <w:r>
              <w:t>Neattiecas uz tekstu latviešu valodā</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5.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Ne vēlāk kā 170. kalendārajā dienā pēc IIS darbības pakāpeniskas sākšanas dalībvalstis lieto IIS ar biometrisko datu funkcijām visās savās robežšķērsošanas vietās un reģistrē IIS visus Regulas (ES) 2017/2226 2. panta 1. un 2. punktā minētos trešo valstu valstspiederīgos.</w:t>
            </w:r>
          </w:p>
        </w:tc>
        <w:tc>
          <w:tcPr>
            <w:tcW w:w="4876" w:type="dxa"/>
            <w:vAlign w:val="top"/>
          </w:tcPr>
          <w:p>
            <w:pPr>
              <w:pStyle w:val="Normal6a"/>
            </w:pPr>
            <w:r>
              <w:t>5.</w:t>
            </w:r>
            <w:r>
              <w:tab/>
            </w:r>
            <w:r>
              <w:t>(</w:t>
            </w:r>
            <w:r>
              <w:t>Neattiecas uz tekstu latviešu valodā</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pants – 4. punkts – 2.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Šis pieņēmums neattiecas uz tādiem trešo valstu valstspiederīgajiem, kuri jebkādā veidā var sniegt ticamus pierādījumus, ka viņiem saskaņā ar Savienības tiesību aktiem ir tiesības brīvi pārvietoties</w:t>
            </w:r>
            <w:r>
              <w:t>,</w:t>
            </w:r>
            <w:r>
              <w:t xml:space="preserve"> </w:t>
            </w:r>
            <w:r>
              <w:t>ka viņiem ir uzturēšanās tiesības uzņēmējā dalībvalstī saskaņā ar ES un Apvienotās Karalistes noslēgto Izstāšanās līgumu</w:t>
            </w:r>
            <w:r>
              <w:t xml:space="preserve"> vai ka viņiem ir uzturēšanās atļauja vai ilgtermiņa vīza.</w:t>
            </w:r>
          </w:p>
        </w:tc>
        <w:tc>
          <w:tcPr>
            <w:tcW w:w="4876" w:type="dxa"/>
            <w:vAlign w:val="top"/>
          </w:tcPr>
          <w:p>
            <w:pPr>
              <w:pStyle w:val="Normal6a"/>
            </w:pPr>
            <w:r>
              <w:t>Šis pieņēmums neattiecas uz tādiem trešo valstu valstspiederīgajiem, kuri jebkādā veidā var sniegt ticamus pierādījumus, ka viņiem saskaņā ar Savienības tiesību aktiem ir tiesības brīvi pārvietoties vai ka viņiem ir uzturēšanās atļauja vai ilgtermiņa vīza.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pants – 1. punkts – 4.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Abos gadījumos dalībvalstis nekavējoties </w:t>
            </w:r>
            <w:r>
              <w:t>un</w:t>
            </w:r>
            <w:r>
              <w:t xml:space="preserve"> ne vēlāk kā 6 stundas pēc apturēšanas sākuma paziņo Komisijai un </w:t>
            </w:r>
            <w:r>
              <w:t>eu-LISA</w:t>
            </w:r>
            <w:r>
              <w:t xml:space="preserve"> daļējas vai pilnīgas apturēšanas iemeslu un paredzamo ilgumu </w:t>
            </w:r>
            <w:r>
              <w:t>un nodrošina, ka robežšķērsošanas vietās pieejamās infrastruktūras operatori un pārvadātāji tiek pienācīgi informēti par šādu apturēšanu</w:t>
            </w:r>
            <w:r>
              <w:t xml:space="preserve">. Tiklīdz ārkārtas apstākļi, kas izraisīja apturēšanu, ir beigušies, dalībvalstis nekavējoties to paziņo Komisijai </w:t>
            </w:r>
            <w:r>
              <w:t>un eu-LISA</w:t>
            </w:r>
            <w:r>
              <w:t>.</w:t>
            </w:r>
          </w:p>
        </w:tc>
        <w:tc>
          <w:tcPr>
            <w:tcW w:w="4876" w:type="dxa"/>
            <w:vAlign w:val="top"/>
          </w:tcPr>
          <w:p>
            <w:pPr>
              <w:pStyle w:val="Normal6a"/>
            </w:pPr>
            <w:r>
              <w:t xml:space="preserve">Abos gadījumos dalībvalstis nekavējoties informē </w:t>
            </w:r>
            <w:r>
              <w:t>robežšķērsošanas vietās pieejamās infrastruktūras operatorus un pārvadātājus</w:t>
            </w:r>
            <w:r>
              <w:t xml:space="preserve">. Ne vēlāk kā 6 stundas pēc apturēšanas sākuma </w:t>
            </w:r>
            <w:r>
              <w:t>dalībvalstis</w:t>
            </w:r>
            <w:r>
              <w:t xml:space="preserve"> paziņo Komisijai un </w:t>
            </w:r>
            <w:r>
              <w:t>eu-LISA</w:t>
            </w:r>
            <w:r>
              <w:t xml:space="preserve"> daļējas vai pilnīgas apturēšanas iemeslu un paredzamo ilgumu Tiklīdz ārkārtas apstākļi, kas izraisīja apturēšanu, ir beigušies, dalībvalstis</w:t>
            </w:r>
            <w:r>
              <w:t xml:space="preserve"> izbeidz apturēšanu un</w:t>
            </w:r>
            <w:r>
              <w:t xml:space="preserve"> </w:t>
            </w:r>
            <w:r>
              <w:t>par to</w:t>
            </w:r>
            <w:r>
              <w:t xml:space="preserve"> nekavējoties to paziņo Komisijai</w:t>
            </w:r>
            <w:r>
              <w:t>, eu-LISA, robežšķērsošanas vietās pieejamās infrastruktūras operatoriem un pārvadātājiem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Ja IIS darbības pakāpeniskas sākšanas laikā mazāk nekā 80 % no IIS reģistrētajām personas datnēm satur biometriskos datus, šā panta 2. punktā noteikto laikposmu automātiski pagarina par 60 kalendārajām dienām.</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pants – 4.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Vēlākais līdz 10. kalendārajai dienai pēc IIS darbības pakāpeniskas sākšanas laikposma beigām eu-LISA iesniedz Komisijai statistiku, kas ļauj Komisijai pārbaudīt, vai šī procentuālā daļa ir sasniegta. Ne vēlāk kā 30. kalendārajā dienā pēc IIS darbības pakāpeniskas sākšanas laikposma beigām Komisija informē dalībvalstis par pārbaudes rezultātiem.</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pants – 2. punkts – 1. daļa – d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Regulas 7. panta 2. </w:t>
            </w:r>
            <w:r>
              <w:t>un 3. </w:t>
            </w:r>
            <w:r>
              <w:t xml:space="preserve">punktu beidz piemērot, kad pagājušas </w:t>
            </w:r>
            <w:r>
              <w:t>300</w:t>
            </w:r>
            <w:r>
              <w:t> kalendārās dienas no dienas, par kuru Komisija pieņēmusi lēmumu saskaņā ar Regulas (ES) 2017/2226 66. panta 1. punktu;</w:t>
            </w:r>
          </w:p>
        </w:tc>
        <w:tc>
          <w:tcPr>
            <w:tcW w:w="4876" w:type="dxa"/>
            <w:vAlign w:val="top"/>
          </w:tcPr>
          <w:p>
            <w:pPr>
              <w:pStyle w:val="Normal6a"/>
            </w:pPr>
            <w:r>
              <w:t>(d)</w:t>
            </w:r>
            <w:r>
              <w:tab/>
            </w:r>
            <w:r>
              <w:t xml:space="preserve">Regulas 7. panta 2. punktu beidz piemērot, kad pagājušas </w:t>
            </w:r>
            <w:r>
              <w:t>240</w:t>
            </w:r>
            <w:r>
              <w:t> kalendārās dienas no dienas, par kuru Komisija pieņēmusi lēmumu saskaņā ar Regulas (ES) 2017/2226 66. panta 1. punktu;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PASKAIDROJUMS</w:t>
      </w:r>
      <w:bookmarkEnd w:id="1"/>
    </w:p>
    <w:p>
      <w:pPr>
        <w:pStyle w:val="Normal12a"/>
      </w:pPr>
      <w:r>
        <w:rPr>
          <w:rStyle w:val="Bold"/>
        </w:rPr>
        <w:t>Ievads</w:t>
      </w:r>
    </w:p>
    <w:p>
      <w:pPr>
        <w:pStyle w:val="Normal12a"/>
      </w:pPr>
      <w:r>
        <w:t>Regulā 2017/2226 (“IIS regula”) paredzētā ieceļošanas/izceļošanas sistēma (IIS) ir būtisks Šengenas zonas robežu pārvaldības elements. IIS reģistrē savā centralizētajā datubāzē to trešo valstu valstspiederīgo ieceļošanu, izceļošanu un ieceļošanas atteikumus, kuri šķērso 29 Šengenas dalībvalstu ārējās robežas īstermiņa uzturēšanās nolūkā. Tas ir nozīmīgs solis ES centienos uzlabot drošību un efektivitāti pie tās ārējām robežām. Pirmo reizi sistēma papildus burtciparu datiem vāks arī to trešo valstu valstspiederīgo, kuri šķērso ārējās robežas, biometriskos datus, proti, sejas attēlus un pirkstu nospiedumus. IIS nodrošinās Šengenas dalībvalstīm reāllaika piekļuvi trešo valstu valstspiederīgo personas datiem, ceļošanas vēsturei un tam, vai viņi ievēro atļautās īstermiņa uzturēšanās ilgumu Šengenas zonā. Tādējādi IIS būtu jāsamazina identitātes viltošanas un uzturēšanās termiņa pārsniegšanas iespējamība, galu galā stiprinot Šengenas zonas drošību. Līdz ar to, uzstādot automatizētu robežu infrastruktūru, IIS galu galā būtu arī jāsamazina godprātīgu ceļotāju gaidīšanas laiks robežšķērsošanas vietās.</w:t>
      </w:r>
    </w:p>
    <w:p>
      <w:pPr>
        <w:pStyle w:val="Normal12a"/>
      </w:pPr>
      <w:r>
        <w:t xml:space="preserve">IIS izstrāde ir prasījusi ilgāku laiku, nekā tika gaidīts, un plānotie darbības sākšanas datumi netika ievēroti. Viena no prasībām IIS darbības sākšanai ir tāda, ka Komisijai no katras dalībvalsts jāsaņem “paziņojums par gatavību”. Pašlaik trīs dalībvalstis ir norādījušas, ka tās nevar sniegt šādu paziņojumu. Šī kavēšanās ir saistīta gan ar valstu iekšējām problēmām, gan bažām par </w:t>
      </w:r>
      <w:r>
        <w:rPr>
          <w:rStyle w:val="Italic"/>
        </w:rPr>
        <w:t>eu-LISA</w:t>
      </w:r>
      <w:r>
        <w:t xml:space="preserve"> pārvaldītās centrālās sistēmas darbības stabilitāti.</w:t>
      </w:r>
    </w:p>
    <w:p>
      <w:pPr>
        <w:pStyle w:val="Normal12a"/>
      </w:pPr>
      <w:r>
        <w:t>Ņemot vērā iepriekš minēto, vairākas IIS darbībā iesaistītās ieinteresētās personas uzskatīja, ka pirms vienošanās par jaunu procesu ieviešanas pie ārējām robežām būtu jānosaka pielāgošanās periods valsts iestādēm un ceļotājiem. Jaunas lielapjoma IT sistēmas pilnīga ieviešana visās robežšķērsošanas vietās varētu radīt riskus drošai un netraucētai ceļošanai.</w:t>
      </w:r>
    </w:p>
    <w:p>
      <w:pPr>
        <w:pStyle w:val="Normal12a"/>
      </w:pPr>
      <w:r>
        <w:t>Tomēr IIS regula ļauj IIS sākt darbību tikai pilnībā, un tas nozīmē, ka visas dalībvalstis sāk to izmantot pilnībā un vienlaikus visās savās ārējās robežas šķērsošanas vietās attiecībā uz visiem pasažieriem, kuri jāreģistrē IIS. Tajā nav paredzēta iespēja noteikt pielāgošanās periodu.</w:t>
      </w:r>
    </w:p>
    <w:p>
      <w:pPr>
        <w:pStyle w:val="Normal12a"/>
      </w:pPr>
      <w:r>
        <w:t>Šajā sakarībā Komisija 2024. gada decembrī nāca klajā ar priekšlikumu par IIS darbības pakāpenisku sākšanu. Sistēmas darbības pakāpeniska sākšana nozīmētu, ka 180 dienu periodā pirms sistēmas pilnīgas ieviešanas dalībvalstis pakāpeniski palielinātu sistēmas izmantošanu.</w:t>
      </w:r>
    </w:p>
    <w:p>
      <w:pPr>
        <w:pStyle w:val="Normal12a"/>
      </w:pPr>
      <w:r>
        <w:rPr>
          <w:rStyle w:val="Bold"/>
        </w:rPr>
        <w:t>Referentes nostāja</w:t>
      </w:r>
    </w:p>
    <w:p>
      <w:pPr>
        <w:pStyle w:val="Normal12a"/>
      </w:pPr>
      <w:r>
        <w:t>Referents atbalsta IIS un tās mērķus uzlabot drošību un atvieglot cilvēku pārvietošanos pie ES ārējām robežām. Nepieciešamību pastiprināt drošību pie robežām skaidri apliecināja šausminošais teroristu uzbrukumu vilnis ES dalībvalstīs, tostarp Francijā un Beļģijā, 2015. un 2016. gadā. Lai gan referente izprot grūtības izveidot liela mēroga jaunu sistēmu, kas ietver jaunus aparatūras un programmatūras komponentus, kā arī paredz izmaiņas procedūrās robežšķērsošanas vietās, viņa pauž nožēlu, ka astoņus gadus pēc regulas pieņemšanas sistēma joprojām nedarbojas. Kopš 2017. gada drošības apdraudējumi nav samazinājušies. Gluži pretēji – tie ir pieauguši. Lai beidzot varētu ieviest IIS pilnībā, referente principā piekrīt ierosinātajai pakāpeniskajai darbības sākšanai.</w:t>
      </w:r>
    </w:p>
    <w:p>
      <w:pPr>
        <w:pStyle w:val="Normal12a"/>
      </w:pPr>
      <w:r>
        <w:t>Viņa ierosina Komisijas priekšlikumā izdarīt šādas izmaiņas:</w:t>
      </w:r>
    </w:p>
    <w:p>
      <w:pPr>
        <w:pStyle w:val="Normal12a"/>
      </w:pPr>
      <w:r>
        <w:t>1. Referente uzsver, ka IIS pakāpeniska ieviešana 180 dienu pakāpeniskas darbības sākšanas periodā ir brīvprātīga. Dalībvalstīm, kuras nolemj no pirmās dienas visās savās robežšķērsošanas vietās pilnībā izmantot IIS attiecībā uz visiem trešo valstu valstspiederīgajiem, kuri ir jāreģistrē IIS, vajadzētu būt iespējai to darīt.</w:t>
      </w:r>
    </w:p>
    <w:p>
      <w:pPr>
        <w:pStyle w:val="Normal12a"/>
      </w:pPr>
      <w:r>
        <w:t>2. Tomēr dalībvalstīm, kas tā vietā nolemj ieviest IIS pakāpeniski, būtu jāatļauj rīkoties elastīgāk, nekā paredzēts Komisijas priekšlikumā. Tā vietā, lai sāktu ieviest IIS vismaz 10 % apjomā no pirmās dienas, dalībvalstīm būtu jāsasniedz 10 % darbības rādītājs pirmajās 30 pakāpeniskās ieviešanas dienās. Tā vietā, lai līdz 90. dienai IIS reģistrētu vismaz 50 % no aplēstā robežšķērsošanas gadījumu skaita, šim rādītājam vajadzētu būt vismaz 35 %. Šajā procentu korekcijā ir ņemts vērā tas, ka jaunu sarežģītu sistēmu ieviešana parasti ir eksponenciāla, nevis lineāra.</w:t>
      </w:r>
    </w:p>
    <w:p>
      <w:pPr>
        <w:pStyle w:val="Normal12a"/>
      </w:pPr>
      <w:r>
        <w:t xml:space="preserve">3. Referente uzsver, ka </w:t>
      </w:r>
      <w:r>
        <w:rPr>
          <w:rStyle w:val="Italic"/>
        </w:rPr>
        <w:t>eu-LISA</w:t>
      </w:r>
      <w:r>
        <w:t xml:space="preserve"> pārvaldītā IIS centrālā komponenta ierobežojumiem vairs nevajadzētu kavēt ieviešanu dalībvalstīs.</w:t>
      </w:r>
    </w:p>
    <w:p>
      <w:pPr>
        <w:pStyle w:val="Normal12a"/>
      </w:pPr>
      <w:r>
        <w:t>4. Referente precizē dažus noteikumus attiecībā uz ieviešanas plānu un ikmēneša ziņošanas prasībām, procentu aprēķināšanas pamatu un informācijas plūsmām sistēmas izmantošanas iespējamas apturēšanas laikā.</w:t>
      </w:r>
    </w:p>
    <w:p>
      <w:pPr>
        <w:pStyle w:val="Normal12a"/>
      </w:pPr>
      <w:r>
        <w:t>5. Referente iesaka saīsināt ierosināto periodu pēc IIS darbības pakāpeniskas sākšanas, kura laikā dalībvalstis var daļēji apturēt IIS darbību, un uzsver, ka dalībvalstīm, kuras vēl nav nosūtījušas savus paziņojumus par gatavību, tagad tas ir steidzami jādara, lai sistēma varētu sākt darboties 2025. gada rudenī, kas ir zemas pārrobežu ceļošanas intensitātes laiks.</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22</w:t>
    </w:r>
    <w:r>
      <w:fldChar w:fldCharType="end"/>
    </w:r>
    <w:r>
      <w:tab/>
    </w:r>
    <w:r>
      <w:rPr>
        <w:rStyle w:val="HideTWBExt"/>
      </w:rPr>
      <w:t>&lt;</w:t>
    </w:r>
    <w:r>
      <w:rPr>
        <w:rStyle w:val="HideTWBExt"/>
      </w:rPr>
      <w:t>PathFdR</w:t>
    </w:r>
    <w:r>
      <w:rPr>
        <w:rStyle w:val="HideTWBExt"/>
      </w:rPr>
      <w:t>&gt;</w:t>
    </w:r>
    <w:r>
      <w:t>PR\1316296LV.docx</w:t>
    </w:r>
    <w:r>
      <w:rPr>
        <w:rStyle w:val="HideTWBExt"/>
      </w:rPr>
      <w:t>&lt;/</w:t>
    </w:r>
    <w:r>
      <w:rPr>
        <w:rStyle w:val="HideTWBExt"/>
      </w:rPr>
      <w:t>PathFdR</w:t>
    </w:r>
    <w:r>
      <w:rPr>
        <w:rStyle w:val="HideTWBExt"/>
      </w:rPr>
      <w:t>&gt;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PR\1316296LV.docx</w:t>
    </w:r>
    <w:r>
      <w:rPr>
        <w:rStyle w:val="HideTWBExt"/>
      </w:rPr>
      <w:t>&lt;/</w:t>
    </w:r>
    <w:r>
      <w:rPr>
        <w:rStyle w:val="HideTWBExt"/>
      </w:rPr>
      <w:t>PathFdR</w:t>
    </w:r>
    <w:r>
      <w:rPr>
        <w:rStyle w:val="HideTWBExt"/>
      </w:rPr>
      <w:t>&gt;</w:t>
    </w:r>
    <w:r>
      <w:tab/>
    </w:r>
    <w:r>
      <w:fldChar w:fldCharType="begin"/>
    </w:r>
    <w:r>
      <w:instrText>PAGE</w:instrText>
    </w:r>
    <w:r>
      <w:fldChar w:fldCharType="separate"/>
    </w:r>
    <w:r>
      <w:t>21</w:t>
    </w:r>
    <w:r>
      <w:fldChar w:fldCharType="end"/>
    </w:r>
    <w:r>
      <w:t>/</w:t>
    </w:r>
    <w:r>
      <w:fldChar w:fldCharType="begin"/>
    </w:r>
    <w:r>
      <w:instrText>NUMPAGES</w:instrText>
    </w:r>
    <w:r>
      <w:fldChar w:fldCharType="separate"/>
    </w:r>
    <w:r>
      <w:t>22</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PR\1316296LV.docx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LV</w:t>
    </w:r>
    <w:r>
      <w:tab/>
    </w:r>
    <w:r>
      <w:rPr>
        <w:rStyle w:val="EPFooter2Motto"/>
      </w:rPr>
      <w:t>Vienoti daudzveidībā</w:t>
    </w:r>
    <w:r>
      <w:tab/>
    </w:r>
    <w:r>
      <w:t>LV</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20250318-065902-000122-614705</vt:lpwstr>
  </property>
  <property fmtid="{D5CDD505-2E9C-101B-9397-08002B2CF9AE}" pid="7" name="FooterPath">
    <vt:lpwstr>PR\1316296LV.doc</vt:lpwstr>
  </property>
  <property fmtid="{D5CDD505-2E9C-101B-9397-08002B2CF9AE}" pid="8" name="PE Number">
    <vt:lpwstr>770.093</vt:lpwstr>
  </property>
  <property fmtid="{D5CDD505-2E9C-101B-9397-08002B2CF9AE}" pid="9" name="UID">
    <vt:lpwstr>eu.europa.europarl-DIN1-2025-0000040829_01.05-lv-01.00_text-xml</vt:lpwstr>
  </property>
</Properties>
</file>