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.0 -->
  <w:body>
    <w:tbl>
      <w:tblPr>
        <w:jc w:val="left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488"/>
      </w:tblGrid>
      <w:tr>
        <w:tblPrEx>
          <w:jc w:val="left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exact" w:val="1420"/>
          <w:jc w:val="left"/>
        </w:trPr>
        <w:tc>
          <w:tcPr>
            <w:tcW w:w="6804" w:type="dxa"/>
            <w:vAlign w:val="center"/>
          </w:tcPr>
          <w:p>
            <w:pPr>
              <w:pStyle w:val="EPName"/>
            </w:pPr>
            <w:r w:rsidR="00A77B3E">
              <w:t>Parlament Ewropew</w:t>
            </w:r>
          </w:p>
          <w:p>
            <w:pPr>
              <w:pStyle w:val="EPTerm"/>
            </w:pPr>
            <w:r>
              <w:t>2024-2029</w:t>
            </w:r>
          </w:p>
        </w:tc>
        <w:tc>
          <w:tcPr>
            <w:tcW w:w="2488" w:type="dxa"/>
            <w:vAlign w:val="top"/>
          </w:tcPr>
          <w:p>
            <w:pPr>
              <w:pStyle w:val="EPLogo"/>
            </w:pPr>
            <w:r>
              <w:drawing>
                <wp:inline>
                  <wp:extent cx="1162812" cy="647954"/>
                  <wp:docPr id="10000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12" cy="64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LineTop"/>
      </w:pPr>
    </w:p>
    <w:p>
      <w:pPr>
        <w:pStyle w:val="EPBody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LIBE</w:t>
      </w:r>
      <w:r>
        <w:rPr>
          <w:rStyle w:val="HideTWBInt"/>
        </w:rPr>
        <w:t>}</w:t>
      </w:r>
      <w:r>
        <w:t>Kumitat għal-Libertajiet Ċivili, il-Ġustizzja u l-Intern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LineBottom"/>
      </w:pPr>
    </w:p>
    <w:p>
      <w:pPr>
        <w:pStyle w:val="CoverReference"/>
      </w:pPr>
      <w:r>
        <w:rPr>
          <w:rStyle w:val="HideTWBExt"/>
        </w:rPr>
        <w:t>&lt;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t>2024/0315</w:t>
      </w:r>
      <w:r>
        <w:rPr>
          <w:rStyle w:val="HideTWBExt"/>
        </w:rPr>
        <w:t>&lt;/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rPr>
          <w:rStyle w:val="HideTWBExt"/>
        </w:rPr>
        <w:t>&lt;</w:t>
      </w:r>
      <w:r>
        <w:rPr>
          <w:rStyle w:val="HideTWBExt"/>
        </w:rPr>
        <w:t>RefTypeProc</w:t>
      </w:r>
      <w:r>
        <w:rPr>
          <w:rStyle w:val="HideTWBExt"/>
        </w:rPr>
        <w:t>&gt;</w:t>
      </w:r>
      <w:r>
        <w:t>(COD)</w:t>
      </w:r>
      <w:r>
        <w:rPr>
          <w:rStyle w:val="HideTWBExt"/>
        </w:rPr>
        <w:t>&lt;/</w:t>
      </w:r>
      <w:r>
        <w:rPr>
          <w:rStyle w:val="HideTWBExt"/>
        </w:rPr>
        <w:t>RefTypeProc</w:t>
      </w:r>
      <w:r>
        <w:rPr>
          <w:rStyle w:val="HideTWBExt"/>
        </w:rPr>
        <w:t>&gt;</w:t>
      </w:r>
    </w:p>
    <w:p>
      <w:pPr>
        <w:pStyle w:val="CoverDate"/>
      </w:pPr>
      <w:r>
        <w:rPr>
          <w:rStyle w:val="HideTWBExt"/>
        </w:rPr>
        <w:t>&lt;</w:t>
      </w:r>
      <w:r>
        <w:rPr>
          <w:rStyle w:val="HideTWBExt"/>
        </w:rPr>
        <w:t>Date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04/03/2025</w:t>
      </w:r>
      <w:r>
        <w:rPr>
          <w:rStyle w:val="HideTWBInt"/>
        </w:rPr>
        <w:t>}</w:t>
      </w:r>
      <w:r>
        <w:t>04.03.2025</w:t>
      </w:r>
      <w:r>
        <w:rPr>
          <w:rStyle w:val="HideTWBExt"/>
        </w:rPr>
        <w:t>&lt;/</w:t>
      </w:r>
      <w:r>
        <w:rPr>
          <w:rStyle w:val="HideTWBExt"/>
        </w:rPr>
        <w:t>Date</w:t>
      </w:r>
      <w:r>
        <w:rPr>
          <w:rStyle w:val="HideTWBExt"/>
        </w:rPr>
        <w:t>&gt;</w:t>
      </w:r>
    </w:p>
    <w:p>
      <w:pPr>
        <w:pStyle w:val="CoverDocType"/>
      </w:pPr>
      <w:r>
        <w:rPr>
          <w:rStyle w:val="HideTWBExt"/>
        </w:rPr>
        <w:t>&lt;</w:t>
      </w:r>
      <w:r>
        <w:rPr>
          <w:rStyle w:val="HideTWBExt"/>
        </w:rPr>
        <w:t>RefProcLect</w:t>
      </w:r>
      <w:r>
        <w:rPr>
          <w:rStyle w:val="HideTWBExt"/>
        </w:rPr>
        <w:t>&gt;</w:t>
      </w:r>
      <w:r>
        <w:t>***I</w:t>
      </w:r>
      <w:r>
        <w:rPr>
          <w:rStyle w:val="HideTWBExt"/>
        </w:rPr>
        <w:t>&lt;/</w:t>
      </w:r>
      <w:r>
        <w:rPr>
          <w:rStyle w:val="HideTWBExt"/>
        </w:rPr>
        <w:t>RefProcLect</w:t>
      </w:r>
      <w:r>
        <w:rPr>
          <w:rStyle w:val="HideTWBExt"/>
        </w:rPr>
        <w:t>&gt;</w:t>
      </w:r>
    </w:p>
    <w:p>
      <w:pPr>
        <w:pStyle w:val="CoverDocType24a"/>
      </w:pPr>
      <w:r>
        <w:rPr>
          <w:rStyle w:val="HideTWBExt"/>
        </w:rPr>
        <w:t>&lt;</w:t>
      </w:r>
      <w:r>
        <w:rPr>
          <w:rStyle w:val="HideTWBExt"/>
        </w:rPr>
        <w:t>TitreType</w:t>
      </w:r>
      <w:r>
        <w:rPr>
          <w:rStyle w:val="HideTWBExt"/>
        </w:rPr>
        <w:t>&gt;</w:t>
      </w:r>
      <w:r>
        <w:t>ABBOZZ TA’ RAPPORT</w:t>
      </w:r>
      <w:r>
        <w:rPr>
          <w:rStyle w:val="HideTWBExt"/>
        </w:rPr>
        <w:t>&lt;/</w:t>
      </w:r>
      <w:r>
        <w:rPr>
          <w:rStyle w:val="HideTWBExt"/>
        </w:rPr>
        <w:t>TitreType</w:t>
      </w:r>
      <w:r>
        <w:rPr>
          <w:rStyle w:val="HideTWBExt"/>
        </w:rPr>
        <w:t>&gt;</w:t>
      </w:r>
    </w:p>
    <w:p>
      <w:pPr>
        <w:pStyle w:val="CoverNormal"/>
      </w:pPr>
      <w:r>
        <w:rPr>
          <w:rStyle w:val="HideTWBExt"/>
        </w:rPr>
        <w:t>&lt;</w:t>
      </w:r>
      <w:r>
        <w:rPr>
          <w:rStyle w:val="HideTWBExt"/>
        </w:rPr>
        <w:t>Titre</w:t>
      </w:r>
      <w:r>
        <w:rPr>
          <w:rStyle w:val="HideTWBExt"/>
        </w:rPr>
        <w:t>&gt;</w:t>
      </w:r>
      <w:r>
        <w:t>dwar proposta għal regolament tal-Parlament Ewropew u tal-Kunsill dwar deroga temporanja minn ċerti dispożizzjonijiet tar-Regolament (UE) 2017/2226 u r-Regolament (UE) 2016/399 fir-rigward ta’ bidu progressiv tal-operazzjonijiet tas-Sistema ta’ Dħul/Ħruġ</w:t>
      </w:r>
      <w:r>
        <w:rPr>
          <w:rStyle w:val="HideTWBExt"/>
        </w:rPr>
        <w:t>&lt;/</w:t>
      </w:r>
      <w:r>
        <w:rPr>
          <w:rStyle w:val="HideTWBExt"/>
        </w:rPr>
        <w:t>Titre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DocRef</w:t>
      </w:r>
      <w:r>
        <w:rPr>
          <w:rStyle w:val="HideTWBExt"/>
        </w:rPr>
        <w:t>&gt;</w:t>
      </w:r>
      <w:r>
        <w:t>(COM(2024)0567 – C10-0207/2024 – 2024/0315(COD))</w:t>
      </w:r>
      <w:r>
        <w:rPr>
          <w:rStyle w:val="HideTWBExt"/>
        </w:rPr>
        <w:t>&lt;/</w:t>
      </w:r>
      <w:r>
        <w:rPr>
          <w:rStyle w:val="HideTWBExt"/>
        </w:rPr>
        <w:t>DocRef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LIBE</w:t>
      </w:r>
      <w:r>
        <w:rPr>
          <w:rStyle w:val="HideTWBInt"/>
        </w:rPr>
        <w:t>}</w:t>
      </w:r>
      <w:r>
        <w:t>Kumitat għal-Libertajiet Ċivili, il-Ġustizzja u l-Intern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CoverNormal24a"/>
      </w:pPr>
      <w:r>
        <w:t>Rapporteur</w:t>
      </w:r>
      <w:r>
        <w:t xml:space="preserve">: </w:t>
      </w:r>
      <w:r>
        <w:rPr>
          <w:rStyle w:val="HideTWBExt"/>
        </w:rPr>
        <w:t>&lt;</w:t>
      </w:r>
      <w:r>
        <w:rPr>
          <w:rStyle w:val="HideTWBExt"/>
        </w:rPr>
        <w:t>Depute</w:t>
      </w:r>
      <w:r>
        <w:rPr>
          <w:rStyle w:val="HideTWBExt"/>
        </w:rPr>
        <w:t>&gt;</w:t>
      </w:r>
      <w:r>
        <w:t>Assita Kanko</w:t>
      </w:r>
      <w:r>
        <w:rPr>
          <w:rStyle w:val="HideTWBExt"/>
        </w:rPr>
        <w:t>&lt;/</w:t>
      </w:r>
      <w:r>
        <w:rPr>
          <w:rStyle w:val="HideTWBExt"/>
        </w:rPr>
        <w:t>Depute</w:t>
      </w:r>
      <w:r>
        <w:rPr>
          <w:rStyle w:val="HideTWBExt"/>
        </w:rPr>
        <w:t>&gt;</w:t>
      </w:r>
    </w:p>
    <w:p>
      <w:r>
        <w:br w:type="page"/>
      </w:r>
      <w:r>
        <w:t>PR_COD_1amCom</w:t>
      </w:r>
    </w:p>
    <w:p/>
    <w:p/>
    <w:tbl>
      <w:tblPr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0"/>
      </w:tblGrid>
      <w:tr>
        <w:tblPrEx>
          <w:jc w:val="center"/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auto" w:val="0"/>
          <w:jc w:val="center"/>
        </w:trPr>
        <w:tc>
          <w:tcPr>
            <w:tcW w:w="5810" w:type="dxa"/>
            <w:vAlign w:val="top"/>
          </w:tcPr>
          <w:p>
            <w:pPr>
              <w:pStyle w:val="LegendTitle"/>
            </w:pPr>
            <w:r>
              <w:t>Tifsira tas-simboli użati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val="1944"/>
          <w:jc w:val="center"/>
        </w:trPr>
        <w:tc>
          <w:tcPr>
            <w:tcW w:w="5810" w:type="dxa"/>
            <w:vAlign w:val="top"/>
          </w:tcPr>
          <w:p>
            <w:pPr>
              <w:pStyle w:val="LegendSign"/>
            </w:pPr>
            <w:r>
              <w:tab/>
            </w:r>
            <w:r>
              <w:t>*</w:t>
            </w:r>
            <w:r>
              <w:tab/>
            </w:r>
            <w:r>
              <w:t>Proċedura ta' konsultazzjoni</w:t>
            </w:r>
          </w:p>
          <w:p>
            <w:pPr>
              <w:pStyle w:val="LegendSign"/>
            </w:pPr>
            <w:r>
              <w:tab/>
            </w:r>
            <w:r>
              <w:t>***</w:t>
            </w:r>
            <w:r>
              <w:tab/>
            </w:r>
            <w:r>
              <w:t>Proċedura ta’ approvazzjoni</w:t>
            </w:r>
          </w:p>
          <w:p>
            <w:pPr>
              <w:pStyle w:val="LegendSign"/>
            </w:pPr>
            <w:r>
              <w:tab/>
            </w:r>
            <w:r>
              <w:t>***I</w:t>
            </w:r>
            <w:r>
              <w:tab/>
            </w:r>
            <w:r>
              <w:t>Proċedura leġiżlattiva ordinarja (l-ewwel qari)</w:t>
            </w:r>
          </w:p>
          <w:p>
            <w:pPr>
              <w:pStyle w:val="LegendSign"/>
            </w:pPr>
            <w:r>
              <w:tab/>
            </w:r>
            <w:r>
              <w:t>***II</w:t>
            </w:r>
            <w:r>
              <w:tab/>
            </w:r>
            <w:r>
              <w:t>Proċedura leġiżlattiva ordinarja (it-tieni qari)</w:t>
            </w:r>
          </w:p>
          <w:p>
            <w:pPr>
              <w:pStyle w:val="LegendSign"/>
            </w:pPr>
            <w:r>
              <w:tab/>
            </w:r>
            <w:r>
              <w:t>***III</w:t>
            </w:r>
            <w:r>
              <w:tab/>
            </w:r>
            <w:r>
              <w:t>Proċedura leġiżlattiva ordinarja (it-tielet qari)</w:t>
            </w:r>
          </w:p>
          <w:p>
            <w:pPr>
              <w:pStyle w:val="LegendSign"/>
            </w:pPr>
          </w:p>
          <w:p>
            <w:pPr>
              <w:pStyle w:val="LegendStandard"/>
            </w:pPr>
            <w:r>
              <w:t>(It-tip ta' proċedura jiddependi mill-bażi legali proposta mill-abbozz ta' att.)</w:t>
            </w:r>
          </w:p>
        </w:tc>
      </w:tr>
    </w:tbl>
    <w:p/>
    <w:p/>
    <w:p/>
    <w:p/>
    <w:tbl>
      <w:tblPr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0"/>
      </w:tblGrid>
      <w:tr>
        <w:tblPrEx>
          <w:jc w:val="center"/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auto" w:val="0"/>
          <w:jc w:val="center"/>
        </w:trPr>
        <w:tc>
          <w:tcPr>
            <w:tcW w:w="5810" w:type="dxa"/>
            <w:vAlign w:val="top"/>
          </w:tcPr>
          <w:p>
            <w:pPr>
              <w:pStyle w:val="LegendTitle"/>
            </w:pPr>
            <w:r>
              <w:t>Emendi għal abbozz ta' att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auto" w:val="0"/>
          <w:jc w:val="center"/>
        </w:trPr>
        <w:tc>
          <w:tcPr>
            <w:tcW w:w="5810" w:type="dxa"/>
            <w:vAlign w:val="top"/>
          </w:tcPr>
          <w:p>
            <w:pPr>
              <w:pStyle w:val="LegendStandard"/>
            </w:pPr>
            <w:r>
              <w:rPr>
                <w:rStyle w:val="Bold"/>
              </w:rPr>
              <w:t>Emendi tal-Parlament f'żewġ kolonni</w:t>
            </w:r>
          </w:p>
          <w:p>
            <w:pPr>
              <w:pStyle w:val="LegendStandard"/>
            </w:pPr>
          </w:p>
          <w:p>
            <w:pPr>
              <w:pStyle w:val="LegendStandard"/>
            </w:pPr>
            <w:r>
              <w:t>It-tħassir huwa indikat permezz tat-tipa korsiva u grassa fil-kolonna tax-xellug. Is-sostituzzjoni hija indikata permezz tat-tipa korsiva u grassa fiż-żewġ kolonni. It-test ġdid huwa indikat permezz tat-tipa korsiva u grassa fil-kolonna tal-lemin.</w:t>
            </w:r>
          </w:p>
          <w:p>
            <w:pPr>
              <w:pStyle w:val="LegendStandard"/>
            </w:pPr>
          </w:p>
          <w:p>
            <w:pPr>
              <w:pStyle w:val="LegendStandard"/>
            </w:pPr>
            <w:r>
              <w:t>L-ewwel u t-tieni linji tal-intestatura ta' kull emenda jidentifikaw il-parti tat-test ikkonċernata fl-abbozz ta' att inkwistjoni. Meta emenda tirrigwarda att eżistenti, li l-abbozz ta' att ikollu l-ħsieb li jemenda, l-intestatura jkun fiha wkoll it-tielet u r-raba' linji li jidentifikaw rispettivament l-att eżistenti u d-dispożizzjoni kkonċernata f'dak l-att.</w:t>
            </w:r>
          </w:p>
          <w:p>
            <w:pPr>
              <w:pStyle w:val="LegendStandard"/>
            </w:pPr>
          </w:p>
          <w:p>
            <w:pPr>
              <w:pStyle w:val="LegendStandard"/>
            </w:pPr>
            <w:r>
              <w:rPr>
                <w:rStyle w:val="Bold"/>
              </w:rPr>
              <w:t>Emendi tal-Parlament li jieħdu l-forma ta' test konsolidat</w:t>
            </w:r>
          </w:p>
          <w:p>
            <w:pPr>
              <w:pStyle w:val="LegendStandard"/>
            </w:pPr>
          </w:p>
          <w:p>
            <w:pPr>
              <w:pStyle w:val="LegendStandard"/>
            </w:pPr>
            <w:r>
              <w:t>Il-partijiet tat-testi l-ġodda huma indikati permezz tat-tipa korsiva u grassa. Il-partijiet tat-test imħassra huma indikati permezz tas-simbolu ▌ jew huma ingassati. Is-sostituzzjoni hija indikata billi t-test il-ġdid jiġi indikat permezz tat-tipa korsiva u grassa u billi jitħassar jew jiġi ingassat it-test sostitwit.</w:t>
            </w:r>
            <w:r>
              <w:br/>
            </w:r>
            <w:r>
              <w:t>Bħala eċċezzjoni, it-tibdil ta' natura strettament teknika magħmul mis-servizzi fil-preparazzjoni tat-test finali mhuwiex indikat.</w:t>
            </w:r>
          </w:p>
          <w:p>
            <w:pPr>
              <w:pStyle w:val="LegendStandard"/>
            </w:pPr>
          </w:p>
        </w:tc>
      </w:tr>
    </w:tbl>
    <w:p/>
    <w:p/>
    <w:p>
      <w:pPr>
        <w:pStyle w:val="TOCHeading"/>
      </w:pPr>
      <w:r>
        <w:br w:type="page"/>
      </w:r>
      <w:r>
        <w:t>WERREJ</w:t>
      </w:r>
    </w:p>
    <w:p>
      <w:pPr>
        <w:pStyle w:val="TOCPage"/>
      </w:pPr>
      <w:r>
        <w:t>Paġna</w:t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>TOC \t "PageHeading"</w:instrText>
      </w:r>
      <w:r>
        <w:fldChar w:fldCharType="separate"/>
      </w:r>
      <w:r>
        <w:t>ABBOZZ TA’ RIŻOLUZZJONI LEĠIŻLATTIVA TAL-PARLAMENT EWROPEW</w:t>
      </w:r>
      <w:r>
        <w:tab/>
      </w:r>
      <w:r>
        <w:fldChar w:fldCharType="begin"/>
      </w:r>
      <w:r>
        <w:instrText xml:space="preserve"> PAGEREF _Toc256000002 \h </w:instrText>
      </w:r>
      <w:r>
        <w:fldChar w:fldCharType="separate"/>
      </w:r>
      <w:r>
        <w:t>5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NOTA SPJEGATTIVA</w:t>
      </w:r>
      <w:r>
        <w:tab/>
      </w:r>
      <w:r>
        <w:fldChar w:fldCharType="begin"/>
      </w:r>
      <w:r>
        <w:instrText xml:space="preserve"> PAGEREF _Toc256000003 \h </w:instrText>
      </w:r>
      <w:r>
        <w:fldChar w:fldCharType="separate"/>
      </w:r>
      <w:r>
        <w:t>22</w:t>
      </w:r>
      <w:r>
        <w:fldChar w:fldCharType="end"/>
      </w:r>
    </w:p>
    <w:p>
      <w:pPr>
        <w:pStyle w:val="Normal12b"/>
      </w:pPr>
      <w:r>
        <w:fldChar w:fldCharType="end"/>
      </w:r>
    </w:p>
    <w:p>
      <w:pPr>
        <w:pStyle w:val="CoverNormalLeft"/>
      </w:pPr>
    </w:p>
    <w:p>
      <w:pPr>
        <w:pStyle w:val="PageHeading"/>
      </w:pPr>
      <w:r>
        <w:br w:type="page"/>
      </w:r>
      <w:r>
        <w:br w:type="page"/>
      </w:r>
      <w:bookmarkStart w:id="0" w:name="_Toc256000002"/>
      <w:r>
        <w:t>ABBOZZ TA’ RIŻOLUZZJONI LEĠIŻLATTIVA TAL-PARLAMENT EWROPEW</w:t>
      </w:r>
      <w:bookmarkEnd w:id="0"/>
    </w:p>
    <w:p>
      <w:pPr>
        <w:pStyle w:val="NormalBold"/>
      </w:pPr>
      <w:r>
        <w:t>dwar proposta għal regolament tal-Parlament Ewropew u tal-Kunsill dwar deroga temporanja minn ċerti dispożizzjonijiet tar-Regolament (UE) 2017/2226 u r-Regolament (UE) 2016/399 fir-rigward ta’ bidu progressiv tal-operazzjonijiet tas-Sistema ta’ Dħul/Ħruġ</w:t>
      </w:r>
    </w:p>
    <w:p>
      <w:pPr>
        <w:pStyle w:val="NormalBold12a"/>
      </w:pPr>
      <w:r>
        <w:t>(COM(2024)0567 – C10-0207/2024 – 2024/0315(COD))</w:t>
      </w:r>
    </w:p>
    <w:p>
      <w:pPr>
        <w:pStyle w:val="NormalBold12a"/>
      </w:pPr>
      <w:r>
        <w:t>(Proċedura leġiżlattiva ordinarja: l-ewwel qari)</w:t>
      </w:r>
    </w:p>
    <w:p>
      <w:pPr>
        <w:pStyle w:val="EPComma"/>
      </w:pPr>
      <w:r>
        <w:rPr>
          <w:rStyle w:val="Italic"/>
        </w:rPr>
        <w:t>Il-Parlament Ewropew</w:t>
      </w:r>
      <w:r>
        <w:t>,</w:t>
      </w:r>
    </w:p>
    <w:p>
      <w:pPr>
        <w:pStyle w:val="NormalHanging12a"/>
      </w:pPr>
      <w:r>
        <w:t>–</w:t>
      </w:r>
      <w:r>
        <w:tab/>
      </w:r>
      <w:r>
        <w:t>wara li kkunsidra l-proposta tal-Kummissjoni lill-Parlament Ewropew u lill-Kunsill (COM(2024)0567),</w:t>
      </w:r>
    </w:p>
    <w:p>
      <w:pPr>
        <w:pStyle w:val="NormalHanging12a"/>
      </w:pPr>
      <w:r>
        <w:t>–</w:t>
      </w:r>
      <w:r>
        <w:tab/>
      </w:r>
      <w:r>
        <w:t>wara li kkunsidra l-Artikolu 294(2) u l-Artikolu 77(2), il-punti (b) u (d) u l-Artikolu 87(2), il-punt (a) tat-Trattat dwar il-Funzjonament tal-Unjoni Ewropea, skont liema artikoli l-Kummissjoni ppreżentat il-proposta lill-Parlament (C10-0207/2024),</w:t>
      </w:r>
    </w:p>
    <w:p>
      <w:pPr>
        <w:pStyle w:val="NormalHanging12a"/>
      </w:pPr>
      <w:r>
        <w:t>–</w:t>
      </w:r>
      <w:r>
        <w:tab/>
      </w:r>
      <w:r>
        <w:t>wara li kkunsidra l-Artikolu 294(3) tat-Trattat dwar il-Funzjonament tal-Unjoni Ewropea,</w:t>
      </w:r>
    </w:p>
    <w:p>
      <w:pPr>
        <w:pStyle w:val="NormalHanging12a"/>
      </w:pPr>
      <w:r>
        <w:t>–</w:t>
      </w:r>
      <w:r>
        <w:tab/>
      </w:r>
      <w:r>
        <w:t>wara li kkunsidra l-Artikolu 60 tar-Regoli ta’ Proċedura tiegħu,</w:t>
      </w:r>
    </w:p>
    <w:p>
      <w:pPr>
        <w:pStyle w:val="NormalHanging12a"/>
      </w:pPr>
      <w:r>
        <w:t>–</w:t>
      </w:r>
      <w:r>
        <w:tab/>
      </w:r>
      <w:r>
        <w:t>wara li kkunsidra r-rapport tal-Kumitat għal-Libertajiet Ċivili, il-Ġustizzja u l-Intern (A10-0000/2025),</w:t>
      </w:r>
    </w:p>
    <w:p>
      <w:pPr>
        <w:pStyle w:val="NormalHanging12a"/>
      </w:pPr>
      <w:r>
        <w:t>1.</w:t>
      </w:r>
      <w:r>
        <w:tab/>
      </w:r>
      <w:r>
        <w:t>Jadotta l-pożizzjoni fl-ewwel qari li tidher hawn taħt;</w:t>
      </w:r>
    </w:p>
    <w:p>
      <w:pPr>
        <w:pStyle w:val="NormalHanging12a"/>
      </w:pPr>
      <w:r>
        <w:t>2.</w:t>
      </w:r>
      <w:r>
        <w:tab/>
      </w:r>
      <w:r>
        <w:t>Jitlob lill-Kummissjoni terġa’ tirreferi l-kwistjoni lill-Parlament jekk tibdel il-proposta tagħha, temendaha b’mod sustanzjali jew ikollha l-ħsieb li temendaha b’mod sustanzjali;</w:t>
      </w:r>
    </w:p>
    <w:p>
      <w:pPr>
        <w:pStyle w:val="NormalHanging12a"/>
      </w:pPr>
      <w:r>
        <w:t>3.</w:t>
      </w:r>
      <w:r>
        <w:tab/>
      </w:r>
      <w:r>
        <w:t>Jagħti istruzzjonijiet lill-President tiegħu biex tgħaddi l-pożizzjoni tal-Parlament lill-Kunsill u lill-Kummissjoni kif ukoll lill-parlamenti nazzjonali.</w:t>
      </w:r>
    </w:p>
    <w:p>
      <w:pPr>
        <w:pStyle w:val="AmNumberTabs"/>
      </w:pPr>
      <w:r>
        <w:br w:type="page"/>
      </w:r>
      <w:r>
        <w:rPr>
          <w:rStyle w:val="HideTWBExt"/>
        </w:rPr>
        <w:t>&lt;</w:t>
      </w:r>
      <w:r>
        <w:rPr>
          <w:rStyle w:val="HideTWBExt"/>
        </w:rPr>
        <w:t>RepeatBlock-Amend</w:t>
      </w:r>
      <w:r>
        <w:rPr>
          <w:rStyle w:val="HideTWBExt"/>
        </w:rPr>
        <w:t>&gt;</w:t>
      </w: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3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(3)</w:t>
            </w:r>
            <w:r>
              <w:tab/>
            </w:r>
            <w:r>
              <w:t>Ir-Regolament (UE) 2017/2226 jippermetti biss bidu sħiħ tal-operazzjonijiet, li jirrikjedi li l-Istati Membri kollha jibdew jużaw l-EES bis-sħiħ għaċ-ċittadini kollha ta’ pajjiżi terzi soġġetti għal reġistrazzjoni fl-EES u jużaw l-EES simultanjament fil-punti ta’ qsim tal-fruntieri kollha tagħhom.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(3)</w:t>
            </w:r>
            <w:r>
              <w:tab/>
            </w:r>
            <w:r>
              <w:t xml:space="preserve">Ir-Regolament (UE) 2017/2226 jippermetti biss bidu sħiħ tal-operazzjonijiet, li jirrikjedi li l-Istati Membri kollha jibdew jużaw l-EES bis-sħiħ għaċ-ċittadini kollha ta’ pajjiżi terzi soġġetti għal reġistrazzjoni fl-EES u jużaw l-EES simultanjament fil-punti ta’ qsim tal-fruntieri kollha tagħhom. </w:t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Madankollu, bidu sħiħ tal-operazzjonijiet tal-funzjonalitajiet kollha tal-EES simultanjament fil-punti ta’ qsim tal-fruntieri kollha jikkostitwixxi fattur ta’ riskju għar-reżiljenza tal-EES kollha kemm hi u għall-flussi tal-passiġġieri fil-fruntieri esterni.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4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(4)</w:t>
            </w:r>
            <w:r>
              <w:tab/>
            </w:r>
            <w:r>
              <w:t xml:space="preserve">Sabiex l-Istati Membri jingħataw il-flessibbiltà meħtieġa </w:t>
            </w:r>
            <w:r>
              <w:t>biex</w:t>
            </w:r>
            <w:r>
              <w:t xml:space="preserve"> jibdew jużaw l-EES </w:t>
            </w:r>
            <w:r>
              <w:t>skont il-livell ta’ tħejjija tagħhom</w:t>
            </w:r>
            <w:r>
              <w:t xml:space="preserve"> u jiġu ffaċilitati l-aġġustamenti tekniċi u operazzjonali meta jibdew joperaw l-EES, huwa meħtieġ li jiġu stabbiliti regoli għal bidu progressiv tal-operazzjonijiet tal-EES. Sabiex jiġi żgurat li dawn l-aġġustamenti jirriflettu l-flussi potenzjali tal-ivvjaġġar u l-istaġuni l-aktar intensivi, jenħtieġ li tali bidu progressiv ikollu durata ta’ 180 jum kalendarju.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(4)</w:t>
            </w:r>
            <w:r>
              <w:tab/>
            </w:r>
            <w:r>
              <w:t xml:space="preserve">Sabiex l-Istati Membri jingħataw il-flessibbiltà meħtieġa </w:t>
            </w:r>
            <w:r>
              <w:t>fejn</w:t>
            </w:r>
            <w:r>
              <w:t xml:space="preserve"> jibdew jużaw l-EES u jiġu ffaċilitati l-aġġustamenti tekniċi u operazzjonali meta jibdew joperaw l-EES, huwa meħtieġ li jiġu stabbiliti regoli għal bidu progressiv tal-operazzjonijiet tal-EES </w:t>
            </w:r>
            <w:r>
              <w:t>li matulu l-Istati Membri jenħtieġ li jkunu jistgħu jagħżlu introduzzjoni gradwali tal-EES</w:t>
            </w:r>
            <w:r>
              <w:t>. Sabiex jiġi żgurat li dawn l-aġġustamenti jirriflettu l-flussi potenzjali tal-ivvjaġġar u l-istaġuni l-aktar intensivi, jenħtieġ li tali bidu progressiv ikollu durata ta’ 180 jum kalendarju.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3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5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(5)</w:t>
            </w:r>
            <w:r>
              <w:tab/>
            </w:r>
            <w:r>
              <w:t>Għalhekk,</w:t>
            </w:r>
            <w:r>
              <w:t xml:space="preserve"> </w:t>
            </w:r>
            <w:r>
              <w:t>sabiex ikun jista’ jsir bidu progressiv tal-operazzjonijiet tal-EES, jeħtieġ li ssir deroga minn ċerti dispożizzjonijiet tar-Regolament (UE) 2017/2226 u tar-Regolament (UE) 2016/399 tal-Parlament Ewropew u tal-Kunsill</w:t>
            </w:r>
            <w:r>
              <w:rPr>
                <w:rStyle w:val="Sup"/>
              </w:rPr>
              <w:t>3</w:t>
            </w:r>
            <w:r>
              <w:t xml:space="preserve"> (“Kodiċi tal-Fruntieri ta’ Schengen”). Regoli oħra stabbiliti fir-Regolament (UE) 2017/2226 li mhumiex affettwati minn dan ir-Regolament japplikaw kif previst f’dak ir-Regolament. B’mod partikolari, id-data rreġistrata fl-EES matul il-bidu progressiv tal-operazzjonijiet issegwi r-regoli stabbiliti fir-Regolament (UE) 2017/2226 u titqies affidabbli u preċiża.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(5)</w:t>
            </w:r>
            <w:r>
              <w:tab/>
            </w:r>
            <w:r>
              <w:t>Sabiex ikun jista’ jsir bidu progressiv tal-operazzjonijiet tal-EES, jeħtieġ li ssir deroga minn ċerti dispożizzjonijiet tar-Regolament (UE) 2017/2226 u tar-Regolament (UE) 2016/399 tal-Parlament Ewropew u tal-Kunsill</w:t>
            </w:r>
            <w:r>
              <w:rPr>
                <w:rStyle w:val="Sup"/>
              </w:rPr>
              <w:t>3</w:t>
            </w:r>
            <w:r>
              <w:t xml:space="preserve"> (“Kodiċi tal-Fruntieri ta’ Schengen”). Regoli oħra stabbiliti fir-Regolament (UE) 2017/2226 li mhumiex affettwati minn dan ir-Regolament japplikaw kif previst f’dak ir-Regolament. B’mod partikolari, id-data rreġistrata fl-EES matul il-bidu progressiv tal-operazzjonijiet issegwi r-regoli stabbiliti fir-Regolament (UE) 2017/2226 u titqies affidabbli u preċiża. </w:t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Dan ir-Regolament ma jaffettwax il-validità tan-notifiki diġà pprovduti mill-Istati Membri lill-Kummissjoni skont l-Artikolu 66(1) tar-Regolament (UE) 2017/2226.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_________________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_________________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rStyle w:val="Sup"/>
              </w:rPr>
              <w:t>3</w:t>
            </w:r>
            <w:r>
              <w:t xml:space="preserve"> </w:t>
            </w:r>
            <w:r>
              <w:t>Ir-Regolament (UE) 2016/399 tal-Parlament Ewropew u tal-Kunsill tad-9 ta’ Marzu 2016 dwar Kodiċi tal-Unjoni dwar ir-regoli li jirregolaw il-moviment ta’ persuni min-naħa għall-oħra tal-fruntieri (Kodiċi tal-Fruntieri ta’ Schengen) (ĠU L 77, 23.3.2016, p. 1, ELI: http://data.europa.eu/eli/reg/2016/399/oj).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rStyle w:val="Sup"/>
              </w:rPr>
              <w:t>3</w:t>
            </w:r>
            <w:r>
              <w:t xml:space="preserve"> </w:t>
            </w:r>
            <w:r>
              <w:t>Ir-Regolament (UE) 2016/399 tal-Parlament Ewropew u tal-Kunsill tad-9 ta’ Marzu 2016 dwar Kodiċi tal-Unjoni dwar ir-regoli li jirregolaw il-moviment ta’ persuni min-naħa għall-oħra tal-fruntieri (Kodiċi tal-Fruntieri ta’ Schengen) (ĠU L 77, 23.3.2016, p. 1, ELI: http://data.europa.eu/eli/reg/2016/399/oj).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4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6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(6)</w:t>
            </w:r>
            <w:r>
              <w:tab/>
            </w:r>
            <w:r>
              <w:t>Jenħtieġ li</w:t>
            </w:r>
            <w:r>
              <w:t xml:space="preserve"> l-Istati Membri jibdew progressivament joperaw l-EES biex jirreġistraw, mad-dħul u mal-ħruġ, id-data ta’ ċittadini ta’ pajjiżi terzi soġġetti għal reġistrazzjoni fl-EES f’punt ta’ qsim tal-fruntiera wieħed jew aktar. Jekk ikun possibbli u applikabbli, l-Istati Membri jenħtieġ li jinkludu taħlita ta’ punti ta’ qsim tal-fruntieri tal-ajru, tal-art u tal-baħar. Sabiex tiġi żgurata tnedija kkontrollata tal-EES u biex jiġu ġestiti u evitati ħinijiet ta’ stennija twal potenzjali fil-fruntieri, fejn rilevanti, jenħtieġ li l-Istati Membri jużaw il-funzjonalitajiet kollha tal-EES b’mod progressiv u jirreġistraw id-data taċ-ċittadini kollha ta’ pajjiżi terzi soġġetti għar-reġistrazzjoni fl-EES gradwalment. Sabiex jiġi żgurat </w:t>
            </w:r>
            <w:r>
              <w:t>approċċ koordinat</w:t>
            </w:r>
            <w:r>
              <w:t xml:space="preserve">, jenħtieġ li l-bidu progressiv tal-operazzjonijiet </w:t>
            </w:r>
            <w:r>
              <w:t>jiġi implimentat f’fażijiet</w:t>
            </w:r>
            <w:r>
              <w:t xml:space="preserve">, li jenħtieġ li jistabbilixxu r-rekwiżiti minimi li għandhom jintlaħqu mill-Istati Membri. </w:t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L-Istati Membri se jkollhom il-possibbiltà li jaċċelleraw l-implimentazzjoni fil-livell nazzjonali jew jibdew joperaw l-EES bis-sħiħ mill-bidu tal-approċċ progressiv.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(6)</w:t>
            </w:r>
            <w:r>
              <w:tab/>
            </w:r>
            <w:r>
              <w:t xml:space="preserve">L-Istati Membri </w:t>
            </w:r>
            <w:r>
              <w:t>li ma jibdewx joperaw l-EES bis-sħiħ simultanjament fil-punti ta’ qsim tal-fruntieri kollha jenħtieġ li</w:t>
            </w:r>
            <w:r>
              <w:t xml:space="preserve"> jibdew progressivament joperaw l-EES biex jirreġistraw, mad-dħul u mal-ħruġ, id-data ta’ ċittadini ta’ pajjiżi terzi soġġetti għal reġistrazzjoni fl-EES f’punt ta’ qsim tal-fruntiera wieħed jew aktar. Jekk ikun possibbli u applikabbli, l-Istati Membri jenħtieġ li jinkludu taħlita ta’ punti ta’ qsim tal-fruntieri tal-ajru, tal-art u tal-baħar. Sabiex tiġi żgurata tnedija kkontrollata tal-EES u biex jiġu ġestiti u evitati ħinijiet ta’ stennija twal potenzjali fil-fruntieri, fejn rilevanti, jenħtieġ li l-Istati Membri jużaw il-funzjonalitajiet kollha tal-EES b’mod progressiv u jirreġistraw id-data taċ-ċittadini kollha ta’ pajjiżi terzi soġġetti għar-reġistrazzjoni fl-EES gradwalment. Sabiex jiġi żgurat </w:t>
            </w:r>
            <w:r>
              <w:t>l-għan tal-użu sħiħ tal-EES fil-punti ta’ qsim tal-fruntieri kollha fl-Unjoni</w:t>
            </w:r>
            <w:r>
              <w:t xml:space="preserve">, jenħtieġ li l-bidu progressiv tal-operazzjonijiet </w:t>
            </w:r>
            <w:r>
              <w:t>jinkludi limiti</w:t>
            </w:r>
            <w:r>
              <w:t>, li jenħtieġ li jistabbilixxu r-rekwiżiti minimi li għandhom jintlaħqu mill-Istati Membri.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5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7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Sabiex jiġi ffaċilitat l-iskjerament bla xkiel tal-EES, jenħtieġ li l-Aġenzija tal-Unjoni Ewropea għat-Tmexxija Operattiva ta’ Sistemi tal-IT fuq Skala Kbira fl-Ispazju ta’ Libertà, Sigurtà u Ġustizzja (eu-LISA, European Union Agency for the Operational Management of Large-Scale IT Systems in the Area of Freedom, Security and Justice) tiżviluppa pjan ta’ introduzzjoni ta’ livell għoli biex tipprovdi gwida lill-Istati Membri u lill-aġenziji tal-Unjoni dwar l-ippjanar u l-eżekuzzjoni tal-iskjerament tal-EES matul il-bidu progressiv tal-operazzjonijiet tagħha u jenħtieġ li tippreżentah lill-Kummissjoni, lill-Istati Membri u lill-aġenziji tal-Unjoni. </w:t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Jenħtieġ li dan il-pjan jinkludi l-limiti tal-kapaċità tas-Sistema Ċentrali kif speċifikat mill-eu-LISA għal kull fażi ta’ mobilizzazzjoni. Jenħtieġ li d-deċiżjonijiet tal-Istati Membri li jibdew jew javvanzaw l-operazzjonijiet iqisu l-kapaċità tas-Sistema Ċentrali kif deskritt fil-pjan ta’ introduzzjoni ta’ livell għoli.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>Sabiex jiġi ffaċilitat l-iskjerament bla xkiel tal-EES, jenħtieġ li l-Aġenzija tal-Unjoni Ewropea għat-Tmexxija Operattiva ta’ Sistemi tal-IT fuq Skala Kbira fl-Ispazju ta’ Libertà, Sigurtà u Ġustizzja (eu-LISA, European Union Agency for the Operational Management of Large-Scale IT Systems in the Area of Freedom, Security and Justice) tiżviluppa pjan ta’ introduzzjoni ta’ livell għoli biex tipprovdi gwida lill-Istati Membri u lill-aġenziji tal-Unjoni dwar l-ippjanar u l-eżekuzzjoni tal-iskjerament tal-EES matul il-bidu progressiv tal-operazzjonijiet tagħha u jenħtieġ li tippreżentah lill-Kummissjoni, lill-Istati Membri u lill-aġenziji tal-Unjoni.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6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8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(8)</w:t>
            </w:r>
            <w:r>
              <w:tab/>
            </w:r>
            <w:r>
              <w:t>Sabiex tiġi ffaċilitata l-implimentazzjoni bla xkiel tal-EES, jenħtieġ li l-Istati Membri</w:t>
            </w:r>
            <w:r>
              <w:t xml:space="preserve"> jiżviluppaw pjanijiet ta’ introduzzjoni nazzjonali</w:t>
            </w:r>
            <w:r>
              <w:t xml:space="preserve"> f’konsultazzjoni mal-Kummissjoni u mal-eu-LISA. Għal kull waħda mill-fażijiet tal-bidu progressiv tal-operazzjonijiet tal-EES, jenħtieġ li l-pjanijiet ta’ introduzzjoni nazzjonali jinkludu l-informazzjoni dwar il-limiti u r-rekwiżiti stabbiliti, b’mod partikolari: (i) id-data minn meta l-EES se topera f’kull punt ta’ qsim tal-fruntiera; (ii) il-perċentwal tal-għadd stmat ta’ qsim tal-fruntieri li għandhom jiġu rreġistrati fl-EES mill-għadd totali ta’ ċittadini ta’ pajjiżi terzi soġġetti għar-reġistrazzjoni fl-EES; u (iii) fejn applikabbli, il-funzjonalitajiet bijometriċi li għandhom jitħaddmu f’kull punt ta’ qsim tal-fruntiera magħżul. Meta jkunu qed iħejju l-pjanijiet ta’ introduzzjoni nazzjonali rispettivi tagħhom, l-Istati Membri huma mħeġġa jikkoordinaw b’mod xieraq mal-operaturi tal-infrastruttura fejn jinsabu l-punti ta’ qsim tal-fruntieri. Sabiex jimmonitorjaw il-konformità mal-bidu progressiv tal-operazzjonijiet, jenħtieġ li l-Istati Membri jipprovdu rapporti ta’ kull xahar lill-Kummissjoni u lill-eu-LISA dwar l-implimentazzjoni tal-pjanijiet ta’ implimentazzjoni tagħhom. Jenħtieġ li tali rapporti ta’ kull xahar jinkludu miżuri korrettivi, fejn meħtieġ, biex tiġi żgurata l-konformità mal-bidu progressiv tal-operazzjonijiet.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(8)</w:t>
            </w:r>
            <w:r>
              <w:tab/>
            </w:r>
            <w:r>
              <w:t>Sabiex tiġi ffaċilitata l-implimentazzjoni bla xkiel tal-EES, jenħtieġ li l-Istati Membri</w:t>
            </w:r>
            <w:r>
              <w:t>,</w:t>
            </w:r>
            <w:r>
              <w:t xml:space="preserve"> f’konsultazzjoni mal-Kummissjoni u mal-eu-LISA, </w:t>
            </w:r>
            <w:r>
              <w:t>jiżviluppaw pjanijiet ta’ introduzzjoni nazzjonali u jippreżentaw dawk il-pjanijiet lill-Kummissjoni</w:t>
            </w:r>
            <w:r>
              <w:t>. Għal kull waħda mill-fażijiet tal-bidu progressiv tal-operazzjonijiet tal-EES, jenħtieġ li l-pjanijiet ta’ introduzzjoni nazzjonali jinkludu l-informazzjoni dwar il-limiti u r-rekwiżiti stabbiliti, b’mod partikolari: (i) id-data minn meta l-EES se topera f’kull punt ta’ qsim tal-fruntiera; (ii) il-perċentwal tal-għadd stmat ta’ qsim tal-fruntieri li għandhom jiġu rreġistrati fl-EES mill-għadd totali ta’ ċittadini ta’ pajjiżi terzi soġġetti għar-reġistrazzjoni fl-EES; u (iii) fejn applikabbli, il-funzjonalitajiet bijometriċi li għandhom jitħaddmu f’kull punt ta’ qsim tal-fruntiera magħżul. Meta jkunu qed iħejju l-pjanijiet ta’ introduzzjoni nazzjonali rispettivi tagħhom, l-Istati Membri huma mħeġġa jikkoordinaw b’mod xieraq mal-operaturi tal-infrastruttura fejn jinsabu l-punti ta’ qsim tal-fruntieri. Sabiex jimmonitorjaw il-konformità mal-bidu progressiv tal-operazzjonijiet, jenħtieġ li l-Istati Membri jipprovdu rapporti ta’ kull xahar lill-Kummissjoni u lill-eu-LISA dwar l-implimentazzjoni tal-pjanijiet ta’ implimentazzjoni tagħhom. Jenħtieġ li tali rapporti ta’ kull xahar jinkludu miżuri korrettivi, fejn meħtieġ, biex tiġi żgurata l-konformità mal-bidu progressiv tal-operazzjonijiet.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7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9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(9)</w:t>
            </w:r>
            <w:r>
              <w:tab/>
            </w:r>
            <w:r>
              <w:t xml:space="preserve">Minħabba l-bidu progressiv tal-operazzjonijiet tal-EES u l-inkompletezza </w:t>
            </w:r>
            <w:r>
              <w:t>possibbli</w:t>
            </w:r>
            <w:r>
              <w:t xml:space="preserve"> tad-data rreġistrata fl-EES, jenħtieġ li d-dokumenti tal-ivvjaġġar ta’ ċittadini ta’ pajjiżi terzi jiġu ttimbrati b’mod sistematiku mad-dħul u mal-ħruġ matul il-bidu progressiv tal-operazzjonijiet tal-EES. Jenħtieġ li l-awtoritajiet nazzjonali jqisu l-inkompletezza possibbli tar-rekords tad-dħul/ħruġ jew tar-rekords tar-rifjut ta’ dħul u jenħtieġ li jikkunsidraw it-timbri bħala prevalenti fuq l-informazzjoni rreġistrata fl-EES. Barra minn hekk, meta jipprovdu informazzjoni lil ċittadini ta’ pajjiżi terzi dwar it-tul massimu li jifdal tas-soġġorn awtorizzat tagħhom, jenħtieġ li l-awtoritajiet nazzjonali jibbażaw il-valutazzjoni tagħhom fuq it-timbri mwaħħla fid-dokumenti tal-ivvjaġġar. Jenħtieġ li d-data rreġistrata fl-EES tipprevali f’każ li jkun hemm timbru nieqes.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(9)</w:t>
            </w:r>
            <w:r>
              <w:tab/>
            </w:r>
            <w:r>
              <w:t>Minħabba l-bidu progressiv tal-operazzjonijiet tal-EES u l-inkompletezza</w:t>
            </w:r>
            <w:r>
              <w:t xml:space="preserve"> </w:t>
            </w:r>
            <w:r>
              <w:t>konsegwenti</w:t>
            </w:r>
            <w:r>
              <w:t xml:space="preserve"> tad-data rreġistrata fl-EES, jenħtieġ li d-dokumenti tal-ivvjaġġar ta’ ċittadini ta’ pajjiżi terzi jiġu ttimbrati b’mod sistematiku mad-dħul u mal-ħruġ matul il-bidu progressiv tal-operazzjonijiet tal-EES. Jenħtieġ li l-awtoritajiet nazzjonali jqisu l-inkompletezza possibbli tar-rekords tad-dħul/ħruġ jew tar-rekords tar-rifjut ta’ dħul u jenħtieġ li jikkunsidraw it-timbri bħala prevalenti fuq l-informazzjoni rreġistrata fl-EES. Barra minn hekk, meta jipprovdu informazzjoni lil ċittadini ta’ pajjiżi terzi dwar it-tul massimu li jifdal tas-soġġorn awtorizzat tagħhom, jenħtieġ li l-awtoritajiet nazzjonali jibbażaw il-valutazzjoni tagħhom fuq it-timbri mwaħħla fid-dokumenti tal-ivvjaġġar. Jenħtieġ li d-data rreġistrata fl-EES tipprevali f’każ li jkun hemm timbru nieqes.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8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11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(11)</w:t>
            </w:r>
            <w:r>
              <w:tab/>
            </w:r>
            <w:r>
              <w:t xml:space="preserve">Sabiex l-Istati Membri jingħataw iż-żmien meħtieġ biex jaġġustaw għall-bidu tal-EES, għall-ewwel 60 jum kalendarju mill-bidu progressiv tal-operazzjonijiet, jenħtieġ li l-użu ta’ funzjonalitajiet bijometriċi fil-punti ta’ qsim tal-fruntieri ma jkunx obbligatorju. Mhux aktar tard mid-90 jum kalendarju </w:t>
            </w:r>
            <w:r>
              <w:t>wara l-bidu</w:t>
            </w:r>
            <w:r>
              <w:t xml:space="preserve"> progressiv tal-operazzjonijiet, jenħtieġ li l-Istati Membri joperaw l-EES b’funzjonalitajiet bijometriċi mill-inqas f’nofs il-punti ta’ qsim tal-fruntieri tagħhom. Jenħtieġ li l-forniment ta’ data bijometrika ma jkunx kundizzjoni tad-dħul għal ċittadini ta’ pajjiżi terzi soġġetti għar-reġistrazzjoni fl-EES fil-punti ta’ qsim tal-fruntieri fejn l-EES titħaddem mingħajr funzjonalitajiet bijometriċi.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(11)</w:t>
            </w:r>
            <w:r>
              <w:tab/>
            </w:r>
            <w:r>
              <w:t xml:space="preserve">Sabiex l-Istati Membri jingħataw iż-żmien meħtieġ biex jaġġustaw għall-bidu tal-EES, għall-ewwel 60 jum kalendarju mill-bidu progressiv tal-operazzjonijiet, jenħtieġ li l-użu ta’ funzjonalitajiet bijometriċi fil-punti ta’ qsim tal-fruntieri ma jkunx obbligatorju. Mhux aktar tard mid-90 jum kalendarju </w:t>
            </w:r>
            <w:r>
              <w:t>tal-bidu</w:t>
            </w:r>
            <w:r>
              <w:t xml:space="preserve"> progressiv tal-operazzjonijiet, jenħtieġ li l-Istati Membri joperaw l-EES b’funzjonalitajiet bijometriċi mill-inqas f’nofs il-punti ta’ qsim tal-fruntieri tagħhom. Jenħtieġ li l-forniment ta’ data bijometrika ma jkunx kundizzjoni tad-dħul għal ċittadini ta’ pajjiżi terzi soġġetti għar-reġistrazzjoni fl-EES fil-punti ta’ qsim tal-fruntieri fejn l-EES titħaddem mingħajr funzjonalitajiet bijometriċi.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9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23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(23)</w:t>
            </w:r>
            <w:r>
              <w:tab/>
            </w:r>
            <w:r>
              <w:t xml:space="preserve">Sabiex tiġi żgurata l-ġestjoni effettiva tal-fruntieri esterni matul il-bidu progressiv tal-operazzjonijiet tal-EES, fil-punti ta’ qsim tal-fruntieri li fihom ma tiġix operata l-EES, jenħtieġ li l-verifiki fuq il-fruntieri jitwettqu f’konformità mar-Regolament (UE) 2016/399 kif applikabbli [il-jum qabel id-data minn meta l-EES għandha tibda topera kif deċiż mill-Kummissjoni f’konformità mal-Artikolu 66(1) tar-Regolament (UE) 2017/2226]. Fil-punti ta’ qsim tal-fruntieri fejn titħaddem l-EES, jenħtieġ li l-verifiki fuq il-fruntieri jitwettqu f’konformità mar-Regolament (UE) 2017/2226 u l-Kodiċi tal-Fruntieri ta’ Schengen. Madankollu, jenħtieġ li japplikaw derogi speċifiċi minn dawn ir-Regolamenti fir-rigward tal-verifika fil-punti ta’ qsim tal-fruntieri li fihom titħaddem l-EES mingħajr funzjonalitajiet bijometriċi biex jippermettu l-bidu progressiv tal-operazzjonijiet. Dan jenħtieġ li jseħħ mingħajr preġudizzju għall-verifiki tad-detenturi tal-viża bl-użu tal-marki tas-swaba’, f’konformità mar-Regolament (KE) Nru </w:t>
            </w:r>
            <w:r>
              <w:t>787/2008</w:t>
            </w:r>
            <w:r>
              <w:t>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(23)</w:t>
            </w:r>
            <w:r>
              <w:tab/>
            </w:r>
            <w:r>
              <w:t xml:space="preserve">Sabiex tiġi żgurata l-ġestjoni effettiva tal-fruntieri esterni matul il-bidu progressiv tal-operazzjonijiet tal-EES, fil-punti ta’ qsim tal-fruntieri li fihom ma tiġix operata l-EES, jenħtieġ li l-verifiki fuq il-fruntieri jitwettqu f’konformità mar-Regolament (UE) 2016/399 kif applikabbli [il-jum qabel id-data minn meta l-EES għandha tibda topera kif deċiż mill-Kummissjoni f’konformità mal-Artikolu 66(1) tar-Regolament (UE) 2017/2226]. Fil-punti ta’ qsim tal-fruntieri fejn titħaddem l-EES, jenħtieġ li l-verifiki fuq il-fruntieri jitwettqu f’konformità mar-Regolament (UE) 2017/2226 u l-Kodiċi tal-Fruntieri ta’ Schengen. Madankollu, jenħtieġ li japplikaw derogi speċifiċi minn dawn ir-Regolamenti fir-rigward tal-verifika fil-punti ta’ qsim tal-fruntieri li fihom titħaddem l-EES mingħajr funzjonalitajiet bijometriċi biex jippermettu l-bidu progressiv tal-operazzjonijiet. Dan jenħtieġ li jseħħ mingħajr preġudizzju għall-verifiki tad-detenturi tal-viża bl-użu tal-marki tas-swaba’, f’konformità mar-Regolament (KE) Nru </w:t>
            </w:r>
            <w:r>
              <w:t>767/2008</w:t>
            </w:r>
            <w:r>
              <w:t>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10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24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(24)</w:t>
            </w:r>
            <w:r>
              <w:tab/>
            </w:r>
            <w:r>
              <w:t xml:space="preserve">Sabiex ikun jista’ jsir aġġustament effettiv tal-arranġamenti tekniċi u organizzattivi </w:t>
            </w:r>
            <w:r>
              <w:t>matul il-bidu progressiv tal-operazzjonijiet tal-EES f’kull Stat Membru</w:t>
            </w:r>
            <w:r>
              <w:t xml:space="preserve"> u biex jiġu indirizzati ċirkostanzi eċċezzjonali ta’ falliment tas-Sistema Ċentrali tal-EES, tas-sistemi nazzjonali jew tal-infrastruttura ta’ komunikazzjoni, jew ħinijiet ta’ stennija eċċessivi fil-fruntieri tagħhom, jenħtieġ li l-Istati Membri jkollhom il-possibbiltà li jissospendu l-operazzjonijiet tal-EES f’ċerti punti ta’ qsim tal-fruntieri, b’mod sħiħ jew parzjali. F’każ ta’ sospensjoni parzjali, jenħtieġ li r-reġistrazzjoni ta’ data bijometrika fl-EES tiġi sospiża. F’każ ta’ sospensjoni sħiħa, jenħtieġ li ma tiġi rreġistrata l-ebda data fl-EES. </w:t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Sabiex jittaffew ir-riskji addizzjonali relatati mal-iskjerament tal-EES b’funzjonalitajiet bijometriċi, jenħtieġ li l-Istati Membri jkollhom il-possibbiltà, f’ċirkostanzi eċċezzjonali li jwasslu għal traffiku ta’ tali intensità li l-ħinijiet ta’ stennija fil-fruntieri jsiru eċċessivi, li jissospendu r-reġistrazzjoni ta’ data bijometrika fl-EES wara t-tmiem tal-bidu progressiv tal-operazzjonijiet. Jenħtieġ li tali sospensjoni tkun possibbli għal perjodu limitat ta’ 60 jum wara t-tmiem tal-bidu progressiv tal-operazzjonijiet tal-EES, u jenħtieġ li tiġi estiża b’60 jum jekk inqas minn 80 % tal-fajls individwali rreġistrati fl-EES matul il-bidu progressiv tal-operazzjonijiet tal-EES ikun fihom data bijometrika.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(24)</w:t>
            </w:r>
            <w:r>
              <w:tab/>
            </w:r>
            <w:r>
              <w:t xml:space="preserve">Sabiex ikun jista’ jsir aġġustament effettiv tal-arranġamenti tekniċi u organizzattivi u biex jiġu indirizzati ċirkostanzi eċċezzjonali </w:t>
            </w:r>
            <w:r>
              <w:t xml:space="preserve">potenzjali </w:t>
            </w:r>
            <w:r>
              <w:t>ta’ falliment tas-Sistema Ċentrali tal-EES, tas-sistemi nazzjonali jew tal-infrastruttura ta’ komunikazzjoni, jew ħinijiet ta’ stennija eċċessivi fil-fruntieri tagħhom</w:t>
            </w:r>
            <w:r>
              <w:t>,</w:t>
            </w:r>
            <w:r>
              <w:t xml:space="preserve"> matul il-bidu progressiv tal-op</w:t>
            </w:r>
            <w:r>
              <w:t>erazzjonijiet</w:t>
            </w:r>
            <w:r>
              <w:t xml:space="preserve"> tal-EES</w:t>
            </w:r>
            <w:r>
              <w:t>,</w:t>
            </w:r>
            <w:r>
              <w:t xml:space="preserve"> </w:t>
            </w:r>
            <w:r>
              <w:t xml:space="preserve"> jenħtieġ li l-Istati Membri jkollhom il-possibbiltà li jissospendu l-operazzjonijiet tal-EES f’ċerti punti ta’ qsim tal-fruntieri, b’mod sħiħ jew parzjali. F’każ ta’ sospensjoni parzjali, jenħtieġ li r-reġistrazzjoni ta’ data bijometrika fl-EES tiġi sospiża. F’każ ta’ sospensjoni sħiħa, jenħtieġ li ma tiġi rreġistrata l-ebda data fl-EES.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11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24a (ġdida)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(24 a)</w:t>
            </w:r>
            <w:r>
              <w:tab/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Sabiex jittaffew ir-riskji addizzjonali relatati mal-introduzzjoni tal-EES b’funzjonalitajiet bijometriċi, jenħtieġ li l-Istati Membri jkollhom il-possibbiltà, f’ċirkostanzi eċċezzjonali li jwasslu għal traffiku ta’ tali intensità li l-ħinijiet ta’ stennija fil-fruntieri jsiru eċċessivi, li jissospendu r-reġistrazzjoni ta’ data bijometrika fl-EES wara t-tmiem tal-bidu progressiv tal-operazzjonijiet. Jenħtieġ li tali sospensjoni tkun possibbli għal perjodu limitat ta’ 60 jum wara t-tmiem tal-bidu progressiv tal-operazzjonijiet tal-EES.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12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Premessa 27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(27)</w:t>
            </w:r>
            <w:r>
              <w:tab/>
            </w:r>
            <w:r>
              <w:t xml:space="preserve">L-objettiv ta’ dan ir-Regolament, li jawtorizza derogi mir-Regolament (UE) 2017/2226 u r-Regolament (UE) </w:t>
            </w:r>
            <w:r>
              <w:t>2016/299</w:t>
            </w:r>
            <w:r>
              <w:t xml:space="preserve"> li jipprevedu bidu progressiv tal-operazzjonijiet tal-EES, ma jistax jinkiseb b’mod suffiċjenti mill-Istati Membri iżda pjuttost, minħabba l-iskala u l-impatt tal-azzjoni, jista’ jinkiseb aħjar fil-livell tal-Unjoni. Għaldaqstant, l-UE tista’ tadotta miżuri, f’konformità mal-prinċipju tas-sussidjarjetà kif stabbilit fl-Artikolu 5 tat-Trattat dwar l-Unjoni Ewropea. F’konformità mal-prinċipju ta’ proporzjonalità, kif stabbilit f’dak l-Artikolu, dan ir-Regolament ma jmurx lil hinn minn dak li huwa meħtieġ sabiex jinkisbu dawk l-għanijiet.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(27)</w:t>
            </w:r>
            <w:r>
              <w:tab/>
            </w:r>
            <w:r>
              <w:t xml:space="preserve">L-objettiv ta’ dan ir-Regolament, li jawtorizza derogi mir-Regolament (UE) 2017/2226 u r-Regolament (UE) </w:t>
            </w:r>
            <w:r>
              <w:t>2016/399</w:t>
            </w:r>
            <w:r>
              <w:t xml:space="preserve"> li jipprevedu bidu progressiv tal-operazzjonijiet tal-EES, ma jistax jinkiseb b’mod suffiċjenti mill-Istati Membri iżda pjuttost, minħabba l-iskala u l-impatt tal-azzjoni, jista’ jinkiseb aħjar fil-livell tal-Unjoni. Għaldaqstant, l-UE tista’ tadotta miżuri, f’konformità mal-prinċipju tas-sussidjarjetà kif stabbilit fl-Artikolu 5 tat-Trattat dwar l-Unjoni Ewropea. F’konformità mal-prinċipju ta’ proporzjonalità, kif stabbilit f’dak l-Artikolu, dan ir-Regolament ma jmurx lil hinn minn dak li huwa meħtieġ sabiex jinkisbu dawk l-għanijiet.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13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2 – paragrafu 1 – punt c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“għadd stmat ta’ qsim tal-fruntieri” tfisser stima minn Stat Membru tal-għadd ta’ qsim tal-fruntieri ta’ ċittadini ta’ pajjiżi terzi msemmija fl-Artikolu 2(1) u (2) tar-Regolament (UE) 2017/2226 f’kull Stat Membru abbażi tal-medja annwali tal-għadd totali ta’ qsim tal-fruntieri ta’ ċittadini ta’ pajjiżi terzi li jivvjaġġaw għal soġġorn qasir f’dak l-Istat Membru kkalkulat </w:t>
            </w:r>
            <w:r>
              <w:t>għat-3 snin</w:t>
            </w:r>
            <w:r>
              <w:t xml:space="preserve"> preċedenti mid-data tal-applikazzjoni msemmija fl-Artikolu 8(1), it-tieni subparagrafu, ta’ dan ir-Regolament.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“għadd stmat ta’ qsim tal-fruntieri” tfisser stima minn Stat Membru tal-għadd ta’ qsim tal-fruntieri ta’ ċittadini ta’ pajjiżi terzi msemmija fl-Artikolu 2(1) u (2) tar-Regolament (UE) 2017/2226 f’kull Stat Membru abbażi tal-medja annwali tal-għadd totali ta’ qsim tal-fruntieri ta’ ċittadini ta’ pajjiżi terzi li jivvjaġġaw għal soġġorn qasir f’dak l-Istat Membru kkalkulat </w:t>
            </w:r>
            <w:r>
              <w:t>għas-sena kalendarja</w:t>
            </w:r>
            <w:r>
              <w:t xml:space="preserve"> preċedenti mid-data tal-applikazzjoni msemmija fl-Artikolu 8(1), it-tieni subparagrafu, ta’ dan ir-Regolament.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14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3 – titolu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Pjanijiet ta’ introduzzjoni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 xml:space="preserve">Pjanijiet ta’ introduzzjoni </w:t>
            </w:r>
            <w:r>
              <w:t>u rapporti ta’ kull xahar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15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 3 – paragrafu 1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 [it-30 jum kalendarju wara d-dħul fis-seħħ ta’ dan ir-Regolament], l-Aġenzija tal-Unjoni Ewropea għat-Tmexxija Operattiva ta’ Sistemi tal-IT fuq Skala Kbira fl-Ispazju ta’ Libertà, Sigurtà u Ġustizzja (eu-LISA) għandha tipprovdi lill-Kummissjoni, lill-Istati Membri, kif ukoll lill-Europol, bi pjan ta’ introduzzjoni ta’ livell għoli dwar il-bidu progressiv tal-operazzjonijiet tal-EES, b’kont meħud tal-fażijiet stabbiliti fl-Artikolu 4. Dak il-pjan ta’ introduzzjoni għandu jinkludi gwida dwar l-użu tal-EES lill-Istati Membri u lill-Europol</w:t>
            </w:r>
            <w:r>
              <w:t>, inklużi l-limiti tal-kapaċità tas-Sistema Ċentrali tal-EES</w:t>
            </w:r>
            <w:r>
              <w:t>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 [it-30 jum kalendarju wara d-dħul fis-seħħ ta’ dan ir-Regolament], l-Aġenzija tal-Unjoni Ewropea għat-Tmexxija Operattiva ta’ Sistemi tal-IT fuq Skala Kbira fl-Ispazju ta’ Libertà, Sigurtà u Ġustizzja (eu-LISA) għandha tipprovdi lill-Kummissjoni, lill-Istati Membri, kif ukoll lill-Europol, bi pjan ta’ introduzzjoni ta’ livell għoli dwar il-bidu progressiv tal-operazzjonijiet tal-EES, b’kont meħud tal-fażijiet stabbiliti fl-Artikolu 4. Dak il-pjan ta’ introduzzjoni għandu jinkludi gwida dwar l-użu tal-EES lill-Istati Membri u lill-Europol.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16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3 – paragrafu 2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Sa [is-60 jum kalendarju wara d-dħul fis-seħħ ta’ dan ir-Regolament], f’konsultazzjoni mal-Kummissjoni u l-eu-LISA, l-Istati Membri għandhom jiżviluppaw </w:t>
            </w:r>
            <w:r>
              <w:t>pjan</w:t>
            </w:r>
            <w:r>
              <w:t xml:space="preserve"> ta’ introduzzjoni nazzjonali dwar il-bidu progressiv tal-operazzjonijiet tal-EES, filwaqt li jqisu l-pjan ta’ introduzzjoni ta’ livell għoli msemmi fil-paragrafu 1 ta’ dan l-Artikolu</w:t>
            </w:r>
            <w:r>
              <w:t xml:space="preserve"> u l-fażijiet</w:t>
            </w:r>
            <w:r>
              <w:t xml:space="preserve"> stabbiliti fl-Artikolu 4.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Sa [is-60 jum kalendarju wara d-dħul fis-seħħ ta’ dan ir-Regolament], f’konsultazzjoni mal-Kummissjoni u l-eu-LISA, l-Istati Membri għandhom jiżviluppaw </w:t>
            </w:r>
            <w:r>
              <w:t>pjanijiet</w:t>
            </w:r>
            <w:r>
              <w:t xml:space="preserve"> ta’ introduzzjoni nazzjonali dwar il-bidu progressiv tal-operazzjonijiet tal-EES, filwaqt li jqisu l-pjan ta’ introduzzjoni ta’ livell għoli msemmi fil-paragrafu 1 ta’ dan l-Artikolu, </w:t>
            </w:r>
            <w:r>
              <w:t>u jippreżentaw dawk il-pjanijiet lill-Kummissjoni</w:t>
            </w:r>
            <w:r>
              <w:t>.</w:t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 xml:space="preserve"> </w:t>
            </w:r>
            <w:r>
              <w:t>Jekk Stat Membru ma jibdiex jopera l-EES bis-sħiħ sa minn meta jibda l-bidu progressiv tal-operazzjonijiet tal-EES, il-pjan ta’ introduzzjoni nazzjonali għandu jispeċifika kif il-limiti u r-rekwiżiti</w:t>
            </w:r>
            <w:r>
              <w:t xml:space="preserve"> stabbiliti fl-Artikolu 4 </w:t>
            </w:r>
            <w:r>
              <w:t>għandhom jiġu ssodisfati</w:t>
            </w:r>
            <w:r>
              <w:t>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17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3 – paragrafu 3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3.</w:t>
            </w:r>
            <w:r>
              <w:tab/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Għal kull waħda mill-fażijiet stabbiliti fl-Artikolu 4, il-pjanijiet ta’ introduzzjoni nazzjonali għandhom jinkludu l-informazzjoni dwar il-limiti u r-rekwiżiti stabbiliti f’dak l-Artikolu.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imħassar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18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3 – paragrafu 4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Mit-30 jum kalendarju wara </w:t>
            </w:r>
            <w:r>
              <w:t>l-bidu progressiv tal-operazzjonijiet tal-EES</w:t>
            </w:r>
            <w:r>
              <w:t>, l-Istati Membri għandhom jipprovdu rapporti ta’ kull xahar lill-Kummissjoni u lill-eu-LISA dwar l-implimentazzjoni tal-pjanijiet ta’ introduzzjoni nazzjonali tagħhom, inklużi miżuri korrettivi fejn meħtieġ biex jikkonformaw mal-obbligi stabbiliti fl-Artikolu 4.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Mit-30 jum kalendarju wara </w:t>
            </w:r>
            <w:r>
              <w:t>d-data li minnha l-EES tibda topera skont kif de</w:t>
            </w:r>
            <w:r>
              <w:t>ċiż mill-Kummissjoni f’konformità mal-Artikolu 66(1) tar-Regolament</w:t>
            </w:r>
            <w:r>
              <w:t xml:space="preserve"> (UE) 2017/2226</w:t>
            </w:r>
            <w:r>
              <w:t>, l-Istati Membri għandhom jipprovdu rapporti ta’ kull xahar lill-Kummissjoni u lill-eu-LISA dwar l-implimentazzjoni tal-pjanijiet ta’ introduzzjoni nazzjonali tagħhom, inklużi miżuri korrettivi fejn meħtieġ biex jikkonformaw mal-obbligi stabbiliti fl-Artikolu 4.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19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3 – paragrafu 5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>Fuq talba tal-Kummissjoni, l-eu-LISA għandha tipprovdi lill-Kummissjoni bl-istatistika meħtieġa għall-monitoraġġ tal-pjanijiet ta’ introduzzjoni nazzjonali, f’konformità mal-Artikolu 63(6) tar-Regolament (UE) 2017/2226.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Fuq talba tal-Kummissjoni, l-eu-LISA għandha tipprovdi lill-Kummissjoni bl-istatistika meħtieġa għall-monitoraġġ </w:t>
            </w:r>
            <w:r>
              <w:t>tal-pjan ta’ introduzzjoni ta’ livell għ</w:t>
            </w:r>
            <w:r>
              <w:t>oli</w:t>
            </w:r>
            <w:r>
              <w:t xml:space="preserve"> u</w:t>
            </w:r>
            <w:r>
              <w:t xml:space="preserve"> tal-pjanijiet ta’ introduzzjoni nazzjonali, f’konformità mal-Artikolu 63(6) tar-Regolament (UE) 2017/2226.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20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4 – paragrafu 2 – subparagrafu 1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Mill-ewwel jum tal-bidu progressiv tal-operazzjonijiet tal-EES, kull Stat Membru għandu jibda juża l-EES mad-dħul u mal-ħruġ f’punt ta’ qsim tal-fruntiera wieħed jew aktar ma’ taħlita ta’ punti ta’ qsim tal-fruntieri tal-ajru, tal-art u tal-baħar, jekk possibbli u applikabbli, biex jirreġistra u jaħżen data ta’ ċittadini ta’ pajjiżi terzi msemmija fl-Artikolu 2(1) u (2) tar-Regolament (UE) 2017/2226. L-Istati Membri għandhom jirreġistraw fl-EES mill-inqas 10 % tal-għadd stmat ta’ qsim tal-fruntieri f’dak l-Istat Membru.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 xml:space="preserve">Mill-ewwel jum tal-bidu progressiv tal-operazzjonijiet tal-EES, kull Stat Membru għandu jibda juża l-EES mad-dħul u mal-ħruġ f’punt ta’ qsim tal-fruntiera wieħed jew aktar ma’ taħlita ta’ punti ta’ qsim tal-fruntieri tal-ajru, tal-art u tal-baħar, jekk possibbli u applikabbli, biex jirreġistra u jaħżen data ta’ ċittadini ta’ pajjiżi terzi msemmija fl-Artikolu 2(1) u (2) tar-Regolament (UE) 2017/2226. </w:t>
            </w:r>
            <w:r>
              <w:t>Sa mhux aktar tard mit-30 jum kalendarju tal-bidu progressiv tal-operazzjonijiet tal-EES,</w:t>
            </w:r>
            <w:r>
              <w:t xml:space="preserve"> l-Istati Membri għandhom jirreġistraw fl-EES mill-inqas 10 % tal-għadd stmat ta’ qsim tal-fruntieri f’dak l-Istat Membru.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21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4 – paragrafu 3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Mhux aktar tard mid-90 jum kalendarju </w:t>
            </w:r>
            <w:r>
              <w:t>w</w:t>
            </w:r>
            <w:r>
              <w:t>ara</w:t>
            </w:r>
            <w:r>
              <w:t xml:space="preserve"> l-bidu</w:t>
            </w:r>
            <w:r>
              <w:t xml:space="preserve"> progressiv tal-operazzjonijiet tal-EES, l-Istati Membri għandhom joperaw l-EES b’funzjonalitajiet bijometriċi mill-inqas f’nofs il-punti ta’ qsim tal-fruntieri tagħhom. L-Istati Membri għandhom jirreġistraw mill-inqas </w:t>
            </w:r>
            <w:r>
              <w:t>50 %</w:t>
            </w:r>
            <w:r>
              <w:t xml:space="preserve"> tal-għadd stmat ta’ qsim tal-fruntieri f’dak l-Istat Membru. Il-fajls individwali ta’ ċittadini ta’ pajjiżi terzi msemmija fl-Artikolu 2(1) u (2) tar-Regolament (UE) 2017/2226 li huma rreġistrati fl-EES għandu jkun fihom data bijometrika.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Mhux aktar tard mid-90 jum kalendarju </w:t>
            </w:r>
            <w:r>
              <w:t>tal</w:t>
            </w:r>
            <w:r>
              <w:t>-bidu</w:t>
            </w:r>
            <w:r>
              <w:t xml:space="preserve"> </w:t>
            </w:r>
            <w:r>
              <w:t xml:space="preserve">progressiv tal-operazzjonijiet tal-EES, l-Istati Membri għandhom joperaw l-EES b’funzjonalitajiet bijometriċi mill-inqas f’nofs il-punti ta’ qsim tal-fruntieri tagħhom. L-Istati Membri għandhom jirreġistraw mill-inqas </w:t>
            </w:r>
            <w:r>
              <w:t>35 %</w:t>
            </w:r>
            <w:r>
              <w:t xml:space="preserve"> tal-għadd stmat ta’ qsim tal-fruntieri f’dak l-Istat Membru. Il-fajls individwali ta’ ċittadini ta’ pajjiżi terzi msemmija fl-Artikolu 2(1) u (2) tar-Regolament (UE) 2017/2226 li huma rreġistrati fl-EES għandu jkun fihom data bijometrika.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22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4 – paragrafu 4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Mhux aktar tard mill-150 jum kalendarju </w:t>
            </w:r>
            <w:r>
              <w:t>wara l-bidu</w:t>
            </w:r>
            <w:r>
              <w:t xml:space="preserve"> progressiv tal-operazzjonijiet tal-EES, l-Istati Membri għandhom joperaw l-EES b’funzjonalitajiet bijometriċi fil-punti ta’ qsim tal-fruntieri kollha tagħhom u għandhom ikomplu jirreġistraw fl-EES mill-inqas 50 % tal-għadd stmat ta’ qsim tal-fruntieri f’dak l-Istat Membru.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Mhux aktar tard mill-150 jum kalendarju </w:t>
            </w:r>
            <w:r>
              <w:t>tal-bidu</w:t>
            </w:r>
            <w:r>
              <w:t xml:space="preserve"> progressiv tal-operazzjonijiet tal-EES, l-Istati Membri għandhom joperaw l-EES b’funzjonalitajiet bijometriċi fil-punti ta’ qsim tal-fruntieri kollha tagħhom u għandhom ikomplu jirreġistraw fl-EES mill-inqas 50 % tal-għadd stmat ta’ qsim tal-fruntieri f’dak l-Istat Membru.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23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4 – paragrafu 5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Mhux aktar tard mill-170 jum kalendarju </w:t>
            </w:r>
            <w:r>
              <w:t>wara l-bidu</w:t>
            </w:r>
            <w:r>
              <w:t xml:space="preserve"> progressiv tal-operazzjonijiet tal-EES, l-Istati Membri għandhom joperaw l-EES b’funzjonalitajiet bijometriċi fil-punti ta’ qsim tal-fruntieri kollha tagħhom u għandhom jirreġistraw fl-EES iċ-ċittadini kollha ta’ pajjiżi terzi msemmija fl-Artikolu 2(1) u (2) tar-Regolament (UE) 2017/2226.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Mhux aktar tard mill-170 jum kalendarju </w:t>
            </w:r>
            <w:r>
              <w:t>tal-bidu</w:t>
            </w:r>
            <w:r>
              <w:t xml:space="preserve"> progressiv tal-operazzjonijiet tal-EES, l-Istati Membri għandhom joperaw l-EES b’funzjonalitajiet bijometriċi fil-punti ta’ qsim tal-fruntieri kollha tagħhom u għandhom jirreġistraw fl-EES iċ-ċittadini kollha ta’ pajjiżi terzi msemmija fl-Artikolu 2(1) u (2) tar-Regolament (UE) 2017/2226.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24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5 – paragrafu 4 – subparagrafu 2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 xml:space="preserve">Din il-preżunzjoni ma għandhiex tapplika għal ċittadini ta’ pajjiżi terzi li jistgħu jipprovdu, bi kwalunkwe mezz, evidenza kredibbli li jgawdu mid-dritt ta’ moviment liberu skont id-dritt tal-Unjoni, </w:t>
            </w:r>
            <w:r>
              <w:t>li għandhom dritt ta’ residenza fi Stat Membru ospitanti skont il-Ftehim dwar il-Ħruġ tar-Renju Unit,</w:t>
            </w:r>
            <w:r>
              <w:t xml:space="preserve"> jew li għandhom permess ta’ residenza jew viża għal soġġorn twil.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Din il-preżunzjoni ma għandhiex tapplika għal ċittadini ta’ pajjiżi terzi li jistgħu jipprovdu, bi kwalunkwe mezz, evidenza kredibbli li jgawdu mid-dritt ta’ moviment liberu skont id-dritt tal-Unjoni, jew li għandhom permess ta’ residenza jew viża għal soġġorn twil.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25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7 – paragrafu 1 – subparagrafu 4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 xml:space="preserve">Fiż-żewġ każijiet, l-Istati Membri għandhom jinnotifikaw minnufih </w:t>
            </w:r>
            <w:r>
              <w:t>u</w:t>
            </w:r>
            <w:r>
              <w:t xml:space="preserve"> </w:t>
            </w:r>
            <w:r>
              <w:t>mhux</w:t>
            </w:r>
            <w:r>
              <w:t xml:space="preserve"> aktar tard minn 6 sigħat wara l-bidu tas-sospensjoni lill-Kummissjoni u lill-eu-LISA r-raġuni għas-sospensjoni parzjali jew sħiħa u d-durata mistennija tagħha</w:t>
            </w:r>
            <w:r>
              <w:t xml:space="preserve"> u jiżguraw li l-operaturi tal-infrastruttura li jospitaw il-punti ta’ qsim tal-fruntieri u t-trasportaturi jiġu infurmati kif xieraq dwar tali sospensjoni</w:t>
            </w:r>
            <w:r>
              <w:t xml:space="preserve">. Ladarba ċ-ċirkostanzi eċċezzjonali li wasslu għas-sospensjoni jieqfu, l-Istati Membri għandhom jinnotifikaw minnufih lill-Kummissjoni </w:t>
            </w:r>
            <w:r>
              <w:t>u lill-eu-LISA</w:t>
            </w:r>
            <w:r>
              <w:t>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 xml:space="preserve">Fiż-żewġ każijiet, l-Istati Membri għandhom jinfurmaw minnufih </w:t>
            </w:r>
            <w:r>
              <w:t>lill-operaturi tal-infrastruttura li tospita punti ta’ qsim tal-fruntieri u lit-trasportaturi.</w:t>
            </w:r>
            <w:r>
              <w:t xml:space="preserve"> Mhux aktar tard minn 6 sigħat wara l-bidu tas-sospensjoni</w:t>
            </w:r>
            <w:r>
              <w:t>, l-Istati Membri għandhom jinnotifikaw</w:t>
            </w:r>
            <w:r>
              <w:t xml:space="preserve"> lill-Kummissjoni u lill-eu-LISA r-raġuni għas-sospensjoni parzjali jew sħiħa u d-durata mistennija tagħha. Ladarba ċ-ċirkostanzi eċċezzjonali li wasslu għas-sospensjoni jieqfu, l-Istati Membri għandhom </w:t>
            </w:r>
            <w:r>
              <w:t>itemmu s-sospensjoni u</w:t>
            </w:r>
            <w:r>
              <w:t xml:space="preserve"> jinnotifikaw minnufih lill-Kummissjoni</w:t>
            </w:r>
            <w:r>
              <w:t>, lill-eu-LISA u lill-operaturi tal-infrastruttura li tospita punti ta’ qsim tal-fruntieri u lit-trasportaturi b’dan</w:t>
            </w:r>
            <w:r>
              <w:t>.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26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7 – paragrafu 3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3.</w:t>
            </w:r>
            <w:r>
              <w:tab/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Jekk inqas minn 80 % tal-fajls individwali rreġistrati fl-EES matul il-bidu progressiv tal-operazzjonijiet tal-EES ikun fihom data bijometrika, il-perjodu stabbilit fil-paragrafu 2 ta’ dan l-Artikolu għandu jiġi estiż awtomatikament b’60 jum kalendarju.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imħassar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27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7 – paragrafu 4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4.</w:t>
            </w:r>
            <w:r>
              <w:tab/>
            </w: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Sa mhux aktar tard mill-10 jum kalendarju wara t-tmiem tal-bidu progressiv tal-operazzjonijiet tal-EES, l-eu-LISA għandha tipprovdi lill-Kummissjoni bi statistika li tippermetti lill-Kummissjoni tivverifika jekk dan il-perċentwal ikunx intlaħaq. Sa mhux aktar tard mit-30 jum kalendarju wara t-tmiem tal-bidu progressiv tal-operazzjonijiet tal-EES, il-Kummissjoni għandha tinforma lill-Istati Membri dwar l-eżitu tal-verifika tagħha.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rPr>
                <w:b/>
                <w:i/>
                <w:strike w:val="0"/>
                <w:color w:val="auto"/>
                <w:highlight w:val="none"/>
                <w:u w:val="none" w:color="auto"/>
                <w:vertAlign w:val="baseline"/>
              </w:rPr>
              <w:t>imħassar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pPr>
        <w:pStyle w:val="AmNumberTabs"/>
      </w:pPr>
      <w:r>
        <w:rPr>
          <w:rStyle w:val="HideTWBExt"/>
        </w:rPr>
        <w:t>&lt;</w:t>
      </w:r>
      <w:r>
        <w:rPr>
          <w:rStyle w:val="HideTWBExt"/>
        </w:rPr>
        <w:t>Amend</w:t>
      </w:r>
      <w:r>
        <w:rPr>
          <w:rStyle w:val="HideTWBExt"/>
        </w:rPr>
        <w:t>&gt;</w:t>
      </w:r>
      <w:r>
        <w:t>Emenda</w:t>
      </w:r>
      <w:r>
        <w:tab/>
      </w:r>
      <w:r>
        <w:tab/>
      </w:r>
      <w:r>
        <w:rPr>
          <w:rStyle w:val="HideTWBExt"/>
        </w:rPr>
        <w:t>&lt;</w:t>
      </w:r>
      <w:r>
        <w:rPr>
          <w:rStyle w:val="HideTWBExt"/>
        </w:rPr>
        <w:t>NumAm</w:t>
      </w:r>
      <w:r>
        <w:rPr>
          <w:rStyle w:val="HideTWBExt"/>
        </w:rPr>
        <w:t>&gt;</w:t>
      </w:r>
      <w:r>
        <w:t>28</w:t>
      </w:r>
      <w:r>
        <w:rPr>
          <w:rStyle w:val="HideTWBExt"/>
        </w:rPr>
        <w:t>&lt;/</w:t>
      </w:r>
      <w:r>
        <w:rPr>
          <w:rStyle w:val="HideTWBExt"/>
        </w:rPr>
        <w:t>NumAm</w:t>
      </w:r>
      <w:r>
        <w:rPr>
          <w:rStyle w:val="HideTWBExt"/>
        </w:rPr>
        <w:t>&gt;</w:t>
      </w:r>
    </w:p>
    <w:p>
      <w:pPr>
        <w:pStyle w:val="NormalBold12b"/>
      </w:pPr>
      <w:r>
        <w:rPr>
          <w:rStyle w:val="HideTWBExt"/>
        </w:rPr>
        <w:t>&lt;</w:t>
      </w:r>
      <w:r>
        <w:rPr>
          <w:rStyle w:val="HideTWBExt"/>
        </w:rPr>
        <w:t>DocAmend</w:t>
      </w:r>
      <w:r>
        <w:rPr>
          <w:rStyle w:val="HideTWBExt"/>
        </w:rPr>
        <w:t>&gt;</w:t>
      </w:r>
      <w:r>
        <w:t>Proposta għal regolament</w:t>
      </w:r>
      <w:r>
        <w:rPr>
          <w:rStyle w:val="HideTWBExt"/>
        </w:rPr>
        <w:t>&lt;/</w:t>
      </w:r>
      <w:r>
        <w:rPr>
          <w:rStyle w:val="HideTWBExt"/>
        </w:rPr>
        <w:t>DocAmend</w:t>
      </w:r>
      <w:r>
        <w:rPr>
          <w:rStyle w:val="HideTWBExt"/>
        </w:rPr>
        <w:t>&gt;</w:t>
      </w:r>
    </w:p>
    <w:p>
      <w:pPr>
        <w:pStyle w:val="NormalBold"/>
      </w:pPr>
      <w:r>
        <w:rPr>
          <w:rStyle w:val="HideTWBExt"/>
        </w:rPr>
        <w:t>&lt;</w:t>
      </w:r>
      <w:r>
        <w:rPr>
          <w:rStyle w:val="HideTWBExt"/>
        </w:rPr>
        <w:t>Article</w:t>
      </w:r>
      <w:r>
        <w:rPr>
          <w:rStyle w:val="HideTWBExt"/>
        </w:rPr>
        <w:t>&gt;</w:t>
      </w:r>
      <w:r>
        <w:t>Artikolu 8 – paragrafu 2 – subparagrafu 1 – punt d</w:t>
      </w:r>
      <w:r>
        <w:rPr>
          <w:rStyle w:val="HideTWBExt"/>
        </w:rPr>
        <w:t>&lt;/</w:t>
      </w:r>
      <w:r>
        <w:rPr>
          <w:rStyle w:val="HideTWBExt"/>
        </w:rPr>
        <w:t>Article</w:t>
      </w:r>
      <w:r>
        <w:rPr>
          <w:rStyle w:val="HideTWBExt"/>
        </w:rPr>
        <w:t>&gt;</w:t>
      </w:r>
    </w:p>
    <w:tbl>
      <w:tblPr>
        <w:jc w:val="center"/>
        <w:tblLayout w:type="fixed"/>
        <w:tblCellMar>
          <w:top w:w="0" w:type="dxa"/>
          <w:left w:w="340" w:type="dxa"/>
          <w:bottom w:w="0" w:type="dxa"/>
          <w:right w:w="340" w:type="dxa"/>
        </w:tblCellMar>
      </w:tblPr>
      <w:tblGrid>
        <w:gridCol w:w="4876"/>
        <w:gridCol w:w="4876"/>
      </w:tblGrid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exact" w:val="240"/>
          <w:jc w:val="center"/>
        </w:trPr>
        <w:tc>
          <w:tcPr>
            <w:tcW w:w="9752" w:type="dxa"/>
            <w:gridSpan w:val="2"/>
            <w:vAlign w:val="top"/>
          </w:tcPr>
          <w:p/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val="240"/>
          <w:jc w:val="center"/>
        </w:trPr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vAlign w:val="top"/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jc w:val="center"/>
          <w:tblLayout w:type="fixed"/>
          <w:tblCellMar>
            <w:top w:w="0" w:type="dxa"/>
            <w:left w:w="340" w:type="dxa"/>
            <w:bottom w:w="0" w:type="dxa"/>
            <w:right w:w="340" w:type="dxa"/>
          </w:tblCellMar>
        </w:tblPrEx>
        <w:trPr>
          <w:cantSplit w:val="0"/>
          <w:trHeight w:hRule="auto" w:val="0"/>
          <w:jc w:val="center"/>
        </w:trPr>
        <w:tc>
          <w:tcPr>
            <w:tcW w:w="4876" w:type="dxa"/>
            <w:vAlign w:val="top"/>
          </w:tcPr>
          <w:p>
            <w:pPr>
              <w:pStyle w:val="Normal6a"/>
            </w:pPr>
            <w:r>
              <w:t>(d)</w:t>
            </w:r>
            <w:r>
              <w:tab/>
            </w:r>
            <w:r>
              <w:t xml:space="preserve">L-Artikolu 7(2) </w:t>
            </w:r>
            <w:r>
              <w:t>u (3)</w:t>
            </w:r>
            <w:r>
              <w:t xml:space="preserve"> għandu jieqaf japplika </w:t>
            </w:r>
            <w:r>
              <w:t>300</w:t>
            </w:r>
            <w:r>
              <w:t xml:space="preserve"> jum kalendarju wara d-data deċiża mill-Kummissjoni f’konformità mal-Artikolu 66(1) tar-Regolament (UE) 2017/2226;</w:t>
            </w:r>
          </w:p>
        </w:tc>
        <w:tc>
          <w:tcPr>
            <w:tcW w:w="4876" w:type="dxa"/>
            <w:vAlign w:val="top"/>
          </w:tcPr>
          <w:p>
            <w:pPr>
              <w:pStyle w:val="Normal6a"/>
            </w:pPr>
            <w:r>
              <w:t>(d)</w:t>
            </w:r>
            <w:r>
              <w:tab/>
            </w:r>
            <w:r>
              <w:t xml:space="preserve">L-Artikolu 7(2) għandu jieqaf japplika </w:t>
            </w:r>
            <w:r>
              <w:t>240</w:t>
            </w:r>
            <w:r>
              <w:t xml:space="preserve"> jum kalendarju wara d-data deċiża mill-Kummissjoni f’konformità mal-Artikolu 66(1) tar-Regolament (UE) 2017/2226;</w:t>
            </w:r>
          </w:p>
        </w:tc>
      </w:tr>
    </w:tbl>
    <w:p>
      <w:pPr>
        <w:pStyle w:val="AmOrLang"/>
      </w:pPr>
      <w:r>
        <w:t>Or.</w:t>
      </w:r>
      <w:r>
        <w:t xml:space="preserve"> </w:t>
      </w:r>
      <w:r>
        <w:rPr>
          <w:rStyle w:val="HideTWBExt"/>
        </w:rPr>
        <w:t>&lt;</w:t>
      </w:r>
      <w:r>
        <w:rPr>
          <w:rStyle w:val="HideTWBExt"/>
        </w:rPr>
        <w:t>Original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EN</w:t>
      </w:r>
      <w:r>
        <w:rPr>
          <w:rStyle w:val="HideTWBInt"/>
        </w:rPr>
        <w:t>}</w:t>
      </w:r>
      <w:r>
        <w:t>en</w:t>
      </w:r>
      <w:r>
        <w:rPr>
          <w:rStyle w:val="HideTWBExt"/>
        </w:rPr>
        <w:t>&lt;/</w:t>
      </w:r>
      <w:r>
        <w:rPr>
          <w:rStyle w:val="HideTWBExt"/>
        </w:rPr>
        <w:t>Original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Amend</w:t>
      </w:r>
      <w:r>
        <w:rPr>
          <w:rStyle w:val="HideTWBExt"/>
        </w:rPr>
        <w:t>&gt;</w:t>
      </w:r>
    </w:p>
    <w:p>
      <w:r>
        <w:rPr>
          <w:rStyle w:val="HideTWBExt"/>
        </w:rPr>
        <w:t>&lt;/</w:t>
      </w:r>
      <w:r>
        <w:rPr>
          <w:rStyle w:val="HideTWBExt"/>
        </w:rPr>
        <w:t>RepeatBlock-Amend</w:t>
      </w:r>
      <w:r>
        <w:rPr>
          <w:rStyle w:val="HideTWBExt"/>
        </w:rPr>
        <w:t>&gt;</w:t>
      </w:r>
    </w:p>
    <w:p>
      <w:pPr>
        <w:sectPr>
          <w:footerReference w:type="even" r:id="rId5"/>
          <w:footerReference w:type="default" r:id="rId6"/>
          <w:footerReference w:type="first" r:id="rId7"/>
          <w:pgSz w:w="11906" w:h="16838"/>
          <w:pgMar w:top="1134" w:right="1417" w:bottom="1417" w:left="1417" w:header="1134" w:footer="567" w:gutter="0"/>
          <w:cols w:num="1" w:space="708"/>
          <w:titlePg/>
          <w:docGrid w:linePitch="360"/>
        </w:sectPr>
      </w:pPr>
    </w:p>
    <w:p>
      <w:pPr>
        <w:pStyle w:val="PageHeading"/>
      </w:pPr>
      <w:bookmarkStart w:id="1" w:name="_Toc256000003"/>
      <w:r>
        <w:t>NOTA SPJEGATTIVA</w:t>
      </w:r>
      <w:bookmarkEnd w:id="1"/>
    </w:p>
    <w:p>
      <w:pPr>
        <w:pStyle w:val="Normal12a"/>
      </w:pPr>
      <w:r>
        <w:rPr>
          <w:rStyle w:val="Bold"/>
        </w:rPr>
        <w:t>Introduzzjoni</w:t>
      </w:r>
    </w:p>
    <w:p>
      <w:pPr>
        <w:pStyle w:val="Normal12a"/>
      </w:pPr>
      <w:r>
        <w:t xml:space="preserve">Is-Sistema ta’ Dħul/Ħruġ (EES), prevista fir-Regolament 2017/2226 (ir- “Regolament dwar l-EES”), hija komponent ewlieni tal-ġestjoni tal-fruntieri taż-żona Schengen. L-EES tirreġistra fil-bażi tad-data ċentralizzata tagħha d-dħul, il-ħruġ u r-rifjuti ta’ dħul ta’ ċittadini ta’ pajjiżi terzi li jaqsmu l-fruntieri esterni ta’ 29 Stat Membru ta’ Schengen għal soġġorn qasir. Hija pass sinifikanti fl-isforzi tal-UE biex ittejjeb is-sigurtà u l-effiċjenza fil-fruntieri esterni tagħha. Għall-ewwel darba, sistema se tiġbor data bijometrika, jiġifieri l-immaġnijiet tal-wiċċ u l-marki tas-swaba’, kif ukoll data alfanumerika, ta’ ċittadini ta’ pajjiżi terzi li jaqsmu l-fruntieri esterni. L-EES se tagħti lill-Istati Membri ta’ Schengen aċċess f’ħin reali għad-data personali, l-istorja tal-ivvjaġġar u l-informazzjoni taċ-ċittadini ta’ pajjiżi terzi dwar jekk jikkonformawx mal-perjodu awtorizzat ta’ soġġorn qasir fiż-żona Schengen. B’riżultat ta’ dan, l-EES għandha tnaqqas il-probabbiltà ta’ frodi tal-identità u ta’ soġġorn wara l-iskadenza tal-awtorizzazzjoni, u fl-aħħar mill-aħħar se ssaħħaħ is-sigurtà taż-żona Schengen. Bħala riżultat tal-installazzjoni ta’ infrastruttura awtomatizzata tal-fruntieri, l-EES għandha fl-aħħar mill-aħħar tnaqqas ukoll il-ħinijiet ta’ stennija għal vjaġġaturi </w:t>
      </w:r>
      <w:r>
        <w:rPr>
          <w:rStyle w:val="Italic"/>
        </w:rPr>
        <w:t>bona fide</w:t>
      </w:r>
      <w:r>
        <w:t xml:space="preserve"> fil-punti ta’ qsim tal-fruntieri.</w:t>
      </w:r>
    </w:p>
    <w:p>
      <w:pPr>
        <w:pStyle w:val="Normal12a"/>
      </w:pPr>
      <w:r>
        <w:t>L-iżvilupp tal-EES ħa aktar żmien milli mistenni u d-dati fil-mira għall-bidu tal-operazzjonijiet ma ntlaħqux. Wieħed mir-rekwiżiti għall-bidu tal-operazzjonijiet tal-EES huwa li l-Kummissjoni tirċievi “notifika ta’ tħejjija” minn kull Stat Membru. Bħalissa, tliet Stati Membri indikaw li mhumiex f’pożizzjoni li jissottomettu tali notifika. Id-dewmien tagħhom huwa dovut għal taħlita ta’ kwistjonijiet domestiċi u tħassib dwar l-istabbiltà tas-sistema ċentrali ġestita mill-eu-LISA.</w:t>
      </w:r>
    </w:p>
    <w:p>
      <w:pPr>
        <w:pStyle w:val="Normal12a"/>
      </w:pPr>
      <w:r>
        <w:t>Fid-dawl ta’ dan ta’ hawn fuq, diversi partijiet ikkonċernati involuti fl-operazzjonijiet tal-EES qiesu li l-introduzzjoni maqbula ta’ proċessi ġodda fil-fruntieri esterni għandha tkun preċeduta minn perjodu ta’ aġġustament għall-awtoritajiet nazzjonali u għall-vjaġġaturi. It-tnedija sħiħa ta’ sistema ġdida tal-IT fuq skala kbira fil-punti kollha ta’ qsim tal-fruntieri tista’ toħloq riskji għal vjaġġar sigur u bla xkiel.</w:t>
      </w:r>
    </w:p>
    <w:p>
      <w:pPr>
        <w:pStyle w:val="Normal12a"/>
      </w:pPr>
      <w:r>
        <w:t>Madankollu, ir-Regolament EES jippermetti biss bidu sħiħ tal-operazzjonijiet, li jirrikjedi li l-Istati Membri kollha jibdew jużaw l-EES bis-sħiħ u simultanjament għall-vjaġġaturi kollha li huma soġġetti għal reġistrazzjoni fl-EES fil-punti ta’ qsim tal-fruntieri esterni kollha tagħhom. Ma jipprevedix l-għażla ta’ perjodu ta’ aġġustament.</w:t>
      </w:r>
    </w:p>
    <w:p>
      <w:pPr>
        <w:pStyle w:val="Normal12a"/>
      </w:pPr>
      <w:r>
        <w:t>F’dan il-kuntest, f’Diċembru 2024, il-Kummissjoni ppreżentat proposta fir-rigward tal-bidu progressiv tal-operazzjonijiet tal-EES. Il-bidu gradwali tas-sistema jinvolvi użu akbar mill-Istati Membri fuq perjodu ta’ 180 jum sal-introduzzjoni sħiħa.</w:t>
      </w:r>
    </w:p>
    <w:p>
      <w:pPr>
        <w:pStyle w:val="Normal12a"/>
      </w:pPr>
      <w:r>
        <w:rPr>
          <w:rStyle w:val="Bold"/>
        </w:rPr>
        <w:t>Il-pożizzjoni tar-Rapporteur</w:t>
      </w:r>
    </w:p>
    <w:p>
      <w:pPr>
        <w:pStyle w:val="Normal12a"/>
      </w:pPr>
      <w:r>
        <w:t>Ir-rapporteur tappoġġja l-EES u l-għanijiet tagħha biex ittejjeb is-sigurtà u tiffaċilita l-flussi tan-nies fil-fruntieri esterni tal-UE. Il-ħtieġa għal sigurtà msaħħa tal-fruntieri dehret biċ-ċar meta seħħet il-mewġa orribbli ta’ attakki terroristiċi fl-Istati Membri tal-UE, inkluż fi Franza u fil-Belġju, fl-2015 u fl-2016. Filwaqt li tifhem id-diffikultà li titwaqqaf sistema ġdida ewlenija li tinkludi komponenti ġodda ta’ hardware u software kif ukoll il-modifika tal-proċeduri fil-punti ta’ qsim tal-fruntieri, ir-rapporteur jiddispjaċiha li tmien snin wara l-adozzjoni tar-Regolament, is-sistema għadha ma bdietx topera. Mill-2017, it-theddid għas-sigurtà ma naqasx: għall-kuntrarju. Sabiex finalment tippermetti l-introduzzjoni sħiħa tal-EES, ir-rapporteur fil-prinċipju taqbel mal-bidu progressiv propost tal-operazzjonijiet.</w:t>
      </w:r>
    </w:p>
    <w:p>
      <w:pPr>
        <w:pStyle w:val="Normal12a"/>
      </w:pPr>
      <w:r>
        <w:t>Ir-Rapporteur tipproponi l-bidliet li ġejjin għall-proposta tal-Kummissjoni:</w:t>
      </w:r>
    </w:p>
    <w:p>
      <w:pPr>
        <w:pStyle w:val="Normal12a"/>
      </w:pPr>
      <w:r>
        <w:t>1. Ir-rapporteur tenfasizza li l-introduzzjoni progressiva tal-EES matul il-perjodu ta’ 180 jum tal-bidu progressiv tal-operazzjonijiet hija volontarja. L-Istati Membri li jiddeċiedu li jibdew jużaw l-EES bis-sħiħ għaċ-ċittadini kollha ta’ pajjiżi terzi soġġetti għar-reġistrazzjoni fl-EES mill-ewwel jum fil-punti ta’ qsim tal-fruntiera kollha tagħhom simultanjament għandhom ikunu jistgħu jagħmlu dan.</w:t>
      </w:r>
    </w:p>
    <w:p>
      <w:pPr>
        <w:pStyle w:val="Normal12a"/>
      </w:pPr>
      <w:r>
        <w:t>2. Minkejja dan, l-Istati Membri li minflok jiddeċiedu li jużaw introduzzjoni gradwali tal-EES għandhom jingħataw aktar flessibbiltà milli previst fil-proposta tal-Kummissjoni. Minflok ma jibdew minn mill-inqas 10 % mill-ewwel jum, l-Istati Membri għandhom jitħallew jilħqu sa 10 % fl-ewwel 30 jum mill-bidu progressiv tal-operazzjonijiet. U minflok ma jirreġistraw mill-inqas 50 % tal-għadd stmat ta’ qsim tal-fruntieri fl-EES sad-90 jum, għandhom jilħqu mill-inqas 35 %. Dawn il-perċentwali aġġustati jirriflettu r-realtà li l-introduzzjoni ta’ sistemi kumplessi ġodda normalment tkun esponenzjali, mhux lineari.</w:t>
      </w:r>
    </w:p>
    <w:p>
      <w:pPr>
        <w:pStyle w:val="Normal12a"/>
      </w:pPr>
      <w:r>
        <w:t>3. Ir-rapporteur tissottolinja li l-introduzzjoni tal-Istati Membri ma għandhiex tibqa’ tinżamm lura minn limitazzjonijiet fil-komponent ċentrali tal-EES, ġestita mill-eu-LISA.</w:t>
      </w:r>
    </w:p>
    <w:p>
      <w:pPr>
        <w:pStyle w:val="Normal12a"/>
      </w:pPr>
      <w:r>
        <w:t>4. Ir-rapporteur tiċċara ċerti dispożizzjonijiet rigward il-pjan ta’ introduzzjoni u r-rekwiżiti ta’ rapportar ta’ kull xahar, il-bażi li fuqha jiġu kkalkulati l-perċentwali u l-flussi ta’ informazzjoni matul kwalunkwe sospensjoni possibbli tal-użu tas-sistema.</w:t>
      </w:r>
    </w:p>
    <w:p>
      <w:pPr>
        <w:pStyle w:val="Normal12a"/>
      </w:pPr>
      <w:r>
        <w:t>5. Ir-rapporteur tnaqqas il-perjodu propost wara l-bidu progressiv tal-operazzjonijiet li matulu l-Istati Membri jistgħu jissospendu parzjalment l-operazzjonijiet tal-EES u tenfasizza li l-Istati Membri li għadhom ma ħarġux id-dikjarazzjonijiet ta’ tħejjija tagħhom issa jridu jagħmlu dan b’mod urġenti sabiex is-sistema tkun tista’ tibda fil-ħarifa tal-2025 – perjodu kalm għall-ivvjaġġar transfruntier.</w:t>
      </w:r>
    </w:p>
    <w:p>
      <w:pPr>
        <w:pStyle w:val="Normal12a"/>
      </w:pPr>
    </w:p>
    <w:sectPr>
      <w:type w:val="nextPage"/>
      <w:pgSz w:w="11906" w:h="16838"/>
      <w:pgMar w:top="1134" w:right="1417" w:bottom="1417" w:left="1417" w:header="1134" w:footer="567" w:gutter="0"/>
      <w:cols w:num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770.093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22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23</w:t>
    </w:r>
    <w:r>
      <w:fldChar w:fldCharType="end"/>
    </w:r>
    <w:r>
      <w:tab/>
    </w: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PR\1316296MT.docx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</w:p>
  <w:p>
    <w:pPr>
      <w:pStyle w:val="EPFooter2"/>
    </w:pPr>
    <w:r>
      <w:t>MT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PR\1316296MT.docx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23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23</w:t>
    </w:r>
    <w:r>
      <w:fldChar w:fldCharType="end"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770.093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ab/>
    </w:r>
    <w:r>
      <w:tab/>
    </w:r>
    <w:r>
      <w:t>MT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PR\1316296MT.docx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770.093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>MT</w:t>
    </w:r>
    <w:r>
      <w:tab/>
    </w:r>
    <w:r>
      <w:rPr>
        <w:rStyle w:val="EPFooter2Motto"/>
      </w:rPr>
      <w:t>Magħquda fid-diversità</w:t>
    </w:r>
    <w:r>
      <w:tab/>
    </w:r>
    <w:r>
      <w:t>MT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54581"/>
    <w:multiLevelType w:val="hybridMultilevel"/>
    <w:tmpl w:val="F16C6036"/>
    <w:lvl w:ilvl="0">
      <w:start w:val="1"/>
      <w:numFmt w:val="bullet"/>
      <w:pStyle w:val="Normal12a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C09CF"/>
    <w:multiLevelType w:val="hybridMultilevel"/>
    <w:tmpl w:val="0DAA9F68"/>
    <w:lvl w:ilvl="0">
      <w:start w:val="1"/>
      <w:numFmt w:val="bullet"/>
      <w:pStyle w:val="Normal12aBullet2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pPr>
      <w:widowControl w:val="0"/>
    </w:pPr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Comma">
    <w:name w:val="EPComma"/>
    <w:basedOn w:val="Normal"/>
    <w:rsid w:val="006A5366"/>
    <w:pPr>
      <w:spacing w:before="480" w:after="240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TOCRight">
    <w:name w:val="TOC Right"/>
    <w:basedOn w:val="Normal"/>
    <w:rsid w:val="00E839D9"/>
    <w:pPr>
      <w:spacing w:after="240"/>
      <w:jc w:val="right"/>
    </w:pPr>
  </w:style>
  <w:style w:type="paragraph" w:customStyle="1" w:styleId="CoverDateRefPart">
    <w:name w:val="CoverDateRefPart"/>
    <w:basedOn w:val="Normal"/>
    <w:rsid w:val="00C5424C"/>
    <w:pPr>
      <w:spacing w:after="1200"/>
    </w:pPr>
  </w:style>
  <w:style w:type="paragraph" w:customStyle="1" w:styleId="EPName">
    <w:name w:val="EPName"/>
    <w:basedOn w:val="Normal"/>
    <w:rsid w:val="00D16E15"/>
    <w:pPr>
      <w:spacing w:before="80" w:after="80"/>
    </w:pPr>
    <w:rPr>
      <w:rFonts w:ascii="Arial Narrow" w:hAnsi="Arial Narrow" w:cs="Arial"/>
      <w:b/>
      <w:snapToGrid/>
      <w:sz w:val="32"/>
      <w:szCs w:val="22"/>
      <w:lang w:eastAsia="en-GB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NormalBold">
    <w:name w:val="NormalBold"/>
    <w:basedOn w:val="Normal"/>
    <w:rsid w:val="006A5366"/>
    <w:rPr>
      <w:b/>
    </w:rPr>
  </w:style>
  <w:style w:type="paragraph" w:customStyle="1" w:styleId="CoverReference">
    <w:name w:val="CoverReference"/>
    <w:basedOn w:val="Normal"/>
    <w:rsid w:val="00791131"/>
    <w:pPr>
      <w:spacing w:before="1080"/>
      <w:jc w:val="right"/>
    </w:pPr>
    <w:rPr>
      <w:rFonts w:ascii="Arial" w:hAnsi="Arial" w:cs="Arial"/>
      <w:b/>
    </w:rPr>
  </w:style>
  <w:style w:type="paragraph" w:customStyle="1" w:styleId="CoverNormal24a">
    <w:name w:val="CoverNormal24a"/>
    <w:basedOn w:val="Normal"/>
    <w:rsid w:val="00D20BEB"/>
    <w:pPr>
      <w:spacing w:after="480"/>
      <w:ind w:left="1417"/>
    </w:pPr>
  </w:style>
  <w:style w:type="paragraph" w:styleId="TOC1">
    <w:name w:val="toc 1"/>
    <w:basedOn w:val="Normal"/>
    <w:next w:val="Normal"/>
    <w:autoRedefine/>
    <w:uiPriority w:val="39"/>
    <w:rsid w:val="00E57F92"/>
    <w:pPr>
      <w:spacing w:after="240"/>
    </w:pPr>
  </w:style>
  <w:style w:type="paragraph" w:customStyle="1" w:styleId="TOCPage">
    <w:name w:val="TOC Page"/>
    <w:basedOn w:val="Normal"/>
    <w:next w:val="TOC1"/>
    <w:rsid w:val="004302F8"/>
    <w:pPr>
      <w:keepNext/>
      <w:spacing w:after="24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F03FCA"/>
    <w:pPr>
      <w:spacing w:after="480"/>
      <w:ind w:left="1418"/>
    </w:pPr>
    <w:rPr>
      <w:rFonts w:ascii="Arial" w:hAnsi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customStyle="1" w:styleId="NormalHanging12a">
    <w:name w:val="NormalHanging12a"/>
    <w:basedOn w:val="Normal"/>
    <w:rsid w:val="00572801"/>
    <w:pPr>
      <w:widowControl/>
      <w:spacing w:after="240"/>
      <w:ind w:left="567" w:hanging="567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customStyle="1" w:styleId="PageHeading">
    <w:name w:val="PageHeading"/>
    <w:basedOn w:val="Normal"/>
    <w:rsid w:val="00F03FCA"/>
    <w:pPr>
      <w:keepNext/>
      <w:spacing w:after="480"/>
      <w:jc w:val="center"/>
    </w:pPr>
    <w:rPr>
      <w:rFonts w:ascii="Arial" w:hAnsi="Arial" w:cs="Arial"/>
      <w:b/>
    </w:r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OCSubHeading">
    <w:name w:val="TOC SubHeading"/>
    <w:basedOn w:val="Normal"/>
    <w:rsid w:val="00F03FCA"/>
    <w:pPr>
      <w:spacing w:before="480" w:after="240"/>
    </w:pPr>
    <w:rPr>
      <w:b/>
    </w:rPr>
  </w:style>
  <w:style w:type="paragraph" w:customStyle="1" w:styleId="TOCTabLeader">
    <w:name w:val="TOC TabLeader"/>
    <w:basedOn w:val="Normal"/>
    <w:rsid w:val="00E839D9"/>
    <w:pPr>
      <w:tabs>
        <w:tab w:val="left" w:leader="dot" w:pos="5954"/>
      </w:tabs>
      <w:spacing w:after="240"/>
    </w:pPr>
  </w:style>
  <w:style w:type="paragraph" w:customStyle="1" w:styleId="CoverNormalHanging">
    <w:name w:val="CoverNormalHanging"/>
    <w:basedOn w:val="Normal"/>
    <w:rsid w:val="00BF1100"/>
    <w:pPr>
      <w:ind w:left="3686" w:hanging="2268"/>
    </w:pPr>
  </w:style>
  <w:style w:type="paragraph" w:styleId="TOCHeading">
    <w:name w:val="TOC Heading"/>
    <w:basedOn w:val="Normal"/>
    <w:next w:val="TOCPage"/>
    <w:rsid w:val="007F2104"/>
    <w:pPr>
      <w:keepNext/>
      <w:spacing w:before="240" w:after="240"/>
      <w:jc w:val="center"/>
    </w:pPr>
    <w:rPr>
      <w:rFonts w:ascii="Arial" w:hAnsi="Arial"/>
      <w:b/>
      <w:snapToGrid/>
      <w:lang w:eastAsia="en-GB"/>
    </w:rPr>
  </w:style>
  <w:style w:type="table" w:styleId="TableGrid">
    <w:name w:val="Table Grid"/>
    <w:basedOn w:val="TableNormal"/>
    <w:rsid w:val="00F73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F03FCA"/>
    <w:pPr>
      <w:jc w:val="center"/>
    </w:pPr>
    <w:rPr>
      <w:rFonts w:ascii="Arial" w:hAnsi="Arial" w:cs="Arial"/>
      <w:i/>
      <w:snapToGrid/>
      <w:sz w:val="22"/>
      <w:szCs w:val="22"/>
      <w:lang w:eastAsia="en-GB"/>
    </w:rPr>
  </w:style>
  <w:style w:type="paragraph" w:customStyle="1" w:styleId="LineTop">
    <w:name w:val="LineTop"/>
    <w:basedOn w:val="Normal"/>
    <w:next w:val="Normal"/>
    <w:rsid w:val="00F732B6"/>
    <w:pPr>
      <w:pBdr>
        <w:top w:val="single" w:sz="4" w:space="1" w:color="auto"/>
      </w:pBdr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LineBottom">
    <w:name w:val="LineBottom"/>
    <w:basedOn w:val="Normal"/>
    <w:next w:val="Normal"/>
    <w:rsid w:val="00791131"/>
    <w:pPr>
      <w:pBdr>
        <w:bottom w:val="single" w:sz="4" w:space="1" w:color="auto"/>
      </w:pBdr>
      <w:spacing w:after="240"/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EPTerm">
    <w:name w:val="EPTerm"/>
    <w:basedOn w:val="Normal"/>
    <w:next w:val="Normal"/>
    <w:rsid w:val="00D16E15"/>
    <w:pPr>
      <w:spacing w:after="80"/>
    </w:pPr>
    <w:rPr>
      <w:rFonts w:ascii="Arial" w:hAnsi="Arial" w:cs="Arial"/>
      <w:snapToGrid/>
      <w:sz w:val="20"/>
      <w:szCs w:val="22"/>
      <w:lang w:eastAsia="en-GB"/>
    </w:rPr>
  </w:style>
  <w:style w:type="paragraph" w:customStyle="1" w:styleId="EPLogo">
    <w:name w:val="EPLogo"/>
    <w:basedOn w:val="Normal"/>
    <w:qFormat/>
    <w:rsid w:val="00D16E15"/>
    <w:pPr>
      <w:jc w:val="right"/>
    </w:pPr>
    <w:rPr>
      <w:snapToGrid/>
      <w:lang w:eastAsia="en-GB"/>
    </w:rPr>
  </w:style>
  <w:style w:type="paragraph" w:customStyle="1" w:styleId="CoverRefPart">
    <w:name w:val="CoverRefPart"/>
    <w:basedOn w:val="Normal"/>
    <w:rsid w:val="00577455"/>
    <w:pPr>
      <w:jc w:val="right"/>
    </w:pPr>
    <w:rPr>
      <w:rFonts w:ascii="Arial" w:hAnsi="Arial"/>
    </w:rPr>
  </w:style>
  <w:style w:type="paragraph" w:customStyle="1" w:styleId="Subheading">
    <w:name w:val="Subheading"/>
    <w:basedOn w:val="Normal"/>
    <w:rsid w:val="0065571D"/>
    <w:pPr>
      <w:spacing w:before="480" w:after="240"/>
    </w:pPr>
    <w:rPr>
      <w:b/>
      <w:bCs/>
      <w:i/>
      <w:iCs/>
    </w:rPr>
  </w:style>
  <w:style w:type="paragraph" w:customStyle="1" w:styleId="EPFooter">
    <w:name w:val="EPFooter"/>
    <w:basedOn w:val="Normal"/>
    <w:rsid w:val="007C663F"/>
    <w:pPr>
      <w:tabs>
        <w:tab w:val="center" w:pos="4535"/>
        <w:tab w:val="right" w:pos="9071"/>
      </w:tabs>
      <w:spacing w:before="240" w:after="240"/>
    </w:pPr>
    <w:rPr>
      <w:sz w:val="22"/>
    </w:rPr>
  </w:style>
  <w:style w:type="paragraph" w:styleId="Header">
    <w:name w:val="header"/>
    <w:basedOn w:val="Normal"/>
    <w:link w:val="HeaderChar"/>
    <w:semiHidden/>
    <w:rsid w:val="007C66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791131"/>
    <w:rPr>
      <w:snapToGrid w:val="0"/>
      <w:sz w:val="24"/>
      <w:lang w:eastAsia="en-US"/>
    </w:rPr>
  </w:style>
  <w:style w:type="character" w:styleId="PageNumber">
    <w:name w:val="page number"/>
    <w:basedOn w:val="DefaultParagraphFont"/>
    <w:semiHidden/>
    <w:rsid w:val="00131752"/>
  </w:style>
  <w:style w:type="paragraph" w:customStyle="1" w:styleId="AmColumnHeading">
    <w:name w:val="AmColumnHeading"/>
    <w:basedOn w:val="Normal"/>
    <w:rsid w:val="00B47478"/>
    <w:pPr>
      <w:spacing w:after="240"/>
      <w:jc w:val="center"/>
    </w:pPr>
    <w:rPr>
      <w:i/>
      <w:snapToGrid/>
      <w:lang w:eastAsia="en-GB"/>
    </w:rPr>
  </w:style>
  <w:style w:type="paragraph" w:customStyle="1" w:styleId="AmCrossRef">
    <w:name w:val="AmCrossRef"/>
    <w:basedOn w:val="Normal"/>
    <w:rsid w:val="00B47478"/>
    <w:pPr>
      <w:spacing w:before="240" w:after="240"/>
      <w:jc w:val="center"/>
    </w:pPr>
    <w:rPr>
      <w:i/>
      <w:snapToGrid/>
      <w:lang w:eastAsia="en-GB"/>
    </w:rPr>
  </w:style>
  <w:style w:type="paragraph" w:customStyle="1" w:styleId="AmJustText">
    <w:name w:val="AmJustText"/>
    <w:basedOn w:val="Normal"/>
    <w:rsid w:val="00B47478"/>
    <w:pPr>
      <w:spacing w:after="240"/>
    </w:pPr>
    <w:rPr>
      <w:i/>
      <w:snapToGrid/>
      <w:lang w:eastAsia="en-GB"/>
    </w:rPr>
  </w:style>
  <w:style w:type="paragraph" w:customStyle="1" w:styleId="AmJustTitle">
    <w:name w:val="AmJustTitle"/>
    <w:basedOn w:val="Normal"/>
    <w:next w:val="AmJustText"/>
    <w:rsid w:val="00B47478"/>
    <w:pPr>
      <w:keepNext/>
      <w:spacing w:before="240" w:after="240"/>
      <w:jc w:val="center"/>
    </w:pPr>
    <w:rPr>
      <w:i/>
      <w:snapToGrid/>
      <w:lang w:eastAsia="en-GB"/>
    </w:rPr>
  </w:style>
  <w:style w:type="paragraph" w:customStyle="1" w:styleId="AmNumberTabs">
    <w:name w:val="AmNumberTabs"/>
    <w:basedOn w:val="Normal"/>
    <w:rsid w:val="00B47478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napToGrid/>
      <w:lang w:eastAsia="en-GB"/>
    </w:rPr>
  </w:style>
  <w:style w:type="paragraph" w:customStyle="1" w:styleId="AmOrLang">
    <w:name w:val="AmOrLang"/>
    <w:basedOn w:val="Normal"/>
    <w:rsid w:val="00B47478"/>
    <w:pPr>
      <w:spacing w:before="240" w:after="240"/>
      <w:jc w:val="right"/>
    </w:pPr>
    <w:rPr>
      <w:snapToGrid/>
      <w:lang w:eastAsia="en-GB"/>
    </w:rPr>
  </w:style>
  <w:style w:type="paragraph" w:customStyle="1" w:styleId="AnnexWPDate">
    <w:name w:val="AnnexWPDate"/>
    <w:basedOn w:val="Normal"/>
    <w:rsid w:val="00B47478"/>
    <w:pPr>
      <w:spacing w:before="240" w:after="480"/>
      <w:jc w:val="right"/>
    </w:pPr>
    <w:rPr>
      <w:snapToGrid/>
      <w:lang w:eastAsia="en-GB"/>
    </w:rPr>
  </w:style>
  <w:style w:type="paragraph" w:customStyle="1" w:styleId="AnnexWPDocType">
    <w:name w:val="AnnexWPDocType"/>
    <w:basedOn w:val="Normal"/>
    <w:rsid w:val="00B47478"/>
    <w:pPr>
      <w:spacing w:after="240"/>
      <w:jc w:val="center"/>
    </w:pPr>
    <w:rPr>
      <w:b/>
      <w:snapToGrid/>
      <w:lang w:eastAsia="en-GB"/>
    </w:rPr>
  </w:style>
  <w:style w:type="paragraph" w:customStyle="1" w:styleId="AnnexWPLogo">
    <w:name w:val="AnnexWPLogo"/>
    <w:basedOn w:val="Normal"/>
    <w:rsid w:val="00B47478"/>
    <w:pPr>
      <w:spacing w:before="120" w:after="120"/>
    </w:pPr>
    <w:rPr>
      <w:snapToGrid/>
      <w:lang w:eastAsia="en-GB"/>
    </w:rPr>
  </w:style>
  <w:style w:type="paragraph" w:customStyle="1" w:styleId="AnnexWPSmall">
    <w:name w:val="AnnexWPSmall"/>
    <w:basedOn w:val="Normal"/>
    <w:rsid w:val="00B47478"/>
    <w:rPr>
      <w:smallCaps/>
      <w:snapToGrid/>
      <w:sz w:val="20"/>
      <w:lang w:eastAsia="en-GB"/>
    </w:rPr>
  </w:style>
  <w:style w:type="paragraph" w:customStyle="1" w:styleId="AnnexWPTabs">
    <w:name w:val="AnnexWPTabs"/>
    <w:basedOn w:val="Normal"/>
    <w:rsid w:val="00B47478"/>
    <w:pPr>
      <w:tabs>
        <w:tab w:val="right" w:pos="3686"/>
        <w:tab w:val="left" w:pos="3827"/>
      </w:tabs>
    </w:pPr>
    <w:rPr>
      <w:b/>
      <w:snapToGrid/>
      <w:lang w:eastAsia="en-GB"/>
    </w:rPr>
  </w:style>
  <w:style w:type="paragraph" w:customStyle="1" w:styleId="AnnexWPTitle">
    <w:name w:val="AnnexWPTitle"/>
    <w:basedOn w:val="Normal"/>
    <w:rsid w:val="00B47478"/>
    <w:pPr>
      <w:spacing w:before="480"/>
    </w:pPr>
    <w:rPr>
      <w:b/>
      <w:snapToGrid/>
      <w:lang w:eastAsia="en-GB"/>
    </w:rPr>
  </w:style>
  <w:style w:type="paragraph" w:customStyle="1" w:styleId="AmHeadingConsam">
    <w:name w:val="AmHeadingConsam"/>
    <w:basedOn w:val="Normal"/>
    <w:next w:val="Normal"/>
    <w:rsid w:val="00B47478"/>
    <w:pPr>
      <w:spacing w:before="720" w:after="240"/>
      <w:jc w:val="center"/>
    </w:pPr>
    <w:rPr>
      <w:snapToGrid/>
      <w:lang w:eastAsia="en-GB"/>
    </w:rPr>
  </w:style>
  <w:style w:type="paragraph" w:customStyle="1" w:styleId="CoverNormal12a">
    <w:name w:val="CoverNormal12a"/>
    <w:basedOn w:val="Normal"/>
    <w:rsid w:val="00B47478"/>
    <w:pPr>
      <w:spacing w:after="240"/>
      <w:ind w:left="1418"/>
    </w:pPr>
    <w:rPr>
      <w:snapToGrid/>
      <w:lang w:eastAsia="en-GB"/>
    </w:rPr>
  </w:style>
  <w:style w:type="paragraph" w:customStyle="1" w:styleId="Confidential">
    <w:name w:val="Confidential"/>
    <w:basedOn w:val="Normal"/>
    <w:rsid w:val="00B47478"/>
    <w:pPr>
      <w:spacing w:before="120" w:after="120"/>
      <w:jc w:val="center"/>
    </w:pPr>
    <w:rPr>
      <w:rFonts w:ascii="Arial" w:hAnsi="Arial"/>
      <w:caps/>
      <w:snapToGrid/>
      <w:lang w:eastAsia="en-GB"/>
    </w:rPr>
  </w:style>
  <w:style w:type="paragraph" w:customStyle="1" w:styleId="CoverReferenceIMM">
    <w:name w:val="CoverReferenceIMM"/>
    <w:basedOn w:val="Normal"/>
    <w:rsid w:val="00B47478"/>
    <w:pPr>
      <w:spacing w:before="360"/>
      <w:jc w:val="right"/>
    </w:pPr>
    <w:rPr>
      <w:rFonts w:ascii="Arial" w:hAnsi="Arial"/>
      <w:b/>
      <w:snapToGrid/>
      <w:lang w:eastAsia="en-GB"/>
    </w:rPr>
  </w:style>
  <w:style w:type="paragraph" w:customStyle="1" w:styleId="CoverDate">
    <w:name w:val="CoverDate"/>
    <w:basedOn w:val="Normal"/>
    <w:rsid w:val="00B47478"/>
    <w:pPr>
      <w:spacing w:before="240" w:after="1200"/>
    </w:pPr>
    <w:rPr>
      <w:snapToGrid/>
      <w:lang w:eastAsia="en-GB"/>
    </w:rPr>
  </w:style>
  <w:style w:type="paragraph" w:customStyle="1" w:styleId="CoverDocType">
    <w:name w:val="CoverDocType"/>
    <w:basedOn w:val="Normal"/>
    <w:rsid w:val="00B47478"/>
    <w:pPr>
      <w:ind w:left="1418"/>
    </w:pPr>
    <w:rPr>
      <w:rFonts w:ascii="Arial" w:hAnsi="Arial"/>
      <w:b/>
      <w:snapToGrid/>
      <w:sz w:val="48"/>
      <w:lang w:eastAsia="en-GB"/>
    </w:rPr>
  </w:style>
  <w:style w:type="character" w:styleId="FootnoteReference">
    <w:name w:val="footnote reference"/>
    <w:rsid w:val="00B47478"/>
    <w:rPr>
      <w:vertAlign w:val="superscript"/>
    </w:rPr>
  </w:style>
  <w:style w:type="paragraph" w:customStyle="1" w:styleId="NormalBold12a">
    <w:name w:val="NormalBold12a"/>
    <w:basedOn w:val="Normal"/>
    <w:rsid w:val="00B47478"/>
    <w:pPr>
      <w:spacing w:after="240"/>
    </w:pPr>
    <w:rPr>
      <w:b/>
      <w:snapToGrid/>
      <w:lang w:eastAsia="en-GB"/>
    </w:rPr>
  </w:style>
  <w:style w:type="paragraph" w:customStyle="1" w:styleId="NormalCenter12a">
    <w:name w:val="NormalCenter12a"/>
    <w:basedOn w:val="Normal"/>
    <w:rsid w:val="00B47478"/>
    <w:pPr>
      <w:spacing w:after="240"/>
      <w:jc w:val="center"/>
    </w:pPr>
    <w:rPr>
      <w:snapToGrid/>
      <w:lang w:eastAsia="en-GB"/>
    </w:rPr>
  </w:style>
  <w:style w:type="paragraph" w:customStyle="1" w:styleId="Normal6a">
    <w:name w:val="Normal6a"/>
    <w:basedOn w:val="Normal"/>
    <w:rsid w:val="00B47478"/>
    <w:pPr>
      <w:spacing w:after="120"/>
    </w:pPr>
    <w:rPr>
      <w:snapToGrid/>
      <w:lang w:eastAsia="en-GB"/>
    </w:rPr>
  </w:style>
  <w:style w:type="paragraph" w:customStyle="1" w:styleId="NormalBold12b">
    <w:name w:val="NormalBold12b"/>
    <w:basedOn w:val="Normal"/>
    <w:rsid w:val="00B47478"/>
    <w:pPr>
      <w:spacing w:before="240"/>
    </w:pPr>
    <w:rPr>
      <w:b/>
      <w:snapToGrid/>
      <w:lang w:eastAsia="en-GB"/>
    </w:rPr>
  </w:style>
  <w:style w:type="paragraph" w:customStyle="1" w:styleId="Arial14CentreBold">
    <w:name w:val="Arial14CentreBold"/>
    <w:basedOn w:val="Normal"/>
    <w:qFormat/>
    <w:rsid w:val="00A75A20"/>
    <w:pPr>
      <w:jc w:val="center"/>
    </w:pPr>
    <w:rPr>
      <w:rFonts w:ascii="Arial" w:hAnsi="Arial" w:cs="Arial"/>
      <w:b/>
      <w:snapToGrid/>
      <w:sz w:val="28"/>
      <w:szCs w:val="28"/>
      <w:lang w:eastAsia="en-GB"/>
    </w:rPr>
  </w:style>
  <w:style w:type="character" w:customStyle="1" w:styleId="Bold">
    <w:name w:val="Bold"/>
    <w:uiPriority w:val="1"/>
    <w:rsid w:val="0065571D"/>
    <w:rPr>
      <w:b/>
    </w:rPr>
  </w:style>
  <w:style w:type="character" w:customStyle="1" w:styleId="BoldItalic">
    <w:name w:val="BoldItalic"/>
    <w:uiPriority w:val="1"/>
    <w:rsid w:val="0065571D"/>
    <w:rPr>
      <w:b/>
      <w:i/>
      <w:u w:val="none"/>
    </w:rPr>
  </w:style>
  <w:style w:type="character" w:customStyle="1" w:styleId="BoldItalicUnderline">
    <w:name w:val="BoldItalicUnderline"/>
    <w:uiPriority w:val="1"/>
    <w:rsid w:val="0065571D"/>
    <w:rPr>
      <w:b/>
      <w:i/>
      <w:u w:val="single"/>
    </w:rPr>
  </w:style>
  <w:style w:type="character" w:customStyle="1" w:styleId="BoldUnderline">
    <w:name w:val="BoldUnderline"/>
    <w:uiPriority w:val="1"/>
    <w:rsid w:val="0065571D"/>
    <w:rPr>
      <w:b/>
      <w:u w:val="single"/>
    </w:rPr>
  </w:style>
  <w:style w:type="paragraph" w:customStyle="1" w:styleId="CoverNormalLeft">
    <w:name w:val="CoverNormalLeft"/>
    <w:basedOn w:val="CoverNormal"/>
    <w:qFormat/>
    <w:rsid w:val="00A75A20"/>
    <w:pPr>
      <w:ind w:left="0"/>
    </w:pPr>
    <w:rPr>
      <w:snapToGrid/>
      <w:lang w:eastAsia="en-GB"/>
    </w:rPr>
  </w:style>
  <w:style w:type="paragraph" w:customStyle="1" w:styleId="EPFooter2Landscape">
    <w:name w:val="EPFooter2Landscape"/>
    <w:qFormat/>
    <w:rsid w:val="00A75A20"/>
    <w:pPr>
      <w:tabs>
        <w:tab w:val="center" w:pos="4536"/>
        <w:tab w:val="center" w:pos="9923"/>
        <w:tab w:val="right" w:pos="15026"/>
      </w:tabs>
    </w:pPr>
    <w:rPr>
      <w:rFonts w:ascii="Arial" w:hAnsi="Arial" w:cs="Arial"/>
      <w:b/>
      <w:sz w:val="48"/>
      <w:szCs w:val="22"/>
    </w:rPr>
  </w:style>
  <w:style w:type="character" w:customStyle="1" w:styleId="EPFooter2Motto">
    <w:name w:val="EPFooter2Motto"/>
    <w:uiPriority w:val="1"/>
    <w:qFormat/>
    <w:rsid w:val="002707F5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qFormat/>
    <w:rsid w:val="00A75A20"/>
    <w:pPr>
      <w:tabs>
        <w:tab w:val="center" w:pos="6804"/>
        <w:tab w:val="right" w:pos="15026"/>
      </w:tabs>
    </w:pPr>
    <w:rPr>
      <w:sz w:val="22"/>
    </w:rPr>
  </w:style>
  <w:style w:type="character" w:customStyle="1" w:styleId="Italic">
    <w:name w:val="Italic"/>
    <w:uiPriority w:val="1"/>
    <w:rsid w:val="0065571D"/>
    <w:rPr>
      <w:i/>
    </w:rPr>
  </w:style>
  <w:style w:type="character" w:customStyle="1" w:styleId="ItalicUnderline">
    <w:name w:val="ItalicUnderline"/>
    <w:uiPriority w:val="1"/>
    <w:rsid w:val="0065571D"/>
    <w:rPr>
      <w:i/>
      <w:u w:val="single"/>
    </w:rPr>
  </w:style>
  <w:style w:type="paragraph" w:customStyle="1" w:styleId="LegendSign">
    <w:name w:val="LegendSign"/>
    <w:basedOn w:val="Normal"/>
    <w:qFormat/>
    <w:rsid w:val="00A75A20"/>
    <w:pPr>
      <w:tabs>
        <w:tab w:val="right" w:pos="454"/>
        <w:tab w:val="left" w:pos="737"/>
      </w:tabs>
      <w:ind w:left="737" w:hanging="737"/>
    </w:pPr>
    <w:rPr>
      <w:snapToGrid/>
      <w:sz w:val="18"/>
      <w:lang w:eastAsia="en-GB"/>
    </w:rPr>
  </w:style>
  <w:style w:type="paragraph" w:customStyle="1" w:styleId="LegendStandard">
    <w:name w:val="LegendStandard"/>
    <w:basedOn w:val="LegendSign"/>
    <w:qFormat/>
    <w:rsid w:val="00A75A20"/>
    <w:pPr>
      <w:ind w:left="0" w:firstLine="0"/>
    </w:pPr>
  </w:style>
  <w:style w:type="paragraph" w:customStyle="1" w:styleId="LegendTitle">
    <w:name w:val="LegendTitle"/>
    <w:basedOn w:val="Normal"/>
    <w:qFormat/>
    <w:rsid w:val="00A75A20"/>
    <w:pPr>
      <w:spacing w:before="240" w:after="240"/>
    </w:pPr>
    <w:rPr>
      <w:b/>
      <w:i/>
      <w:snapToGrid/>
      <w:lang w:eastAsia="en-GB"/>
    </w:rPr>
  </w:style>
  <w:style w:type="character" w:customStyle="1" w:styleId="HideTermComment">
    <w:name w:val="HideTermComment"/>
    <w:uiPriority w:val="1"/>
    <w:qFormat/>
    <w:rsid w:val="00A75A20"/>
    <w:rPr>
      <w:rFonts w:ascii="Arial" w:hAnsi="Arial"/>
      <w:vanish/>
      <w:color w:val="0066CC"/>
      <w:sz w:val="18"/>
    </w:rPr>
  </w:style>
  <w:style w:type="character" w:customStyle="1" w:styleId="HideTerminTermComment">
    <w:name w:val="HideTerminTermComment"/>
    <w:basedOn w:val="HideTermComment"/>
    <w:uiPriority w:val="1"/>
    <w:qFormat/>
    <w:rsid w:val="00A75A20"/>
    <w:rPr>
      <w:rFonts w:ascii="Arial" w:hAnsi="Arial"/>
      <w:vanish/>
      <w:color w:val="538135" w:themeColor="accent6" w:themeShade="BF"/>
      <w:sz w:val="18"/>
    </w:rPr>
  </w:style>
  <w:style w:type="paragraph" w:customStyle="1" w:styleId="Normal12a">
    <w:name w:val="Normal12a"/>
    <w:basedOn w:val="Normal"/>
    <w:rsid w:val="00031EA2"/>
    <w:pPr>
      <w:spacing w:after="240"/>
    </w:pPr>
    <w:rPr>
      <w:snapToGrid/>
      <w:lang w:eastAsia="en-GB"/>
    </w:rPr>
  </w:style>
  <w:style w:type="paragraph" w:customStyle="1" w:styleId="Normal12b">
    <w:name w:val="Normal12b"/>
    <w:basedOn w:val="Normal"/>
    <w:qFormat/>
    <w:rsid w:val="00A75A20"/>
    <w:pPr>
      <w:spacing w:before="240"/>
    </w:pPr>
    <w:rPr>
      <w:snapToGrid/>
      <w:lang w:eastAsia="en-GB"/>
    </w:rPr>
  </w:style>
  <w:style w:type="paragraph" w:customStyle="1" w:styleId="NormalBoldUnderline24b">
    <w:name w:val="NormalBoldUnderline24b"/>
    <w:basedOn w:val="Normal"/>
    <w:qFormat/>
    <w:rsid w:val="001038F2"/>
    <w:pPr>
      <w:spacing w:before="480"/>
    </w:pPr>
    <w:rPr>
      <w:b/>
      <w:snapToGrid/>
      <w:u w:val="single"/>
      <w:lang w:eastAsia="en-GB"/>
    </w:rPr>
  </w:style>
  <w:style w:type="paragraph" w:customStyle="1" w:styleId="NormalBoldUnderline24b12a">
    <w:name w:val="NormalBoldUnderline24b12a"/>
    <w:basedOn w:val="NormalBoldUnderline24b"/>
    <w:qFormat/>
    <w:rsid w:val="00A75A20"/>
    <w:pPr>
      <w:spacing w:after="240"/>
    </w:pPr>
  </w:style>
  <w:style w:type="paragraph" w:customStyle="1" w:styleId="Normal12aBullet1">
    <w:name w:val="Normal12aBullet1"/>
    <w:basedOn w:val="Normal"/>
    <w:qFormat/>
    <w:rsid w:val="00A75A20"/>
    <w:pPr>
      <w:widowControl/>
      <w:numPr>
        <w:numId w:val="1"/>
      </w:numPr>
    </w:pPr>
    <w:rPr>
      <w:snapToGrid/>
      <w:lang w:eastAsia="en-GB"/>
    </w:rPr>
  </w:style>
  <w:style w:type="paragraph" w:customStyle="1" w:styleId="Normal12aBullet2">
    <w:name w:val="Normal12aBullet2"/>
    <w:basedOn w:val="Normal"/>
    <w:qFormat/>
    <w:rsid w:val="00A75A20"/>
    <w:pPr>
      <w:numPr>
        <w:numId w:val="2"/>
      </w:numPr>
    </w:pPr>
    <w:rPr>
      <w:snapToGrid/>
      <w:lang w:eastAsia="en-GB"/>
    </w:rPr>
  </w:style>
  <w:style w:type="paragraph" w:customStyle="1" w:styleId="NormalHanging12a1">
    <w:name w:val="NormalHanging12a1"/>
    <w:basedOn w:val="Normal"/>
    <w:qFormat/>
    <w:rsid w:val="00C668A5"/>
    <w:pPr>
      <w:spacing w:after="240"/>
      <w:ind w:left="992" w:hanging="425"/>
    </w:pPr>
    <w:rPr>
      <w:snapToGrid/>
      <w:lang w:eastAsia="en-GB"/>
    </w:rPr>
  </w:style>
  <w:style w:type="paragraph" w:customStyle="1" w:styleId="NormalHanging12a2">
    <w:name w:val="NormalHanging12a2"/>
    <w:basedOn w:val="NormalHanging12a1"/>
    <w:qFormat/>
    <w:rsid w:val="00A75A20"/>
    <w:pPr>
      <w:ind w:left="1417"/>
    </w:pPr>
  </w:style>
  <w:style w:type="paragraph" w:customStyle="1" w:styleId="NormalHanging12a3">
    <w:name w:val="NormalHanging12a3"/>
    <w:basedOn w:val="NormalHanging12a2"/>
    <w:qFormat/>
    <w:rsid w:val="00A75A20"/>
    <w:pPr>
      <w:ind w:left="1843"/>
    </w:pPr>
  </w:style>
  <w:style w:type="paragraph" w:customStyle="1" w:styleId="NormalHanging12a4">
    <w:name w:val="NormalHanging12a4"/>
    <w:basedOn w:val="NormalHanging12a3"/>
    <w:qFormat/>
    <w:rsid w:val="00A75A20"/>
    <w:pPr>
      <w:ind w:left="2268"/>
    </w:pPr>
  </w:style>
  <w:style w:type="paragraph" w:customStyle="1" w:styleId="NormalHanging12a5">
    <w:name w:val="NormalHanging12a5"/>
    <w:basedOn w:val="NormalHanging12a4"/>
    <w:qFormat/>
    <w:rsid w:val="00A75A20"/>
    <w:pPr>
      <w:ind w:left="2693"/>
    </w:pPr>
  </w:style>
  <w:style w:type="paragraph" w:customStyle="1" w:styleId="NormalHanging12a6">
    <w:name w:val="NormalHanging12a6"/>
    <w:basedOn w:val="NormalHanging12a5"/>
    <w:qFormat/>
    <w:rsid w:val="00A75A20"/>
    <w:pPr>
      <w:ind w:left="3118"/>
    </w:pPr>
  </w:style>
  <w:style w:type="paragraph" w:customStyle="1" w:styleId="NormalHanging12a7">
    <w:name w:val="NormalHanging12a7"/>
    <w:basedOn w:val="NormalHanging12a6"/>
    <w:qFormat/>
    <w:rsid w:val="00A75A20"/>
    <w:pPr>
      <w:ind w:left="3544"/>
    </w:pPr>
  </w:style>
  <w:style w:type="paragraph" w:customStyle="1" w:styleId="NormalHangingCenter">
    <w:name w:val="NormalHangingCenter"/>
    <w:basedOn w:val="Normal"/>
    <w:qFormat/>
    <w:rsid w:val="00BC0B6B"/>
    <w:pPr>
      <w:spacing w:after="240"/>
      <w:ind w:left="567" w:hanging="567"/>
      <w:jc w:val="center"/>
    </w:pPr>
    <w:rPr>
      <w:snapToGrid/>
      <w:lang w:eastAsia="en-GB"/>
    </w:rPr>
  </w:style>
  <w:style w:type="paragraph" w:customStyle="1" w:styleId="NormalHangingJustified">
    <w:name w:val="NormalHangingJustified"/>
    <w:basedOn w:val="Normal"/>
    <w:qFormat/>
    <w:rsid w:val="00BC0B6B"/>
    <w:pPr>
      <w:spacing w:after="240"/>
      <w:ind w:left="714" w:hanging="357"/>
      <w:jc w:val="both"/>
    </w:pPr>
    <w:rPr>
      <w:snapToGrid/>
      <w:lang w:eastAsia="en-GB"/>
    </w:rPr>
  </w:style>
  <w:style w:type="paragraph" w:customStyle="1" w:styleId="NormalUnderline24b12a">
    <w:name w:val="NormalUnderline24b12a"/>
    <w:basedOn w:val="EPComma"/>
    <w:qFormat/>
    <w:rsid w:val="00A75A20"/>
    <w:rPr>
      <w:snapToGrid/>
      <w:u w:val="single"/>
      <w:lang w:eastAsia="en-GB"/>
    </w:rPr>
  </w:style>
  <w:style w:type="paragraph" w:customStyle="1" w:styleId="Normal2">
    <w:name w:val="Normal2"/>
    <w:next w:val="Normal"/>
    <w:qFormat/>
    <w:rsid w:val="00A75A20"/>
    <w:pPr>
      <w:spacing w:line="120" w:lineRule="auto"/>
    </w:pPr>
    <w:rPr>
      <w:color w:val="000000"/>
      <w:sz w:val="4"/>
      <w:szCs w:val="24"/>
    </w:rPr>
  </w:style>
  <w:style w:type="character" w:customStyle="1" w:styleId="NormalBI">
    <w:name w:val="NormalBI"/>
    <w:basedOn w:val="DefaultParagraphFont"/>
    <w:uiPriority w:val="1"/>
    <w:qFormat/>
    <w:rsid w:val="00A75A20"/>
    <w:rPr>
      <w:rFonts w:ascii="Times New Roman" w:hAnsi="Times New Roman"/>
      <w:b/>
      <w:i/>
      <w:sz w:val="24"/>
    </w:rPr>
  </w:style>
  <w:style w:type="paragraph" w:customStyle="1" w:styleId="NormalBoldItalic6a">
    <w:name w:val="NormalBoldItalic6a"/>
    <w:basedOn w:val="Normal6a"/>
    <w:qFormat/>
    <w:rsid w:val="00A75A20"/>
    <w:rPr>
      <w:b/>
      <w:i/>
    </w:rPr>
  </w:style>
  <w:style w:type="paragraph" w:customStyle="1" w:styleId="NormalBoldItalicCenter6a">
    <w:name w:val="NormalBoldItalicCenter6a"/>
    <w:basedOn w:val="Normal6a"/>
    <w:qFormat/>
    <w:rsid w:val="00A75A20"/>
    <w:pPr>
      <w:jc w:val="center"/>
    </w:pPr>
    <w:rPr>
      <w:b/>
      <w:i/>
    </w:rPr>
  </w:style>
  <w:style w:type="paragraph" w:customStyle="1" w:styleId="NormalItalic6a">
    <w:name w:val="NormalItalic6a"/>
    <w:basedOn w:val="Normal6a"/>
    <w:qFormat/>
    <w:rsid w:val="00A75A20"/>
    <w:rPr>
      <w:i/>
    </w:rPr>
  </w:style>
  <w:style w:type="paragraph" w:customStyle="1" w:styleId="PageHeadingNotTOC">
    <w:name w:val="PageHeadingNotTOC"/>
    <w:basedOn w:val="PageHeading"/>
    <w:rsid w:val="00A75A20"/>
    <w:rPr>
      <w:rFonts w:cs="Times New Roman"/>
      <w:snapToGrid/>
      <w:lang w:eastAsia="en-GB"/>
    </w:rPr>
  </w:style>
  <w:style w:type="character" w:customStyle="1" w:styleId="Sub">
    <w:name w:val="Sub"/>
    <w:uiPriority w:val="1"/>
    <w:qFormat/>
    <w:rsid w:val="0065571D"/>
    <w:rPr>
      <w:vertAlign w:val="subscript"/>
    </w:rPr>
  </w:style>
  <w:style w:type="character" w:customStyle="1" w:styleId="SubBold">
    <w:name w:val="SubBold"/>
    <w:uiPriority w:val="1"/>
    <w:qFormat/>
    <w:rsid w:val="0065571D"/>
    <w:rPr>
      <w:b/>
      <w:vertAlign w:val="subscript"/>
    </w:rPr>
  </w:style>
  <w:style w:type="character" w:customStyle="1" w:styleId="SubBoldItalic">
    <w:name w:val="SubBoldItalic"/>
    <w:uiPriority w:val="1"/>
    <w:rsid w:val="0065571D"/>
    <w:rPr>
      <w:b/>
      <w:i/>
      <w:vertAlign w:val="subscript"/>
    </w:rPr>
  </w:style>
  <w:style w:type="character" w:customStyle="1" w:styleId="SubItalic">
    <w:name w:val="SubItalic"/>
    <w:uiPriority w:val="1"/>
    <w:qFormat/>
    <w:rsid w:val="0065571D"/>
    <w:rPr>
      <w:b/>
      <w:i/>
      <w:vertAlign w:val="subscript"/>
    </w:rPr>
  </w:style>
  <w:style w:type="character" w:customStyle="1" w:styleId="Sup">
    <w:name w:val="Sup"/>
    <w:uiPriority w:val="1"/>
    <w:rsid w:val="0065571D"/>
    <w:rPr>
      <w:vertAlign w:val="superscript"/>
    </w:rPr>
  </w:style>
  <w:style w:type="character" w:customStyle="1" w:styleId="SupBoldItalic">
    <w:name w:val="SupBoldItalic"/>
    <w:uiPriority w:val="1"/>
    <w:qFormat/>
    <w:rsid w:val="0065571D"/>
    <w:rPr>
      <w:b/>
      <w:i/>
      <w:vertAlign w:val="superscript"/>
    </w:rPr>
  </w:style>
  <w:style w:type="character" w:customStyle="1" w:styleId="Underline">
    <w:name w:val="Underline"/>
    <w:uiPriority w:val="1"/>
    <w:rsid w:val="0065571D"/>
    <w:rPr>
      <w:u w:val="single"/>
    </w:rPr>
  </w:style>
  <w:style w:type="paragraph" w:customStyle="1" w:styleId="NormalBoldCenter">
    <w:name w:val="NormalBoldCenter"/>
    <w:basedOn w:val="Normal"/>
    <w:rsid w:val="00880359"/>
    <w:pPr>
      <w:jc w:val="center"/>
    </w:pPr>
    <w:rPr>
      <w:b/>
      <w:snapToGrid/>
      <w:lang w:eastAsia="en-GB"/>
    </w:rPr>
  </w:style>
  <w:style w:type="paragraph" w:customStyle="1" w:styleId="ProcedureTable">
    <w:name w:val="ProcedureTable"/>
    <w:basedOn w:val="Normal"/>
    <w:rsid w:val="008572D4"/>
    <w:rPr>
      <w:snapToGrid/>
      <w:sz w:val="20"/>
      <w:lang w:eastAsia="en-GB"/>
    </w:rPr>
  </w:style>
  <w:style w:type="paragraph" w:customStyle="1" w:styleId="ProcedureTableBold">
    <w:name w:val="ProcedureTableBold"/>
    <w:basedOn w:val="Normal"/>
    <w:rsid w:val="008572D4"/>
    <w:rPr>
      <w:b/>
      <w:snapToGrid/>
      <w:sz w:val="20"/>
      <w:lang w:eastAsia="en-GB"/>
    </w:rPr>
  </w:style>
  <w:style w:type="paragraph" w:customStyle="1" w:styleId="NormalCenter">
    <w:name w:val="NormalCenter"/>
    <w:basedOn w:val="Normal"/>
    <w:rsid w:val="00314D1A"/>
    <w:pPr>
      <w:jc w:val="center"/>
    </w:pPr>
    <w:rPr>
      <w:snapToGrid/>
      <w:lang w:eastAsia="en-GB"/>
    </w:rPr>
  </w:style>
  <w:style w:type="character" w:customStyle="1" w:styleId="SubBoldItalicUnderline">
    <w:name w:val="SubBoldItalicUnderline"/>
    <w:uiPriority w:val="1"/>
    <w:rsid w:val="0065571D"/>
    <w:rPr>
      <w:b/>
      <w:i/>
      <w:u w:val="single"/>
      <w:vertAlign w:val="subscript"/>
    </w:rPr>
  </w:style>
  <w:style w:type="character" w:customStyle="1" w:styleId="SubBoldUnderline">
    <w:name w:val="SubBoldUnderline"/>
    <w:uiPriority w:val="1"/>
    <w:rsid w:val="0065571D"/>
    <w:rPr>
      <w:b/>
      <w:u w:val="single"/>
      <w:vertAlign w:val="subscript"/>
    </w:rPr>
  </w:style>
  <w:style w:type="character" w:customStyle="1" w:styleId="SubItalicUnderline">
    <w:name w:val="SubItalicUnderline"/>
    <w:uiPriority w:val="1"/>
    <w:rsid w:val="0065571D"/>
    <w:rPr>
      <w:i/>
      <w:u w:val="single"/>
      <w:vertAlign w:val="subscript"/>
    </w:rPr>
  </w:style>
  <w:style w:type="character" w:customStyle="1" w:styleId="SubUnderline">
    <w:name w:val="SubUnderline"/>
    <w:uiPriority w:val="1"/>
    <w:rsid w:val="0065571D"/>
    <w:rPr>
      <w:u w:val="single"/>
      <w:vertAlign w:val="subscript"/>
    </w:rPr>
  </w:style>
  <w:style w:type="character" w:customStyle="1" w:styleId="SupBold">
    <w:name w:val="SupBold"/>
    <w:uiPriority w:val="1"/>
    <w:rsid w:val="0065571D"/>
    <w:rPr>
      <w:b/>
      <w:vertAlign w:val="superscript"/>
    </w:rPr>
  </w:style>
  <w:style w:type="character" w:customStyle="1" w:styleId="SupBoldItalicUnderline">
    <w:name w:val="SupBoldItalicUnderline"/>
    <w:uiPriority w:val="1"/>
    <w:rsid w:val="0065571D"/>
    <w:rPr>
      <w:b/>
      <w:i/>
      <w:u w:val="single"/>
      <w:vertAlign w:val="superscript"/>
    </w:rPr>
  </w:style>
  <w:style w:type="character" w:customStyle="1" w:styleId="SupBoldUnderline">
    <w:name w:val="SupBoldUnderline"/>
    <w:uiPriority w:val="1"/>
    <w:rsid w:val="0065571D"/>
    <w:rPr>
      <w:b/>
      <w:u w:val="single"/>
      <w:vertAlign w:val="superscript"/>
    </w:rPr>
  </w:style>
  <w:style w:type="character" w:customStyle="1" w:styleId="SupItalic">
    <w:name w:val="SupItalic"/>
    <w:uiPriority w:val="1"/>
    <w:rsid w:val="0065571D"/>
    <w:rPr>
      <w:i/>
      <w:vertAlign w:val="superscript"/>
    </w:rPr>
  </w:style>
  <w:style w:type="character" w:customStyle="1" w:styleId="SupItalicUnderline">
    <w:name w:val="SupItalicUnderline"/>
    <w:uiPriority w:val="1"/>
    <w:rsid w:val="0065571D"/>
    <w:rPr>
      <w:i/>
      <w:u w:val="single"/>
      <w:vertAlign w:val="superscript"/>
    </w:rPr>
  </w:style>
  <w:style w:type="character" w:customStyle="1" w:styleId="SupUnderline">
    <w:name w:val="SupUnderline"/>
    <w:uiPriority w:val="1"/>
    <w:rsid w:val="0065571D"/>
    <w:rPr>
      <w:u w:val="single"/>
      <w:vertAlign w:val="superscript"/>
    </w:rPr>
  </w:style>
  <w:style w:type="paragraph" w:customStyle="1" w:styleId="Normal24a">
    <w:name w:val="Normal24a"/>
    <w:basedOn w:val="Normal"/>
    <w:rsid w:val="00B140D0"/>
    <w:pPr>
      <w:spacing w:after="480"/>
    </w:pPr>
    <w:rPr>
      <w:snapToGrid/>
      <w:lang w:eastAsia="en-GB"/>
    </w:rPr>
  </w:style>
  <w:style w:type="paragraph" w:customStyle="1" w:styleId="Normal12a24b">
    <w:name w:val="Normal12a24b"/>
    <w:basedOn w:val="Normal"/>
    <w:rsid w:val="00D46F6C"/>
    <w:pPr>
      <w:spacing w:before="360" w:after="240"/>
    </w:pPr>
  </w:style>
  <w:style w:type="paragraph" w:customStyle="1" w:styleId="NormalTab">
    <w:name w:val="NormalTab"/>
    <w:basedOn w:val="Normal"/>
    <w:rsid w:val="00CC6F1E"/>
    <w:pPr>
      <w:tabs>
        <w:tab w:val="center" w:pos="284"/>
        <w:tab w:val="left" w:pos="425"/>
      </w:tabs>
    </w:pPr>
    <w:rPr>
      <w:snapToGrid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23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1316296</vt:lpwstr>
  </property>
  <property fmtid="{D5CDD505-2E9C-101B-9397-08002B2CF9AE}" pid="4" name="&lt;Model&gt;">
    <vt:lpwstr>PR_COD_1amCom</vt:lpwstr>
  </property>
  <property fmtid="{D5CDD505-2E9C-101B-9397-08002B2CF9AE}" pid="5" name="&lt;Type&gt;">
    <vt:lpwstr>PR</vt:lpwstr>
  </property>
  <property fmtid="{D5CDD505-2E9C-101B-9397-08002B2CF9AE}" pid="6" name="DMXMLUID">
    <vt:lpwstr>20250318-102206-000180-295328</vt:lpwstr>
  </property>
  <property fmtid="{D5CDD505-2E9C-101B-9397-08002B2CF9AE}" pid="7" name="FooterPath">
    <vt:lpwstr>PR\1316296MT.doc</vt:lpwstr>
  </property>
  <property fmtid="{D5CDD505-2E9C-101B-9397-08002B2CF9AE}" pid="8" name="PE Number">
    <vt:lpwstr>770.093</vt:lpwstr>
  </property>
  <property fmtid="{D5CDD505-2E9C-101B-9397-08002B2CF9AE}" pid="9" name="UID">
    <vt:lpwstr>eu.europa.europarl-DIN1-2025-0000040829_01.05-mt-01.00_text-xml</vt:lpwstr>
  </property>
</Properties>
</file>