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Parlamentul European</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Comisia pentru libertăți civile, justiție și afaceri interne</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04.03.2025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PROIECT DE RAPORT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referitor la propunerea de regulament al Parlamentului European și al Consiliului privind o derogare temporară de la anumite dispoziții ale Regulamentului (UE) 2017/2226 și ale Regulamentului (UE) 2016/399 în ceea ce privește punerea în funcțiune treptată a Sistemului de intrare/ieșire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Comisia pentru libertăți civile, justiție și afaceri interne</w:t>
      </w:r>
      <w:r>
        <w:rPr>
          <w:rStyle w:val="HideTWBExt"/>
        </w:rPr>
        <w:t>&lt;/</w:t>
      </w:r>
      <w:r>
        <w:rPr>
          <w:rStyle w:val="HideTWBExt"/>
        </w:rPr>
        <w:t>Commission</w:t>
      </w:r>
      <w:r>
        <w:rPr>
          <w:rStyle w:val="HideTWBExt"/>
        </w:rPr>
        <w:t>&gt;</w:t>
      </w:r>
    </w:p>
    <w:p>
      <w:pPr>
        <w:pStyle w:val="CoverNormal24a"/>
      </w:pPr>
      <w:r>
        <w:t>Raportoare</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Legenda simbolurilor utilizate</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Procedura de consultare</w:t>
            </w:r>
          </w:p>
          <w:p>
            <w:pPr>
              <w:pStyle w:val="LegendSign"/>
            </w:pPr>
            <w:r>
              <w:tab/>
            </w:r>
            <w:r>
              <w:t>***</w:t>
            </w:r>
            <w:r>
              <w:tab/>
            </w:r>
            <w:r>
              <w:t>Procedura de aprobare</w:t>
            </w:r>
          </w:p>
          <w:p>
            <w:pPr>
              <w:pStyle w:val="LegendSign"/>
            </w:pPr>
            <w:r>
              <w:tab/>
            </w:r>
            <w:r>
              <w:t>***I</w:t>
            </w:r>
            <w:r>
              <w:tab/>
            </w:r>
            <w:r>
              <w:t>Procedura legislativă ordinară (prima lectură)</w:t>
            </w:r>
          </w:p>
          <w:p>
            <w:pPr>
              <w:pStyle w:val="LegendSign"/>
            </w:pPr>
            <w:r>
              <w:tab/>
            </w:r>
            <w:r>
              <w:t>***II</w:t>
            </w:r>
            <w:r>
              <w:tab/>
            </w:r>
            <w:r>
              <w:t>Procedura legislativă ordinară (a doua lectură)</w:t>
            </w:r>
          </w:p>
          <w:p>
            <w:pPr>
              <w:pStyle w:val="LegendSign"/>
            </w:pPr>
            <w:r>
              <w:tab/>
            </w:r>
            <w:r>
              <w:t>***III</w:t>
            </w:r>
            <w:r>
              <w:tab/>
            </w:r>
            <w:r>
              <w:t>Procedura legislativă ordinară (a treia lectură)</w:t>
            </w:r>
          </w:p>
          <w:p>
            <w:pPr>
              <w:pStyle w:val="LegendSign"/>
            </w:pPr>
          </w:p>
          <w:p>
            <w:pPr>
              <w:pStyle w:val="LegendStandard"/>
            </w:pPr>
            <w:r>
              <w:t>(Procedura indicată se bazează pe temeiul juridic propus în proiectul de act.)</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Amendamente la un proiect de act</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Amendamentele Parlamentului prezentate pe două coloane</w:t>
            </w:r>
          </w:p>
          <w:p>
            <w:pPr>
              <w:pStyle w:val="LegendStandard"/>
            </w:pPr>
          </w:p>
          <w:p>
            <w:pPr>
              <w:pStyle w:val="LegendStandard"/>
            </w:pPr>
            <w:r>
              <w:t xml:space="preserve">Textul eliminat este evidențiat prin caractere </w:t>
            </w:r>
            <w:r>
              <w:rPr>
                <w:rStyle w:val="BoldItalic"/>
              </w:rPr>
              <w:t>cursive aldine</w:t>
            </w:r>
            <w:r>
              <w:t xml:space="preserve"> în coloana din stânga. Textul înlocuit este evidențiat prin caractere </w:t>
            </w:r>
            <w:r>
              <w:rPr>
                <w:rStyle w:val="BoldItalic"/>
              </w:rPr>
              <w:t>cursive aldine</w:t>
            </w:r>
            <w:r>
              <w:t xml:space="preserve"> în ambele coloane. Textul nou este evidențiat prin caractere </w:t>
            </w:r>
            <w:r>
              <w:rPr>
                <w:rStyle w:val="BoldItalic"/>
              </w:rPr>
              <w:t>cursive aldine</w:t>
            </w:r>
            <w:r>
              <w:t xml:space="preserve"> în coloana din dreapta.</w:t>
            </w:r>
          </w:p>
          <w:p>
            <w:pPr>
              <w:pStyle w:val="LegendStandard"/>
            </w:pPr>
          </w:p>
          <w:p>
            <w:pPr>
              <w:pStyle w:val="LegendStandard"/>
            </w:pPr>
            <w:r>
              <w:t>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w:t>
            </w:r>
          </w:p>
          <w:p>
            <w:pPr>
              <w:pStyle w:val="LegendStandard"/>
            </w:pPr>
          </w:p>
          <w:p>
            <w:pPr>
              <w:pStyle w:val="LegendStandard"/>
            </w:pPr>
            <w:r>
              <w:rPr>
                <w:rStyle w:val="Bold"/>
              </w:rPr>
              <w:t>Amendamentele Parlamentului prezentate sub formă de text consolidat</w:t>
            </w:r>
          </w:p>
          <w:p>
            <w:pPr>
              <w:pStyle w:val="LegendStandard"/>
            </w:pPr>
          </w:p>
          <w:p>
            <w:pPr>
              <w:pStyle w:val="LegendStandard"/>
            </w:pPr>
            <w:r>
              <w:t xml:space="preserve">Părțile de text noi sunt evidențiate prin caractere </w:t>
            </w:r>
            <w:r>
              <w:rPr>
                <w:rStyle w:val="BoldItalic"/>
              </w:rPr>
              <w:t>cursive aldine</w:t>
            </w:r>
            <w:r>
              <w:t xml:space="preserve">. Părțile de text eliminate sunt indicate prin simbolul ▌ sau sunt tăiate. Înlocuirile sunt semnalate prin evidențierea cu caractere </w:t>
            </w:r>
            <w:r>
              <w:rPr>
                <w:rStyle w:val="BoldItalic"/>
              </w:rPr>
              <w:t>cursive aldine</w:t>
            </w:r>
            <w:r>
              <w:t xml:space="preserve"> a textului nou și prin eliminarea sau tăierea textului înlocuit.</w:t>
            </w:r>
            <w:r>
              <w:br/>
            </w:r>
            <w:r>
              <w:t>Fac excepție de la regulă și nu se evidențiază modificările de natură strict tehnică efectuate de serviciile competente în vederea elaborării textului final.</w:t>
            </w:r>
          </w:p>
          <w:p>
            <w:pPr>
              <w:pStyle w:val="LegendStandard"/>
            </w:pPr>
          </w:p>
        </w:tc>
      </w:tr>
    </w:tbl>
    <w:p/>
    <w:p/>
    <w:p>
      <w:pPr>
        <w:pStyle w:val="TOCHeading"/>
      </w:pPr>
      <w:r>
        <w:br w:type="page"/>
      </w:r>
      <w:r>
        <w:t>CUPRINS</w:t>
      </w:r>
    </w:p>
    <w:p>
      <w:pPr>
        <w:pStyle w:val="TOCPage"/>
      </w:pPr>
      <w:r>
        <w:t>Pagina</w:t>
      </w:r>
    </w:p>
    <w:p>
      <w:pPr>
        <w:pStyle w:val="TOC1"/>
        <w:tabs>
          <w:tab w:val="right" w:leader="dot" w:pos="9062"/>
        </w:tabs>
        <w:rPr>
          <w:rFonts w:ascii="Calibri" w:hAnsi="Calibri"/>
          <w:noProof/>
          <w:sz w:val="22"/>
        </w:rPr>
      </w:pPr>
      <w:r>
        <w:fldChar w:fldCharType="begin"/>
      </w:r>
      <w:r>
        <w:instrText>TOC \t "PageHeading"</w:instrText>
      </w:r>
      <w:r>
        <w:fldChar w:fldCharType="separate"/>
      </w:r>
      <w:r>
        <w:t>PROIECT DE REZOLUȚIE LEGISLATIVĂ A PARLAMENTULUI EUROPEAN</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EXPUNERE DE MOTIVE</w:t>
      </w:r>
      <w:r>
        <w:tab/>
      </w:r>
      <w:r>
        <w:fldChar w:fldCharType="begin"/>
      </w:r>
      <w:r>
        <w:instrText xml:space="preserve"> PAGEREF _Toc256000003 \h </w:instrText>
      </w:r>
      <w:r>
        <w:fldChar w:fldCharType="separate"/>
      </w:r>
      <w:r>
        <w:t>22</w:t>
      </w:r>
      <w:r>
        <w:fldChar w:fldCharType="end"/>
      </w:r>
    </w:p>
    <w:p>
      <w:pPr>
        <w:pStyle w:val="Normal12b"/>
      </w:pPr>
      <w:r>
        <w:fldChar w:fldCharType="end"/>
      </w:r>
    </w:p>
    <w:p>
      <w:pPr>
        <w:pStyle w:val="CoverNormalLeft"/>
      </w:pPr>
    </w:p>
    <w:p>
      <w:pPr>
        <w:pStyle w:val="PageHeading"/>
      </w:pPr>
      <w:r>
        <w:br w:type="page"/>
      </w:r>
      <w:r>
        <w:br w:type="page"/>
      </w:r>
      <w:bookmarkStart w:id="0" w:name="_Toc256000002"/>
      <w:r>
        <w:t>PROIECT DE REZOLUȚIE LEGISLATIVĂ A PARLAMENTULUI EUROPEAN</w:t>
      </w:r>
      <w:bookmarkEnd w:id="0"/>
    </w:p>
    <w:p>
      <w:pPr>
        <w:pStyle w:val="NormalBold"/>
      </w:pPr>
      <w:r>
        <w:t>referitoare la propunerea de regulament al Parlamentului European și al Consiliului privind o derogare temporară de la anumite dispoziții ale Regulamentului (UE) 2017/2226 și ale Regulamentului (UE) 2016/399 în ceea ce privește punerea în funcțiune treptată a Sistemului de intrare/ieșire</w:t>
      </w:r>
    </w:p>
    <w:p>
      <w:pPr>
        <w:pStyle w:val="NormalBold12a"/>
      </w:pPr>
      <w:r>
        <w:t>(COM(2024)0567 – C10-0207/2024 – 2024/0315(COD))</w:t>
      </w:r>
    </w:p>
    <w:p>
      <w:pPr>
        <w:pStyle w:val="NormalBold12a"/>
      </w:pPr>
      <w:r>
        <w:t>(Procedura legislativă ordinară: prima lectură)</w:t>
      </w:r>
    </w:p>
    <w:p>
      <w:pPr>
        <w:pStyle w:val="EPComma"/>
      </w:pPr>
      <w:r>
        <w:rPr>
          <w:rStyle w:val="Italic"/>
        </w:rPr>
        <w:t>Parlamentul European</w:t>
      </w:r>
      <w:r>
        <w:t>,</w:t>
      </w:r>
    </w:p>
    <w:p>
      <w:pPr>
        <w:pStyle w:val="NormalHanging12a"/>
      </w:pPr>
      <w:r>
        <w:t>–</w:t>
      </w:r>
      <w:r>
        <w:tab/>
      </w:r>
      <w:r>
        <w:t>având în vedere propunerea Comisiei prezentată Parlamentului European și Consiliului (COM(2024)0567),</w:t>
      </w:r>
    </w:p>
    <w:p>
      <w:pPr>
        <w:pStyle w:val="NormalHanging12a"/>
      </w:pPr>
      <w:r>
        <w:t>–</w:t>
      </w:r>
      <w:r>
        <w:tab/>
      </w:r>
      <w:r>
        <w:t>având în vedere articolul 294 alineatul (2) și articolul 77 alineatul (2) literele (b) și (d) și articolul 87 alineatul (2) litera (c) din Tratatul privind funcționarea Uniunii Europene, în temeiul cărora propunerea a fost prezentată de către Comisie (C10-0207/2024),</w:t>
      </w:r>
    </w:p>
    <w:p>
      <w:pPr>
        <w:pStyle w:val="NormalHanging12a"/>
      </w:pPr>
      <w:r>
        <w:t>–</w:t>
      </w:r>
      <w:r>
        <w:tab/>
      </w:r>
      <w:r>
        <w:t>având în vedere articolul 294 alineatul (3) din Tratatul privind funcționarea Uniunii Europene,</w:t>
      </w:r>
    </w:p>
    <w:p>
      <w:pPr>
        <w:pStyle w:val="NormalHanging12a"/>
      </w:pPr>
      <w:r>
        <w:t>–</w:t>
      </w:r>
      <w:r>
        <w:tab/>
      </w:r>
      <w:r>
        <w:t>având în vedere articolul 60 din Regulamentul său de procedură,</w:t>
      </w:r>
    </w:p>
    <w:p>
      <w:pPr>
        <w:pStyle w:val="NormalHanging12a"/>
      </w:pPr>
      <w:r>
        <w:t>–</w:t>
      </w:r>
      <w:r>
        <w:tab/>
      </w:r>
      <w:r>
        <w:t>având în vedere raportul Comisiei pentru libertăți civile, justiție și afaceri interne (A10-0000/2025),</w:t>
      </w:r>
    </w:p>
    <w:p>
      <w:pPr>
        <w:pStyle w:val="NormalHanging12a"/>
      </w:pPr>
      <w:r>
        <w:t>1.</w:t>
      </w:r>
      <w:r>
        <w:tab/>
      </w:r>
      <w:r>
        <w:t>adoptă poziția sa în primă lectură prezentată în continuare;</w:t>
      </w:r>
    </w:p>
    <w:p>
      <w:pPr>
        <w:pStyle w:val="NormalHanging12a"/>
      </w:pPr>
      <w:r>
        <w:t>2.</w:t>
      </w:r>
      <w:r>
        <w:tab/>
      </w:r>
      <w:r>
        <w:t>solicită Comisiei să îl sesizeze din nou în cazul în care își înlocuiește, își modifică în mod substanțial sau intenționează să-și modifice în mod substanțial propunerea;</w:t>
      </w:r>
    </w:p>
    <w:p>
      <w:pPr>
        <w:pStyle w:val="NormalHanging12a"/>
      </w:pPr>
      <w:r>
        <w:t>3.</w:t>
      </w:r>
      <w:r>
        <w:tab/>
      </w:r>
      <w:r>
        <w:t>încredințează Președintei sarcina de a transmite Consiliului și Comisiei, precum și parlamentelor naționale poziția Parlamentului.</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Regulamentul (UE) 2017/2226 permite doar o punere în funcțiune completă, impunând tuturor statelor membre să înceapă să utilizeze EES integral pentru toți resortisanții țărilor terțe care fac obiectul înregistrării în EES și să utilizeze acest sistem simultan la toate punctele lor de trecere a frontierei.</w:t>
            </w:r>
          </w:p>
        </w:tc>
        <w:tc>
          <w:tcPr>
            <w:tcW w:w="4876" w:type="dxa"/>
            <w:vAlign w:val="top"/>
          </w:tcPr>
          <w:p>
            <w:pPr>
              <w:pStyle w:val="Normal6a"/>
            </w:pPr>
            <w:r>
              <w:t>(3)</w:t>
            </w:r>
            <w:r>
              <w:tab/>
            </w:r>
            <w:r>
              <w:t xml:space="preserve">Regulamentul (UE) 2017/2226 permite doar o punere în funcțiune completă, impunând tuturor statelor membre să înceapă să utilizeze EES integral pentru toți resortisanții țărilor terțe care fac obiectul înregistrării în EES și să utilizeze acest sistem simultan la toate punctele lor de trecere a frontierei. </w:t>
            </w:r>
            <w:r>
              <w:rPr>
                <w:b/>
                <w:i/>
                <w:strike w:val="0"/>
                <w:color w:val="auto"/>
                <w:highlight w:val="none"/>
                <w:u w:val="none" w:color="auto"/>
                <w:vertAlign w:val="baseline"/>
              </w:rPr>
              <w:t>Cu toate acestea, începerea completă a funcționării tuturor funcționalităților EES la toate punctele de trecere a frontierei constituie simultan un factor de risc pentru reziliența EES în ansamblu și pentru fluxurile de pasageri la frontierele externe.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Pentru a oferi statelor membre </w:t>
            </w:r>
            <w:r>
              <w:t>flexibilitatea</w:t>
            </w:r>
            <w:r>
              <w:t xml:space="preserve"> necesară astfel încât acestea să poată începe să utilizeze EES </w:t>
            </w:r>
            <w:r>
              <w:rPr>
                <w:b/>
                <w:i/>
                <w:strike w:val="0"/>
                <w:color w:val="auto"/>
                <w:highlight w:val="none"/>
                <w:u w:val="none" w:color="auto"/>
                <w:vertAlign w:val="baseline"/>
              </w:rPr>
              <w:t>în funcție de nivelul lor de pregătire</w:t>
            </w:r>
            <w:r>
              <w:t xml:space="preserv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să dureze 180 de zile calendaristice.</w:t>
            </w:r>
          </w:p>
        </w:tc>
        <w:tc>
          <w:tcPr>
            <w:tcW w:w="4876" w:type="dxa"/>
            <w:vAlign w:val="top"/>
          </w:tcPr>
          <w:p>
            <w:pPr>
              <w:pStyle w:val="Normal6a"/>
            </w:pPr>
            <w:r>
              <w:t>(4)</w:t>
            </w:r>
            <w:r>
              <w:tab/>
            </w:r>
            <w:r>
              <w:t xml:space="preserve">Pentru a oferi statelor membre flexibilitatea necesară astfel încât acestea să poată începe să utilizeze EES și pentru a facilita ajustările tehnice și operaționale pe parcursul punerii în funcțiune a EES, este necesar să se stabilească norme privind punerea în funcțiune </w:t>
            </w:r>
            <w:r>
              <w:rPr>
                <w:b/>
                <w:i/>
                <w:strike w:val="0"/>
                <w:color w:val="auto"/>
                <w:highlight w:val="none"/>
                <w:u w:val="none" w:color="auto"/>
                <w:vertAlign w:val="baseline"/>
              </w:rPr>
              <w:t>treptată a EES</w:t>
            </w:r>
            <w:r>
              <w:rPr>
                <w:b/>
                <w:i/>
                <w:strike w:val="0"/>
                <w:color w:val="auto"/>
                <w:highlight w:val="none"/>
                <w:u w:val="none" w:color="auto"/>
                <w:vertAlign w:val="baseline"/>
              </w:rPr>
              <w:t>, în cursul căreia statele membre ar trebui să poată opta pentru o lansare</w:t>
            </w:r>
            <w:r>
              <w:t xml:space="preserve"> treptată a EES</w:t>
            </w:r>
            <w:r>
              <w:t>. Pentru a se asigura că aceste ajustări țin seama de potențialele fluxuri de călătorie și de vârfurile sezoniere, o astfel de demarare treptată ar trebui să dureze 180 de zile calendaristice.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rPr>
                <w:b/>
                <w:i/>
                <w:strike w:val="0"/>
                <w:color w:val="auto"/>
                <w:highlight w:val="none"/>
                <w:u w:val="none" w:color="auto"/>
                <w:vertAlign w:val="baseline"/>
              </w:rPr>
              <w:t>Prin urmare,</w:t>
            </w:r>
            <w:r>
              <w:t xml:space="preserve"> pentru a permite punerea în funcțiune treptată a EES, este necesar să se prevadă unele derogări de la anumite dispoziții ale Regulamentului (UE) 2017/2226 și ale Regulamentului (UE) 2016/399 al Parlamentului European și al Consiliului</w:t>
            </w:r>
            <w:r>
              <w:rPr>
                <w:rStyle w:val="Sup"/>
              </w:rPr>
              <w:t>3</w:t>
            </w:r>
            <w:r>
              <w:t xml:space="preserve"> („Codul frontierelor Schengen”). Se aplică alte norme prevăzute în Regulamentul (UE) 2017/2226 care nu sunt afectate de prezentul regulament, astfel cum se prevede în Regulamentul (UE) 2017/2226. În special, datele înregistrate în EES pe parcursul întregii perioade de punere în funcțiune treptată respectă normele prevăzute în Regulamentul (UE) 2017/2226 și sunt considerate fiabile și exacte.</w:t>
            </w:r>
          </w:p>
        </w:tc>
        <w:tc>
          <w:tcPr>
            <w:tcW w:w="4876" w:type="dxa"/>
            <w:vAlign w:val="top"/>
          </w:tcPr>
          <w:p>
            <w:pPr>
              <w:pStyle w:val="Normal6a"/>
            </w:pPr>
            <w:r>
              <w:t>(5)</w:t>
            </w:r>
            <w:r>
              <w:tab/>
            </w:r>
            <w:r>
              <w:t>Pentru a permite punerea în funcțiune treptată a EES, este necesar să se prevadă unele derogări de la anumite dispoziții ale Regulamentului (UE) 2017/2226 și ale Regulamentului (UE) 2016/399 al Parlamentului European și al Consiliului</w:t>
            </w:r>
            <w:r>
              <w:rPr>
                <w:rStyle w:val="Sup"/>
              </w:rPr>
              <w:t>3</w:t>
            </w:r>
            <w:r>
              <w:t xml:space="preserve"> („Codul frontierelor Schengen”). Se aplică alte norme prevăzute în Regulamentul (UE) 2017/2226 care nu sunt afectate de prezentul regulament, astfel cum se prevede în Regulamentul (UE) 2017/2226. În special, datele înregistrate în EES pe parcursul întregii perioade de punere în funcțiune treptată respectă normele prevăzute în Regulamentul (UE) 2017/2226 și sunt considerate fiabile și exacte. </w:t>
            </w:r>
            <w:r>
              <w:rPr>
                <w:b/>
                <w:i/>
                <w:strike w:val="0"/>
                <w:color w:val="auto"/>
                <w:highlight w:val="none"/>
                <w:u w:val="none" w:color="auto"/>
                <w:vertAlign w:val="baseline"/>
              </w:rPr>
              <w:t>Prezentul regulament nu afectează valabilitatea notificărilor deja furnizate Comisiei de către statele membre în temeiul articolului 66 alineatul (1) din Regulamentul (UE) 2017/2226.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Regulamentul (UE) 2016/399 al Parlamentului European și al Consiliului din 9 martie 2016 cu privire la Codul Uniunii privind regimul de trecere a frontierelor de către persoane (Codul Frontierelor Schengen) (JO L 77, 23.3.2016, p. 1, ELI: http://data.europa.eu/eli/reg/2016/399/oj).</w:t>
            </w:r>
          </w:p>
        </w:tc>
        <w:tc>
          <w:tcPr>
            <w:tcW w:w="4876" w:type="dxa"/>
            <w:vAlign w:val="top"/>
          </w:tcPr>
          <w:p>
            <w:pPr>
              <w:pStyle w:val="Normal6a"/>
            </w:pPr>
            <w:r>
              <w:rPr>
                <w:rStyle w:val="Sup"/>
              </w:rPr>
              <w:t>3</w:t>
            </w:r>
            <w:r>
              <w:t xml:space="preserve"> </w:t>
            </w:r>
            <w:r>
              <w:t>Regulamentul (UE) 2016/399 al Parlamentului European și al Consiliului din 9 martie 2016 cu privire la Codul Uniunii privind regimul de trecere a frontierelor de către persoane (Codul Frontierelor Schengen) (JO L 77, 23.3.2016, p.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Statele membre 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w:t>
            </w:r>
            <w:r>
              <w:rPr>
                <w:b/>
                <w:i/>
                <w:strike w:val="0"/>
                <w:color w:val="auto"/>
                <w:highlight w:val="none"/>
                <w:u w:val="none" w:color="auto"/>
                <w:vertAlign w:val="baseline"/>
              </w:rPr>
              <w:t>o abordare coordonată</w:t>
            </w:r>
            <w:r>
              <w:t>, punerea în funcțiune treptată ar trebui să</w:t>
            </w:r>
            <w:r>
              <w:t xml:space="preserve"> </w:t>
            </w:r>
            <w:r>
              <w:rPr>
                <w:b/>
                <w:i/>
                <w:strike w:val="0"/>
                <w:color w:val="auto"/>
                <w:highlight w:val="none"/>
                <w:u w:val="none" w:color="auto"/>
                <w:vertAlign w:val="baseline"/>
              </w:rPr>
              <w:t>se realizeze în mai multe faze</w:t>
            </w:r>
            <w:r>
              <w:t xml:space="preserve">, pentru fiecare dintre acestea urmând să se stabilească cerințe minime pe care statele membre să le îndeplinească. </w:t>
            </w:r>
            <w:r>
              <w:rPr>
                <w:b/>
                <w:i/>
                <w:strike w:val="0"/>
                <w:color w:val="auto"/>
                <w:highlight w:val="none"/>
                <w:u w:val="none" w:color="auto"/>
                <w:vertAlign w:val="baseline"/>
              </w:rPr>
              <w:t>Statele membre vor avea posibilitatea de a accelera punerea în aplicare la nivel național sau de a pune în funcțiune EES în mod integral încă de la începutul abordării progresive.</w:t>
            </w:r>
          </w:p>
        </w:tc>
        <w:tc>
          <w:tcPr>
            <w:tcW w:w="4876" w:type="dxa"/>
            <w:vAlign w:val="top"/>
          </w:tcPr>
          <w:p>
            <w:pPr>
              <w:pStyle w:val="Normal6a"/>
            </w:pPr>
            <w:r>
              <w:t>(6)</w:t>
            </w:r>
            <w:r>
              <w:tab/>
            </w:r>
            <w:r>
              <w:t xml:space="preserve">Statele membre </w:t>
            </w:r>
            <w:r>
              <w:rPr>
                <w:b/>
                <w:i/>
                <w:strike w:val="0"/>
                <w:color w:val="auto"/>
                <w:highlight w:val="none"/>
                <w:u w:val="none" w:color="auto"/>
                <w:vertAlign w:val="baseline"/>
              </w:rPr>
              <w:t>care nu procedează la punerea în funcțiune pe deplin simultană a EES la toate punctele de trecere a frontierei</w:t>
            </w:r>
            <w:r>
              <w:t xml:space="preserve"> </w:t>
            </w:r>
            <w:r>
              <w:t xml:space="preserve">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w:t>
            </w:r>
            <w:r>
              <w:rPr>
                <w:b/>
                <w:i/>
                <w:strike w:val="0"/>
                <w:color w:val="auto"/>
                <w:highlight w:val="none"/>
                <w:u w:val="none" w:color="auto"/>
                <w:vertAlign w:val="baseline"/>
              </w:rPr>
              <w:t>obiectivul utilizării depline a EES la toate punctele de trecere a frontierei din Uniune</w:t>
            </w:r>
            <w:r>
              <w:t>, punerea în funcțiune treptată ar trebui să</w:t>
            </w:r>
            <w:r>
              <w:t xml:space="preserve"> </w:t>
            </w:r>
            <w:r>
              <w:rPr>
                <w:b/>
                <w:i/>
                <w:strike w:val="0"/>
                <w:color w:val="auto"/>
                <w:highlight w:val="none"/>
                <w:u w:val="none" w:color="auto"/>
                <w:vertAlign w:val="baseline"/>
              </w:rPr>
              <w:t>includă praguri</w:t>
            </w:r>
            <w:r>
              <w:t>, pentru fiecare dintre acestea urmând să se stabilească cerințe minime pe care statele membre să le îndeplinească.</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Pentru a facilita implementarea în condiții optime a EES, Agenția Uniunii Europene pentru Gestionarea Operațională a Sistemelor Informatice la Scară Largă în Spațiul de Libertate, Securitate și Justiție (eu-LISA) ar trebui să elaboreze un plan de implementare la nivel înalt pentru a oferi orientări statelor membre și agențiilor Uniunii cu privire la planificarea și la realizarea implementării EES pe parcursul punerii sale în funcțiune treptate, urmând ca acest plan să fie transmis Comisiei, statelor membre și agențiilor Uniunii. </w:t>
            </w:r>
            <w:r>
              <w:rPr>
                <w:b/>
                <w:i/>
                <w:strike w:val="0"/>
                <w:color w:val="auto"/>
                <w:highlight w:val="none"/>
                <w:u w:val="none" w:color="auto"/>
                <w:vertAlign w:val="baseline"/>
              </w:rPr>
              <w:t>Acest plan ar trebui să includă limitele de capacitate ale sistemului central, astfel cum sunt specificate de eu-LISA pentru fiecare fază de implementare. Atunci când decid să înceapă să pună în funcțiune EES sau să avanseze în direcția punerii în funcțiune a acestuia, statele membre ar trebui să țină seama de capacitatea sistemului central, astfel cum se subliniază în planul de implementare la nivel înalt.</w:t>
            </w:r>
          </w:p>
        </w:tc>
        <w:tc>
          <w:tcPr>
            <w:tcW w:w="4876" w:type="dxa"/>
            <w:vAlign w:val="top"/>
          </w:tcPr>
          <w:p>
            <w:pPr>
              <w:pStyle w:val="Normal6a"/>
            </w:pPr>
            <w:r>
              <w:t>(7)</w:t>
            </w:r>
            <w:r>
              <w:tab/>
            </w:r>
            <w:r>
              <w:t>Pentru a facilita implementarea în condiții optime a EES, Agenția Uniunii Europene pentru Gestionarea Operațională a Sistemelor Informatice la Scară Largă în Spațiul de Libertate, Securitate și Justiție (eu-LISA) ar trebui să elaboreze un plan de implementare la nivel înalt pentru a oferi orientări statelor membre și agențiilor Uniunii cu privire la planificarea și la realizarea implementării EES pe parcursul punerii sale în funcțiune treptate, urmând ca acest plan să fie transmis Comisiei, statelor membre și agențiilor Uniunii.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Pentru a facilita implementarea în condiții optime a EES, statele membre ar trebui să </w:t>
            </w:r>
            <w:r>
              <w:t>elaboreze planuri naționale de implementare</w:t>
            </w:r>
            <w:r>
              <w:rPr>
                <w:b/>
                <w:i/>
                <w:strike w:val="0"/>
                <w:color w:val="auto"/>
                <w:highlight w:val="none"/>
                <w:u w:val="none" w:color="auto"/>
                <w:vertAlign w:val="baseline"/>
              </w:rPr>
              <w:t>, în consultare cu Comisia și cu eu-LISA</w:t>
            </w:r>
            <w:r>
              <w:t>.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c>
          <w:tcPr>
            <w:tcW w:w="4876" w:type="dxa"/>
            <w:vAlign w:val="top"/>
          </w:tcPr>
          <w:p>
            <w:pPr>
              <w:pStyle w:val="Normal6a"/>
            </w:pPr>
            <w:r>
              <w:t>(8)</w:t>
            </w:r>
            <w:r>
              <w:tab/>
            </w:r>
            <w:r>
              <w:t>Pentru a facilita implementarea în condiții optime a EES, statele membre ar trebui</w:t>
            </w:r>
            <w:r>
              <w:rPr>
                <w:b/>
                <w:i/>
                <w:strike w:val="0"/>
                <w:color w:val="auto"/>
                <w:highlight w:val="none"/>
                <w:u w:val="none" w:color="auto"/>
                <w:vertAlign w:val="baseline"/>
              </w:rPr>
              <w:t>, în consultare cu Comisia și cu eu-LISA</w:t>
            </w:r>
            <w:r>
              <w:rPr>
                <w:b/>
                <w:i/>
                <w:strike w:val="0"/>
                <w:color w:val="auto"/>
                <w:highlight w:val="none"/>
                <w:u w:val="none" w:color="auto"/>
                <w:vertAlign w:val="baseline"/>
              </w:rPr>
              <w:t>,</w:t>
            </w:r>
            <w:r>
              <w:t xml:space="preserve"> să elaboreze planuri naționale de implementare </w:t>
            </w:r>
            <w:r>
              <w:rPr>
                <w:b/>
                <w:i/>
                <w:strike w:val="0"/>
                <w:color w:val="auto"/>
                <w:highlight w:val="none"/>
                <w:u w:val="none" w:color="auto"/>
                <w:vertAlign w:val="baseline"/>
              </w:rPr>
              <w:t>și să le prezinte Comisiei</w:t>
            </w:r>
            <w:r>
              <w:t>.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Având în vedere punerea în funcțiune treptată a EES și caracterul </w:t>
            </w:r>
            <w:r>
              <w:rPr>
                <w:b/>
                <w:i/>
                <w:strike w:val="0"/>
                <w:color w:val="auto"/>
                <w:highlight w:val="none"/>
                <w:u w:val="none" w:color="auto"/>
                <w:vertAlign w:val="baseline"/>
              </w:rPr>
              <w:t>potențial</w:t>
            </w:r>
            <w:r>
              <w:t xml:space="preserve"> incomplet 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seama de 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să prevaleze.</w:t>
            </w:r>
          </w:p>
        </w:tc>
        <w:tc>
          <w:tcPr>
            <w:tcW w:w="4876" w:type="dxa"/>
            <w:vAlign w:val="top"/>
          </w:tcPr>
          <w:p>
            <w:pPr>
              <w:pStyle w:val="Normal6a"/>
            </w:pPr>
            <w:r>
              <w:t>(9)</w:t>
            </w:r>
            <w:r>
              <w:tab/>
            </w:r>
            <w:r>
              <w:t xml:space="preserve">Având în vedere punerea în funcțiune treptată a EES și caracterul </w:t>
            </w:r>
            <w:r>
              <w:rPr>
                <w:b/>
                <w:i/>
                <w:strike w:val="0"/>
                <w:color w:val="auto"/>
                <w:highlight w:val="none"/>
                <w:u w:val="none" w:color="auto"/>
                <w:vertAlign w:val="baseline"/>
              </w:rPr>
              <w:t>rezultant</w:t>
            </w:r>
            <w:r>
              <w:t xml:space="preserve"> incomplet 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seama de 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să prevaleze.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w:t>
            </w:r>
            <w:r>
              <w:rPr>
                <w:b/>
                <w:i/>
                <w:strike w:val="0"/>
                <w:color w:val="auto"/>
                <w:highlight w:val="none"/>
                <w:u w:val="none" w:color="auto"/>
                <w:vertAlign w:val="baseline"/>
              </w:rPr>
              <w:t>de la</w:t>
            </w:r>
            <w:r>
              <w:t xml:space="preserve"> punerea în funcțiune treptată, statele membre ar trebui să utilizeze EES cu funcționalități biometrice la cel puțin jumătate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c>
          <w:tcPr>
            <w:tcW w:w="4876" w:type="dxa"/>
            <w:vAlign w:val="top"/>
          </w:tcPr>
          <w:p>
            <w:pPr>
              <w:pStyle w:val="Normal6a"/>
            </w:pPr>
            <w:r>
              <w:t>(11)</w:t>
            </w:r>
            <w:r>
              <w:tab/>
            </w:r>
            <w:r>
              <w:t xml:space="preserve">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w:t>
            </w:r>
            <w:r>
              <w:rPr>
                <w:b/>
                <w:i/>
                <w:strike w:val="0"/>
                <w:color w:val="auto"/>
                <w:highlight w:val="none"/>
                <w:u w:val="none" w:color="auto"/>
                <w:vertAlign w:val="baseline"/>
              </w:rPr>
              <w:t>după</w:t>
            </w:r>
            <w:r>
              <w:t xml:space="preserve"> punerea în funcțiune treptată, statele membre ar trebui să utilizeze EES cu funcționalități biometrice la cel puțin jumătate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Pentru a asigura gestionarea eficace a frontierelor externe pe parcursul punerii în funcțiune treptate a EES, la punctele de trecere a frontierei la care EES nu este utilizat, verificările la frontiere ar trebui să fie efectuate în conformitate cu Regulamentul (UE) 2016/399, după caz [ziua anterioară datei de la care EES urmează să fie pus în funcțiune, astfel cum a decis Comisia în conformitate cu articolul 66 alineatul (1) din Regulamentul (UE) 2017/2226]. La punctele de trecere a frontierei la care se utilizează EES, verificările la frontiere ar trebui să fie efectuate în conformitate cu Regulamentul (UE) 2017/2226 și cu Codul frontierelor Schengen. Cu toate acestea, ar trebui să se aplice derogări specifice de la aceste regulamente în ceea ce privește verificarea la punctele de trecere a frontierei la care EES este utilizat fără funcționalități biometrice, pentru a permite punerea în funcțiune treptată. Acest lucru nu ar trebui să aducă atingere verificărilor titularilor de viză prin utilizarea amprentelor digitale, în conformitate cu Regulamentul (CE) nr. </w:t>
            </w:r>
            <w:r>
              <w:t>787</w:t>
            </w:r>
            <w:r>
              <w:t>/2008</w:t>
            </w:r>
            <w:r>
              <w:t>.</w:t>
            </w:r>
          </w:p>
        </w:tc>
        <w:tc>
          <w:tcPr>
            <w:tcW w:w="4876" w:type="dxa"/>
            <w:vAlign w:val="top"/>
          </w:tcPr>
          <w:p>
            <w:pPr>
              <w:pStyle w:val="Normal6a"/>
            </w:pPr>
            <w:r>
              <w:t>(23)</w:t>
            </w:r>
            <w:r>
              <w:tab/>
            </w:r>
            <w:r>
              <w:t xml:space="preserve">Pentru a asigura gestionarea eficace a frontierelor externe pe parcursul punerii în funcțiune treptate a EES, la punctele de trecere a frontierei la care EES nu este utilizat, verificările la frontiere ar trebui să fie efectuate în conformitate cu Regulamentul (UE) 2016/399, după caz [ziua anterioară datei de la care EES urmează să fie pus în funcțiune, astfel cum a decis Comisia în conformitate cu articolul 66 alineatul (1) din Regulamentul (UE) 2017/2226]. La punctele de trecere a frontierei la care se utilizează EES, verificările la frontiere ar trebui să fie efectuate în conformitate cu Regulamentul (UE) 2017/2226 și cu Codul frontierelor Schengen. Cu toate acestea, ar trebui să se aplice derogări specifice de la aceste regulamente în ceea ce privește verificarea la punctele de trecere a frontierei la care EES este utilizat fără funcționalități biometrice, pentru a permite punerea în funcțiune treptată. Acest lucru nu ar trebui să aducă atingere verificărilor titularilor de viză prin utilizarea amprentelor digitale, în conformitate cu Regulamentul (CE) </w:t>
            </w:r>
            <w:r>
              <w:rPr>
                <w:b/>
                <w:i/>
                <w:strike w:val="0"/>
                <w:color w:val="auto"/>
                <w:highlight w:val="none"/>
                <w:u w:val="none" w:color="auto"/>
                <w:vertAlign w:val="baseline"/>
              </w:rPr>
              <w:t>767/2008</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Pentru a permite o ajustare eficace a modalităților tehnice și organizatorice </w:t>
            </w:r>
            <w:r>
              <w:rPr>
                <w:b/>
                <w:i/>
                <w:strike w:val="0"/>
                <w:color w:val="auto"/>
                <w:highlight w:val="none"/>
                <w:u w:val="none" w:color="auto"/>
                <w:vertAlign w:val="baseline"/>
              </w:rPr>
              <w:t>pe parcursul punerii în funcțiune treptate a EES în fiecare stat membru</w:t>
            </w:r>
            <w:r>
              <w:t xml:space="preserve"> și pentru a aborda circumstanțele excepționale ale defecțiunii sistemului central al EES, a sistemelor naționale sau a infrastructurii de comunicații ori timpii de așteptare excesivi la frontierele lor,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 </w:t>
            </w:r>
            <w:r>
              <w:rPr>
                <w:b/>
                <w:i/>
                <w:strike w:val="0"/>
                <w:color w:val="auto"/>
                <w:highlight w:val="none"/>
                <w:u w:val="none" w:color="auto"/>
                <w:vertAlign w:val="baseline"/>
              </w:rPr>
              <w:t>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finalizarea punerii în funcțiune treptate a EES și ar trebui să fie prelungită cu 60 de zile în cazul în care mai puțin de 80 % din dosarele individuale înregistrate în EES pe parcursul punerii în funcțiune treptate a EES conțin date biometrice.</w:t>
            </w:r>
          </w:p>
        </w:tc>
        <w:tc>
          <w:tcPr>
            <w:tcW w:w="4876" w:type="dxa"/>
            <w:vAlign w:val="top"/>
          </w:tcPr>
          <w:p>
            <w:pPr>
              <w:pStyle w:val="Normal6a"/>
            </w:pPr>
            <w:r>
              <w:t>(24)</w:t>
            </w:r>
            <w:r>
              <w:tab/>
            </w:r>
            <w:r>
              <w:t xml:space="preserve">Pentru a permite o ajustare eficace a modalităților tehnice și organizatorice și pentru a aborda circumstanțele </w:t>
            </w:r>
            <w:r>
              <w:rPr>
                <w:b/>
                <w:i/>
                <w:strike w:val="0"/>
                <w:color w:val="auto"/>
                <w:highlight w:val="none"/>
                <w:u w:val="none" w:color="auto"/>
                <w:vertAlign w:val="baseline"/>
              </w:rPr>
              <w:t>posibile</w:t>
            </w:r>
            <w:r>
              <w:t xml:space="preserve"> excepționale ale defecțiunii sistemului central al EES, a sistemelor naționale sau a infrastructurii de comunicații ori timpii de așteptare excesivi la frontierele lor</w:t>
            </w:r>
            <w:r>
              <w:t>,</w:t>
            </w:r>
            <w:r>
              <w:t xml:space="preserve"> </w:t>
            </w:r>
            <w:r>
              <w:rPr>
                <w:b/>
                <w:i/>
                <w:strike w:val="0"/>
                <w:color w:val="auto"/>
                <w:highlight w:val="none"/>
                <w:u w:val="none" w:color="auto"/>
                <w:vertAlign w:val="baseline"/>
              </w:rPr>
              <w:t>pe parcursul punerii în funcțiune treptate a EES,</w:t>
            </w:r>
            <w:r>
              <w:t xml:space="preserve">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24 a (nou)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încheierea punerii în funcțiune treptate a 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Considerentul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Obiectivul prezentului regulament, prin care sunt autorizate derogări de la Regulamentul (UE) 2017/2226 și de la Regulamentul (UE) </w:t>
            </w:r>
            <w:r>
              <w:t>2016/</w:t>
            </w:r>
            <w:r>
              <w:rPr>
                <w:b/>
                <w:i/>
                <w:strike w:val="0"/>
                <w:color w:val="auto"/>
                <w:highlight w:val="none"/>
                <w:u w:val="none" w:color="auto"/>
                <w:vertAlign w:val="baseline"/>
              </w:rPr>
              <w:t>299</w:t>
            </w:r>
            <w:r>
              <w:t xml:space="preserve"> pentru a asigura punerea în funcțiune treptată a EES, nu poate fi realizat în mod satisfăcător de către statele membre, ci, având în vedere amploarea și impactul acțiunii, poate fi realizat mai bine la nivelul Uniunii. Prin urmare, Uniunea poate adopta măsuri în conformitate cu principiul subsidiarității prevăzut la articolul 5 din Tratatul privind Uniunea Europeană. În conformitate cu principiul proporționalității, astfel cum este prevăzut la articolul respectiv, prezentul regulament nu depășește ceea ce este necesar pentru realizarea acelor obiective.</w:t>
            </w:r>
          </w:p>
        </w:tc>
        <w:tc>
          <w:tcPr>
            <w:tcW w:w="4876" w:type="dxa"/>
            <w:vAlign w:val="top"/>
          </w:tcPr>
          <w:p>
            <w:pPr>
              <w:pStyle w:val="Normal6a"/>
            </w:pPr>
            <w:r>
              <w:t>(27)</w:t>
            </w:r>
            <w:r>
              <w:tab/>
            </w:r>
            <w:r>
              <w:t xml:space="preserve">Obiectivul prezentului regulament, prin care sunt autorizate derogări de la Regulamentul (UE) 2017/2226 și de la Regulamentul (UE) </w:t>
            </w:r>
            <w:r>
              <w:t>2016/</w:t>
            </w:r>
            <w:r>
              <w:rPr>
                <w:b/>
                <w:i/>
                <w:strike w:val="0"/>
                <w:color w:val="auto"/>
                <w:highlight w:val="none"/>
                <w:u w:val="none" w:color="auto"/>
                <w:vertAlign w:val="baseline"/>
              </w:rPr>
              <w:t>399</w:t>
            </w:r>
            <w:r>
              <w:t xml:space="preserve"> pentru a asigura punerea în funcțiune treptată a EES, nu poate fi realizat în mod satisfăcător de către statele membre, ci, având în vedere amploarea și impactul acțiunii, poate fi realizat mai bine la nivelul Uniunii. Prin urmare, Uniunea poate adopta măsuri în conformitate cu principiul subsidiarității prevăzut la articolul 5 din Tratatul privind Uniunea Europeană. În conformitate cu principiul proporționalității, astfel cum este prevăzut la articolul respectiv, prezentul regulament nu depășește ceea ce este necesar pentru realizarea acelor obiective.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2 – paragraful 1 – litera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„numărul estimat de treceri ale frontierei” înseamnă estimarea, efectuată de fiecare stat membru, a numărului de treceri ale frontierei de către resortisanții țărilor terțe menționați la articolul 2 alineatele (1) și (2) din Regulamentul (UE) 2017/2226 pe teritoriul său, pe baza mediei anuale a numărului total de treceri ale frontierei de către resortisanții țărilor terțe care călătoresc în scopul unei șederi scurte în statul membru respectiv, calculată pentru </w:t>
            </w:r>
            <w:r>
              <w:rPr>
                <w:b/>
                <w:i/>
                <w:strike w:val="0"/>
                <w:color w:val="auto"/>
                <w:highlight w:val="none"/>
                <w:u w:val="none" w:color="auto"/>
                <w:vertAlign w:val="baseline"/>
              </w:rPr>
              <w:t>ultimii</w:t>
            </w:r>
            <w:r>
              <w:rPr>
                <w:b/>
                <w:i/>
                <w:strike w:val="0"/>
                <w:color w:val="auto"/>
                <w:highlight w:val="none"/>
                <w:u w:val="none" w:color="auto"/>
                <w:vertAlign w:val="baseline"/>
              </w:rPr>
              <w:t xml:space="preserve"> </w:t>
            </w:r>
            <w:r>
              <w:rPr>
                <w:b/>
                <w:i/>
                <w:strike w:val="0"/>
                <w:color w:val="auto"/>
                <w:highlight w:val="none"/>
                <w:u w:val="none" w:color="auto"/>
                <w:vertAlign w:val="baseline"/>
              </w:rPr>
              <w:t>3 ani</w:t>
            </w:r>
            <w:r>
              <w:t xml:space="preserve"> de la data aplicării menționată la articolul 8 alineatul (1) al doilea paragraf din prezentul regulament.</w:t>
            </w:r>
          </w:p>
        </w:tc>
        <w:tc>
          <w:tcPr>
            <w:tcW w:w="4876" w:type="dxa"/>
            <w:vAlign w:val="top"/>
          </w:tcPr>
          <w:p>
            <w:pPr>
              <w:pStyle w:val="Normal6a"/>
            </w:pPr>
            <w:r>
              <w:t>(c)</w:t>
            </w:r>
            <w:r>
              <w:tab/>
            </w:r>
            <w:r>
              <w:t xml:space="preserve">„numărul estimat de treceri ale frontierei” înseamnă estimarea, efectuată de fiecare stat membru, a numărului de treceri ale frontierei de către resortisanții țărilor terțe menționați la articolul 2 alineatele (1) și (2) din Regulamentul (UE) 2017/2226 pe teritoriul său, pe baza mediei anuale a numărului total de treceri ale frontierei de către resortisanții țărilor terțe care călătoresc în scopul unei șederi scurte în statul membru respectiv, calculată pentru </w:t>
            </w:r>
            <w:r>
              <w:rPr>
                <w:b/>
                <w:i/>
                <w:strike w:val="0"/>
                <w:color w:val="auto"/>
                <w:highlight w:val="none"/>
                <w:u w:val="none" w:color="auto"/>
                <w:vertAlign w:val="baseline"/>
              </w:rPr>
              <w:t>ultimul an calendaristic</w:t>
            </w:r>
            <w:r>
              <w:t xml:space="preserve"> de la data aplicării menționată la articolul 8 alineatul (1) al doilea paragraf din prezentul regulament.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titlu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Planurile de implementare</w:t>
            </w:r>
          </w:p>
        </w:tc>
        <w:tc>
          <w:tcPr>
            <w:tcW w:w="4876" w:type="dxa"/>
            <w:vAlign w:val="top"/>
          </w:tcPr>
          <w:p>
            <w:pPr>
              <w:pStyle w:val="Normal6a"/>
            </w:pPr>
            <w:r>
              <w:t xml:space="preserve">Planurile de implementare </w:t>
            </w:r>
            <w:r>
              <w:t>și rapoartele lunare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alineatul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Până la [a 30-a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w:t>
            </w:r>
            <w:r>
              <w:rPr>
                <w:b/>
                <w:i/>
                <w:strike w:val="0"/>
                <w:color w:val="auto"/>
                <w:highlight w:val="none"/>
                <w:u w:val="none" w:color="auto"/>
                <w:vertAlign w:val="baseline"/>
              </w:rPr>
              <w:t>și precizează inclusiv limitele de capacitate ale sistemului central al EES</w:t>
            </w:r>
            <w:r>
              <w:t>.</w:t>
            </w:r>
          </w:p>
        </w:tc>
        <w:tc>
          <w:tcPr>
            <w:tcW w:w="4876" w:type="dxa"/>
            <w:vAlign w:val="top"/>
          </w:tcPr>
          <w:p>
            <w:pPr>
              <w:pStyle w:val="Normal6a"/>
            </w:pPr>
            <w:r>
              <w:t>1.</w:t>
            </w:r>
            <w:r>
              <w:tab/>
            </w:r>
            <w:r>
              <w:t>Până la [a 30-a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alineatul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Până la [a 60-a zi calendaristică după intrarea în vigoare a prezentului regulament], în consultare cu Comisia și cu eu-LISA, statele membre elaborează </w:t>
            </w:r>
            <w:r>
              <w:rPr>
                <w:b/>
                <w:i/>
                <w:strike w:val="0"/>
                <w:color w:val="auto"/>
                <w:highlight w:val="none"/>
                <w:u w:val="none" w:color="auto"/>
                <w:vertAlign w:val="baseline"/>
              </w:rPr>
              <w:t>un</w:t>
            </w:r>
            <w:r>
              <w:rPr>
                <w:b/>
                <w:i/>
                <w:strike w:val="0"/>
                <w:color w:val="auto"/>
                <w:highlight w:val="none"/>
                <w:u w:val="none" w:color="auto"/>
                <w:vertAlign w:val="baseline"/>
              </w:rPr>
              <w:t xml:space="preserve"> </w:t>
            </w:r>
            <w:r>
              <w:rPr>
                <w:b/>
                <w:i/>
                <w:strike w:val="0"/>
                <w:color w:val="auto"/>
                <w:highlight w:val="none"/>
                <w:u w:val="none" w:color="auto"/>
                <w:vertAlign w:val="baseline"/>
              </w:rPr>
              <w:t>plan</w:t>
            </w:r>
            <w:r>
              <w:t xml:space="preserve"> </w:t>
            </w:r>
            <w:r>
              <w:rPr>
                <w:b/>
                <w:i/>
                <w:strike w:val="0"/>
                <w:color w:val="auto"/>
                <w:highlight w:val="none"/>
                <w:u w:val="none" w:color="auto"/>
                <w:vertAlign w:val="baseline"/>
              </w:rPr>
              <w:t>național</w:t>
            </w:r>
            <w:r>
              <w:t xml:space="preserve"> de implementare privind punerea în funcțiune treptată a EES, ținând seama de planul de implementare la nivel înalt menționat la alineatul (1) de la prezentul articol </w:t>
            </w:r>
            <w:r>
              <w:t xml:space="preserve">și de </w:t>
            </w:r>
            <w:r>
              <w:rPr>
                <w:b/>
                <w:i/>
                <w:strike w:val="0"/>
                <w:color w:val="auto"/>
                <w:highlight w:val="none"/>
                <w:u w:val="none" w:color="auto"/>
                <w:vertAlign w:val="baseline"/>
              </w:rPr>
              <w:t>etapele</w:t>
            </w:r>
            <w:r>
              <w:t xml:space="preserve"> prevăzute la articolul 4.</w:t>
            </w:r>
          </w:p>
        </w:tc>
        <w:tc>
          <w:tcPr>
            <w:tcW w:w="4876" w:type="dxa"/>
            <w:vAlign w:val="top"/>
          </w:tcPr>
          <w:p>
            <w:pPr>
              <w:pStyle w:val="Normal6a"/>
            </w:pPr>
            <w:r>
              <w:t>2.</w:t>
            </w:r>
            <w:r>
              <w:tab/>
            </w:r>
            <w:r>
              <w:t xml:space="preserve">Până la [a 60-a zi calendaristică după intrarea în vigoare a prezentului regulament], în consultare cu Comisia și cu eu-LISA, statele membre elaborează </w:t>
            </w:r>
            <w:r>
              <w:rPr>
                <w:b/>
                <w:i/>
                <w:strike w:val="0"/>
                <w:color w:val="auto"/>
                <w:highlight w:val="none"/>
                <w:u w:val="none" w:color="auto"/>
                <w:vertAlign w:val="baseline"/>
              </w:rPr>
              <w:t>planuri</w:t>
            </w:r>
            <w:r>
              <w:rPr>
                <w:b/>
                <w:i/>
                <w:strike w:val="0"/>
                <w:color w:val="auto"/>
                <w:highlight w:val="none"/>
                <w:u w:val="none" w:color="auto"/>
                <w:vertAlign w:val="baseline"/>
              </w:rPr>
              <w:t xml:space="preserve"> </w:t>
            </w:r>
            <w:r>
              <w:rPr>
                <w:b/>
                <w:i/>
                <w:strike w:val="0"/>
                <w:color w:val="auto"/>
                <w:highlight w:val="none"/>
                <w:u w:val="none" w:color="auto"/>
                <w:vertAlign w:val="baseline"/>
              </w:rPr>
              <w:t>naționale</w:t>
            </w:r>
            <w:r>
              <w:t xml:space="preserve"> de implementare privind punerea în funcțiune treptată a EES, ținând seama de planul de implementare la nivel înalt menționat la alineatul (1) de la prezentul articol </w:t>
            </w:r>
            <w:r>
              <w:t xml:space="preserve">și </w:t>
            </w:r>
            <w:r>
              <w:rPr>
                <w:b/>
                <w:i/>
                <w:strike w:val="0"/>
                <w:color w:val="auto"/>
                <w:highlight w:val="none"/>
                <w:u w:val="none" w:color="auto"/>
                <w:vertAlign w:val="baseline"/>
              </w:rPr>
              <w:t>prezintă aceste planuri Comisiei</w:t>
            </w:r>
            <w:r>
              <w:rPr>
                <w:b/>
                <w:i/>
                <w:strike w:val="0"/>
                <w:color w:val="auto"/>
                <w:highlight w:val="none"/>
                <w:u w:val="none" w:color="auto"/>
                <w:vertAlign w:val="baseline"/>
              </w:rPr>
              <w:t>.</w:t>
            </w:r>
            <w:r>
              <w:rPr>
                <w:b/>
                <w:i/>
                <w:strike w:val="0"/>
                <w:color w:val="auto"/>
                <w:highlight w:val="none"/>
                <w:u w:val="none" w:color="auto"/>
                <w:vertAlign w:val="baseline"/>
              </w:rPr>
              <w:t xml:space="preserve"> </w:t>
            </w:r>
            <w:r>
              <w:rPr>
                <w:b/>
                <w:i/>
                <w:strike w:val="0"/>
                <w:color w:val="auto"/>
                <w:highlight w:val="none"/>
                <w:u w:val="none" w:color="auto"/>
                <w:vertAlign w:val="baseline"/>
              </w:rPr>
              <w:t>În cazul în care un stat membru nu începe să pună în funcțiune integral EES</w:t>
            </w:r>
            <w:r>
              <w:t xml:space="preserve"> de </w:t>
            </w:r>
            <w:r>
              <w:rPr>
                <w:b/>
                <w:i/>
                <w:strike w:val="0"/>
                <w:color w:val="auto"/>
                <w:highlight w:val="none"/>
                <w:u w:val="none" w:color="auto"/>
                <w:vertAlign w:val="baseline"/>
              </w:rPr>
              <w:t>la începutul punerii treptate în funcțiune a EES, planul național de implementare specifică modul în care trebuie îndeplinite pragurile și cerințele</w:t>
            </w:r>
            <w:r>
              <w:t xml:space="preserve"> prevăzute la articolul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alineatul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Pentru fiecare dintre fazele prevăzute la articolul 4, planurile naționale de implementare includ informații privind pragurile și cerințele prevăzute la articolul respectiv.</w:t>
            </w:r>
          </w:p>
        </w:tc>
        <w:tc>
          <w:tcPr>
            <w:tcW w:w="4876" w:type="dxa"/>
            <w:vAlign w:val="top"/>
          </w:tcPr>
          <w:p>
            <w:pPr>
              <w:pStyle w:val="Normal6a"/>
            </w:pPr>
            <w:r>
              <w:rPr>
                <w:b/>
                <w:i/>
                <w:strike w:val="0"/>
                <w:color w:val="auto"/>
                <w:highlight w:val="none"/>
                <w:u w:val="none" w:color="auto"/>
                <w:vertAlign w:val="baseline"/>
              </w:rPr>
              <w:t>eliminat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alineatul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Începând cu a 30-a zi calendaristică după </w:t>
            </w:r>
            <w:r>
              <w:rPr>
                <w:b/>
                <w:i/>
                <w:strike w:val="0"/>
                <w:color w:val="auto"/>
                <w:highlight w:val="none"/>
                <w:u w:val="none" w:color="auto"/>
                <w:vertAlign w:val="baseline"/>
              </w:rPr>
              <w:t>punerea</w:t>
            </w:r>
            <w:r>
              <w:t xml:space="preserve"> în funcțiune </w:t>
            </w:r>
            <w:r>
              <w:rPr>
                <w:b/>
                <w:i/>
                <w:strike w:val="0"/>
                <w:color w:val="auto"/>
                <w:highlight w:val="none"/>
                <w:u w:val="none" w:color="auto"/>
                <w:vertAlign w:val="baseline"/>
              </w:rPr>
              <w:t>treptată</w:t>
            </w:r>
            <w:r>
              <w:rPr>
                <w:b/>
                <w:i/>
                <w:strike w:val="0"/>
                <w:color w:val="auto"/>
                <w:highlight w:val="none"/>
                <w:u w:val="none" w:color="auto"/>
                <w:vertAlign w:val="baseline"/>
              </w:rPr>
              <w:t xml:space="preserve"> a EES</w:t>
            </w:r>
            <w:r>
              <w:t>, statele membre prezintă Comisiei și eu-LISA rapoarte lunare cu privire la punerea în aplicare a planurilor lor naționale de implementare, inclusiv măsurile corective, după caz, pentru respectarea obligațiilor prevăzute la articolul 4.</w:t>
            </w:r>
          </w:p>
        </w:tc>
        <w:tc>
          <w:tcPr>
            <w:tcW w:w="4876" w:type="dxa"/>
            <w:vAlign w:val="top"/>
          </w:tcPr>
          <w:p>
            <w:pPr>
              <w:pStyle w:val="Normal6a"/>
            </w:pPr>
            <w:r>
              <w:t>4.</w:t>
            </w:r>
            <w:r>
              <w:tab/>
            </w:r>
            <w:r>
              <w:t xml:space="preserve">Începând cu a 30-a zi calendaristică după </w:t>
            </w:r>
            <w:r>
              <w:rPr>
                <w:b/>
                <w:i/>
                <w:strike w:val="0"/>
                <w:color w:val="auto"/>
                <w:highlight w:val="none"/>
                <w:u w:val="none" w:color="auto"/>
                <w:vertAlign w:val="baseline"/>
              </w:rPr>
              <w:t>data la care EES trebuie să fie pus</w:t>
            </w:r>
            <w:r>
              <w:t xml:space="preserve"> în funcțiune </w:t>
            </w:r>
            <w:r>
              <w:rPr>
                <w:b/>
                <w:i/>
                <w:strike w:val="0"/>
                <w:color w:val="auto"/>
                <w:highlight w:val="none"/>
                <w:u w:val="none" w:color="auto"/>
                <w:vertAlign w:val="baseline"/>
              </w:rPr>
              <w:t>conform deciziei Comisiei în concordanță cu articolul 66 alineatul (1) din Regulamentul (UE) 2017/2226</w:t>
            </w:r>
            <w:r>
              <w:t>, statele membre prezintă Comisiei și eu-LISA rapoarte lunare cu privire la punerea în aplicare a planurilor lor naționale de implementare, inclusiv măsurile corective, după caz, pentru respectarea obligațiilor prevăzute la articolul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3 – alineatul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La cererea Comisiei, eu-LISA furnizează Comisiei statisticile necesare pentru monitorizarea planurilor naționale de implementare, în conformitate cu articolul 63 alineatul (6) din Regulamentul (UE) 2017/2226.</w:t>
            </w:r>
          </w:p>
        </w:tc>
        <w:tc>
          <w:tcPr>
            <w:tcW w:w="4876" w:type="dxa"/>
            <w:vAlign w:val="top"/>
          </w:tcPr>
          <w:p>
            <w:pPr>
              <w:pStyle w:val="Normal6a"/>
            </w:pPr>
            <w:r>
              <w:t>5.</w:t>
            </w:r>
            <w:r>
              <w:tab/>
            </w:r>
            <w:r>
              <w:t xml:space="preserve">La cererea Comisiei, eu-LISA furnizează Comisiei statisticile necesare pentru monitorizarea </w:t>
            </w:r>
            <w:r>
              <w:rPr>
                <w:b/>
                <w:i/>
                <w:strike w:val="0"/>
                <w:color w:val="auto"/>
                <w:highlight w:val="none"/>
                <w:u w:val="none" w:color="auto"/>
                <w:vertAlign w:val="baseline"/>
              </w:rPr>
              <w:t>Planului de implementare la nivel înalt</w:t>
            </w:r>
            <w:r>
              <w:rPr>
                <w:b/>
                <w:i/>
                <w:strike w:val="0"/>
                <w:color w:val="auto"/>
                <w:highlight w:val="none"/>
                <w:u w:val="none" w:color="auto"/>
                <w:vertAlign w:val="baseline"/>
              </w:rPr>
              <w:t xml:space="preserve"> </w:t>
            </w:r>
            <w:r>
              <w:rPr>
                <w:b/>
                <w:i/>
                <w:strike w:val="0"/>
                <w:color w:val="auto"/>
                <w:highlight w:val="none"/>
                <w:u w:val="none" w:color="auto"/>
                <w:vertAlign w:val="baseline"/>
              </w:rPr>
              <w:t>și a</w:t>
            </w:r>
            <w:r>
              <w:t xml:space="preserve"> planurilor naționale de implementare, în conformitate cu articolul 63 alineatul (6) din Regulamentul (UE)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4 – alineatul 2 – paragraful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Din prima zi a punerii în funcțiune treptate a EES, fiecare stat membru începe să utilizeze EES la intrare și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w:t>
            </w:r>
            <w:r>
              <w:t>Statele</w:t>
            </w:r>
            <w:r>
              <w:t xml:space="preserve"> membre înregistrează în EES cel puțin 10 % din numărul estimat de treceri ale frontierei în statul membru respectiv.</w:t>
            </w:r>
          </w:p>
        </w:tc>
        <w:tc>
          <w:tcPr>
            <w:tcW w:w="4876" w:type="dxa"/>
            <w:vAlign w:val="top"/>
          </w:tcPr>
          <w:p>
            <w:pPr>
              <w:pStyle w:val="Normal6a"/>
            </w:pPr>
            <w:r>
              <w:t xml:space="preserve">Din prima zi a punerii în funcțiune treptate a EES, fiecare stat membru începe să utilizeze EES la intrare și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w:t>
            </w:r>
            <w:r>
              <w:rPr>
                <w:b/>
                <w:i/>
                <w:strike w:val="0"/>
                <w:color w:val="auto"/>
                <w:highlight w:val="none"/>
                <w:u w:val="none" w:color="auto"/>
                <w:vertAlign w:val="baseline"/>
              </w:rPr>
              <w:t>Cel târziu în a 30-a zi calendaristică de la punerea în funcțiune treptată a EES,</w:t>
            </w:r>
            <w:r>
              <w:t xml:space="preserve"> </w:t>
            </w:r>
            <w:r>
              <w:t>statele</w:t>
            </w:r>
            <w:r>
              <w:t xml:space="preserve"> membre înregistrează în EES cel puțin 10 % din numărul estimat de treceri ale frontierei în statul membru respectiv.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4 – alineatul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Cel târziu în a 90-a zi </w:t>
            </w:r>
            <w:r>
              <w:rPr>
                <w:b/>
                <w:i/>
                <w:strike w:val="0"/>
                <w:color w:val="auto"/>
                <w:highlight w:val="none"/>
                <w:u w:val="none" w:color="auto"/>
                <w:vertAlign w:val="baseline"/>
              </w:rPr>
              <w:t xml:space="preserve">calendaristică </w:t>
            </w:r>
            <w:r>
              <w:rPr>
                <w:b/>
                <w:i/>
                <w:strike w:val="0"/>
                <w:color w:val="auto"/>
                <w:highlight w:val="none"/>
                <w:u w:val="none" w:color="auto"/>
                <w:vertAlign w:val="baseline"/>
              </w:rPr>
              <w:t>de la</w:t>
            </w:r>
            <w:r>
              <w:rPr>
                <w:b/>
                <w:i/>
                <w:strike w:val="0"/>
                <w:color w:val="auto"/>
                <w:highlight w:val="none"/>
                <w:u w:val="none" w:color="auto"/>
                <w:vertAlign w:val="baseline"/>
              </w:rPr>
              <w:t xml:space="preserve"> </w:t>
            </w:r>
            <w:r>
              <w:rPr>
                <w:b/>
                <w:i/>
                <w:strike w:val="0"/>
                <w:color w:val="auto"/>
                <w:highlight w:val="none"/>
                <w:u w:val="none" w:color="auto"/>
                <w:vertAlign w:val="baseline"/>
              </w:rPr>
              <w:t>punerea</w:t>
            </w:r>
            <w:r>
              <w:t xml:space="preserve"> în funcțiune </w:t>
            </w:r>
            <w:r>
              <w:rPr>
                <w:b/>
                <w:i/>
                <w:strike w:val="0"/>
                <w:color w:val="auto"/>
                <w:highlight w:val="none"/>
                <w:u w:val="none" w:color="auto"/>
                <w:vertAlign w:val="baseline"/>
              </w:rPr>
              <w:t>treptată</w:t>
            </w:r>
            <w:r>
              <w:t xml:space="preserve"> a EES, statele membre utilizează EES cu funcționalități biometrice la cel puțin jumătate din punctele lor de trecere a frontierei. Statele membre înregistrează cel puțin </w:t>
            </w:r>
            <w:r>
              <w:rPr>
                <w:b/>
                <w:i/>
                <w:strike w:val="0"/>
                <w:color w:val="auto"/>
                <w:highlight w:val="none"/>
                <w:u w:val="none" w:color="auto"/>
                <w:vertAlign w:val="baseline"/>
              </w:rPr>
              <w:t>50</w:t>
            </w:r>
            <w:r>
              <w:t> %</w:t>
            </w:r>
            <w:r>
              <w:t xml:space="preserve"> din numărul estimat de treceri ale frontierei în statul membru respectiv. Dosarele individuale ale resortisanților țărilor terțe menționați la articolul 2 alineatele (1) și (2) din Regulamentul (UE) 2017/2226 care sunt înregistrate în EES conțin date biometrice.</w:t>
            </w:r>
          </w:p>
        </w:tc>
        <w:tc>
          <w:tcPr>
            <w:tcW w:w="4876" w:type="dxa"/>
            <w:vAlign w:val="top"/>
          </w:tcPr>
          <w:p>
            <w:pPr>
              <w:pStyle w:val="Normal6a"/>
            </w:pPr>
            <w:r>
              <w:t>3.</w:t>
            </w:r>
            <w:r>
              <w:tab/>
            </w:r>
            <w:r>
              <w:t xml:space="preserve">Cel târziu în a 90-a zi </w:t>
            </w:r>
            <w:r>
              <w:rPr>
                <w:b/>
                <w:i/>
                <w:strike w:val="0"/>
                <w:color w:val="auto"/>
                <w:highlight w:val="none"/>
                <w:u w:val="none" w:color="auto"/>
                <w:vertAlign w:val="baseline"/>
              </w:rPr>
              <w:t>calendaristice</w:t>
            </w:r>
            <w:r>
              <w:rPr>
                <w:b/>
                <w:i/>
                <w:strike w:val="0"/>
                <w:color w:val="auto"/>
                <w:highlight w:val="none"/>
                <w:u w:val="none" w:color="auto"/>
                <w:vertAlign w:val="baseline"/>
              </w:rPr>
              <w:t xml:space="preserve"> a punerii</w:t>
            </w:r>
            <w:r>
              <w:t xml:space="preserve"> în funcțiune </w:t>
            </w:r>
            <w:r>
              <w:rPr>
                <w:b/>
                <w:i/>
                <w:strike w:val="0"/>
                <w:color w:val="auto"/>
                <w:highlight w:val="none"/>
                <w:u w:val="none" w:color="auto"/>
                <w:vertAlign w:val="baseline"/>
              </w:rPr>
              <w:t>treptate</w:t>
            </w:r>
            <w:r>
              <w:t xml:space="preserve"> a EES, statele membre utilizează EES cu funcționalități biometrice la cel puțin jumătate din punctele lor de trecere a frontierei. Statele membre înregistrează cel puțin </w:t>
            </w:r>
            <w:r>
              <w:rPr>
                <w:b/>
                <w:i/>
                <w:strike w:val="0"/>
                <w:color w:val="auto"/>
                <w:highlight w:val="none"/>
                <w:u w:val="none" w:color="auto"/>
                <w:vertAlign w:val="baseline"/>
              </w:rPr>
              <w:t>35</w:t>
            </w:r>
            <w:r>
              <w:t> %</w:t>
            </w:r>
            <w:r>
              <w:t xml:space="preserve"> din numărul estimat de treceri ale frontierei în statul membru respectiv. Dosarele individuale ale resortisanților țărilor terțe menționați la articolul 2 alineatele (1) și (2) din Regulamentul (UE) 2017/2226 care sunt înregistrate în EES conțin date biometrice.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4 – alineatul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Cel târziu în a 150-a zi calendaristică </w:t>
            </w:r>
            <w:r>
              <w:rPr>
                <w:b/>
                <w:i/>
                <w:strike w:val="0"/>
                <w:color w:val="auto"/>
                <w:highlight w:val="none"/>
                <w:u w:val="none" w:color="auto"/>
                <w:vertAlign w:val="baseline"/>
              </w:rPr>
              <w:t>după</w:t>
            </w:r>
            <w:r>
              <w:rPr>
                <w:b/>
                <w:i/>
                <w:strike w:val="0"/>
                <w:color w:val="auto"/>
                <w:highlight w:val="none"/>
                <w:u w:val="none" w:color="auto"/>
                <w:vertAlign w:val="baseline"/>
              </w:rPr>
              <w:t xml:space="preserve"> </w:t>
            </w:r>
            <w:r>
              <w:rPr>
                <w:b/>
                <w:i/>
                <w:strike w:val="0"/>
                <w:color w:val="auto"/>
                <w:highlight w:val="none"/>
                <w:u w:val="none" w:color="auto"/>
                <w:vertAlign w:val="baseline"/>
              </w:rPr>
              <w:t>punerea</w:t>
            </w:r>
            <w:r>
              <w:t xml:space="preserve"> în funcțiune </w:t>
            </w:r>
            <w:r>
              <w:rPr>
                <w:b/>
                <w:i/>
                <w:strike w:val="0"/>
                <w:color w:val="auto"/>
                <w:highlight w:val="none"/>
                <w:u w:val="none" w:color="auto"/>
                <w:vertAlign w:val="baseline"/>
              </w:rPr>
              <w:t>treptată</w:t>
            </w:r>
            <w:r>
              <w:t xml:space="preserve"> a EES, statele membre utilizează EES cu funcționalități biometrice la toate punctele lor de trecere a frontierei și continuă să înregistreze în EES cel puțin 50 % din numărul estimat de treceri ale frontierei în statul membru respectiv.</w:t>
            </w:r>
          </w:p>
        </w:tc>
        <w:tc>
          <w:tcPr>
            <w:tcW w:w="4876" w:type="dxa"/>
            <w:vAlign w:val="top"/>
          </w:tcPr>
          <w:p>
            <w:pPr>
              <w:pStyle w:val="Normal6a"/>
            </w:pPr>
            <w:r>
              <w:t>4.</w:t>
            </w:r>
            <w:r>
              <w:tab/>
            </w:r>
            <w:r>
              <w:t xml:space="preserve">Cel târziu în a 150-a zi calendaristică </w:t>
            </w:r>
            <w:r>
              <w:rPr>
                <w:b/>
                <w:i/>
                <w:strike w:val="0"/>
                <w:color w:val="auto"/>
                <w:highlight w:val="none"/>
                <w:u w:val="none" w:color="auto"/>
                <w:vertAlign w:val="baseline"/>
              </w:rPr>
              <w:t>a punerii</w:t>
            </w:r>
            <w:r>
              <w:t xml:space="preserve"> în funcțiune </w:t>
            </w:r>
            <w:r>
              <w:rPr>
                <w:b/>
                <w:i/>
                <w:strike w:val="0"/>
                <w:color w:val="auto"/>
                <w:highlight w:val="none"/>
                <w:u w:val="none" w:color="auto"/>
                <w:vertAlign w:val="baseline"/>
              </w:rPr>
              <w:t>treptate</w:t>
            </w:r>
            <w:r>
              <w:t xml:space="preserve"> a EES, statele membre utilizează EES cu funcționalități biometrice la toate punctele lor de trecere a frontierei și continuă să înregistreze în EES cel puțin 50 % din numărul estimat de treceri ale frontierei în statul membru respectiv.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4 – alineatul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Cel târziu în a 170-a zi calendaristică </w:t>
            </w:r>
            <w:r>
              <w:rPr>
                <w:b/>
                <w:i/>
                <w:strike w:val="0"/>
                <w:color w:val="auto"/>
                <w:highlight w:val="none"/>
                <w:u w:val="none" w:color="auto"/>
                <w:vertAlign w:val="baseline"/>
              </w:rPr>
              <w:t>după punerea</w:t>
            </w:r>
            <w:r>
              <w:t xml:space="preserve"> în funcțiune </w:t>
            </w:r>
            <w:r>
              <w:rPr>
                <w:b/>
                <w:i/>
                <w:strike w:val="0"/>
                <w:color w:val="auto"/>
                <w:highlight w:val="none"/>
                <w:u w:val="none" w:color="auto"/>
                <w:vertAlign w:val="baseline"/>
              </w:rPr>
              <w:t>treptată</w:t>
            </w:r>
            <w:r>
              <w:t xml:space="preserve"> a EES, statele membre utilizează EES cu funcționalități biometrice la toate punctele lor de trecere a frontierei și îi înregistrează în EES pe toți resortisanții țărilor terțe menționați la articolul 2 alineatele (1) și (2) din Regulamentul (UE) 2017/2226.</w:t>
            </w:r>
          </w:p>
        </w:tc>
        <w:tc>
          <w:tcPr>
            <w:tcW w:w="4876" w:type="dxa"/>
            <w:vAlign w:val="top"/>
          </w:tcPr>
          <w:p>
            <w:pPr>
              <w:pStyle w:val="Normal6a"/>
            </w:pPr>
            <w:r>
              <w:t>5.</w:t>
            </w:r>
            <w:r>
              <w:tab/>
            </w:r>
            <w:r>
              <w:t xml:space="preserve">Cel târziu în a 170-a zi calendaristică </w:t>
            </w:r>
            <w:r>
              <w:rPr>
                <w:b/>
                <w:i/>
                <w:strike w:val="0"/>
                <w:color w:val="auto"/>
                <w:highlight w:val="none"/>
                <w:u w:val="none" w:color="auto"/>
                <w:vertAlign w:val="baseline"/>
              </w:rPr>
              <w:t>a punerii</w:t>
            </w:r>
            <w:r>
              <w:t xml:space="preserve"> în funcțiune </w:t>
            </w:r>
            <w:r>
              <w:rPr>
                <w:b/>
                <w:i/>
                <w:strike w:val="0"/>
                <w:color w:val="auto"/>
                <w:highlight w:val="none"/>
                <w:u w:val="none" w:color="auto"/>
                <w:vertAlign w:val="baseline"/>
              </w:rPr>
              <w:t>treptate</w:t>
            </w:r>
            <w:r>
              <w:t xml:space="preserve"> a EES, statele membre utilizează EES cu funcționalități biometrice la toate punctele lor de trecere a frontierei și îi înregistrează în EES pe toți resortisanții țărilor terțe menționați la articolul 2 alineatele (1) și (2) din Regulamentul (UE)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5 – alineatul 4 – paragraful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Această prezumție nu se aplică </w:t>
            </w:r>
            <w:r>
              <w:rPr>
                <w:b/>
                <w:i/>
                <w:strike w:val="0"/>
                <w:color w:val="auto"/>
                <w:highlight w:val="none"/>
                <w:u w:val="none" w:color="auto"/>
                <w:vertAlign w:val="baseline"/>
              </w:rPr>
              <w:t>resortisanților țărilor</w:t>
            </w:r>
            <w:r>
              <w:t xml:space="preserve"> terțe care </w:t>
            </w:r>
            <w:r>
              <w:rPr>
                <w:b/>
                <w:i/>
                <w:strike w:val="0"/>
                <w:color w:val="auto"/>
                <w:highlight w:val="none"/>
                <w:u w:val="none" w:color="auto"/>
                <w:vertAlign w:val="baseline"/>
              </w:rPr>
              <w:t>pot furniza</w:t>
            </w:r>
            <w:r>
              <w:t xml:space="preserve">, prin orice </w:t>
            </w:r>
            <w:r>
              <w:rPr>
                <w:b/>
                <w:i/>
                <w:strike w:val="0"/>
                <w:color w:val="auto"/>
                <w:highlight w:val="none"/>
                <w:u w:val="none" w:color="auto"/>
                <w:vertAlign w:val="baseline"/>
              </w:rPr>
              <w:t>mijloace</w:t>
            </w:r>
            <w:r>
              <w:t xml:space="preserve">, </w:t>
            </w:r>
            <w:r>
              <w:rPr>
                <w:b/>
                <w:i/>
                <w:strike w:val="0"/>
                <w:color w:val="auto"/>
                <w:highlight w:val="none"/>
                <w:u w:val="none" w:color="auto"/>
                <w:vertAlign w:val="baseline"/>
              </w:rPr>
              <w:t>dovezi</w:t>
            </w:r>
            <w:r>
              <w:t xml:space="preserve"> credibile că beneficiază de dreptul la liberă circulație în temeiul dreptului Uniunii</w:t>
            </w:r>
            <w:r>
              <w:rPr>
                <w:b/>
                <w:i/>
                <w:strike w:val="0"/>
                <w:color w:val="auto"/>
                <w:highlight w:val="none"/>
                <w:u w:val="none" w:color="auto"/>
                <w:vertAlign w:val="baseline"/>
              </w:rPr>
              <w:t xml:space="preserve">, </w:t>
            </w:r>
            <w:r>
              <w:rPr>
                <w:b/>
                <w:i/>
                <w:strike w:val="0"/>
                <w:color w:val="auto"/>
                <w:highlight w:val="none"/>
                <w:u w:val="none" w:color="auto"/>
                <w:vertAlign w:val="baseline"/>
              </w:rPr>
              <w:t>că au drept de ședere într-un stat membru gazdă în temeiul Acordului de retragere dintre UE și Regatul Unit</w:t>
            </w:r>
            <w:r>
              <w:t xml:space="preserve"> sau că </w:t>
            </w:r>
            <w:r>
              <w:rPr>
                <w:b/>
                <w:i/>
                <w:strike w:val="0"/>
                <w:color w:val="auto"/>
                <w:highlight w:val="none"/>
                <w:u w:val="none" w:color="auto"/>
                <w:vertAlign w:val="baseline"/>
              </w:rPr>
              <w:t>dețin</w:t>
            </w:r>
            <w:r>
              <w:t xml:space="preserve"> un permis de ședere </w:t>
            </w:r>
            <w:r>
              <w:rPr>
                <w:b/>
                <w:i/>
                <w:strike w:val="0"/>
                <w:color w:val="auto"/>
                <w:highlight w:val="none"/>
                <w:u w:val="none" w:color="auto"/>
                <w:vertAlign w:val="baseline"/>
              </w:rPr>
              <w:t>sau</w:t>
            </w:r>
            <w:r>
              <w:t xml:space="preserve"> o viză de lungă ședere.</w:t>
            </w:r>
          </w:p>
        </w:tc>
        <w:tc>
          <w:tcPr>
            <w:tcW w:w="4876" w:type="dxa"/>
            <w:vAlign w:val="top"/>
          </w:tcPr>
          <w:p>
            <w:pPr>
              <w:pStyle w:val="Normal6a"/>
            </w:pPr>
            <w:r>
              <w:t xml:space="preserve">Această prezumție nu se aplică </w:t>
            </w:r>
            <w:r>
              <w:rPr>
                <w:b/>
                <w:i/>
                <w:strike w:val="0"/>
                <w:color w:val="auto"/>
                <w:highlight w:val="none"/>
                <w:u w:val="none" w:color="auto"/>
                <w:vertAlign w:val="baseline"/>
              </w:rPr>
              <w:t>în cazul unui resortisant al unei țări</w:t>
            </w:r>
            <w:r>
              <w:t xml:space="preserve"> terțe care </w:t>
            </w:r>
            <w:r>
              <w:rPr>
                <w:b/>
                <w:i/>
                <w:strike w:val="0"/>
                <w:color w:val="auto"/>
                <w:highlight w:val="none"/>
                <w:u w:val="none" w:color="auto"/>
                <w:vertAlign w:val="baseline"/>
              </w:rPr>
              <w:t>poate să furnizeze</w:t>
            </w:r>
            <w:r>
              <w:t xml:space="preserve">, prin orice </w:t>
            </w:r>
            <w:r>
              <w:rPr>
                <w:b/>
                <w:i/>
                <w:strike w:val="0"/>
                <w:color w:val="auto"/>
                <w:highlight w:val="none"/>
                <w:u w:val="none" w:color="auto"/>
                <w:vertAlign w:val="baseline"/>
              </w:rPr>
              <w:t>mijloc</w:t>
            </w:r>
            <w:r>
              <w:t xml:space="preserve">, </w:t>
            </w:r>
            <w:r>
              <w:rPr>
                <w:b/>
                <w:i/>
                <w:strike w:val="0"/>
                <w:color w:val="auto"/>
                <w:highlight w:val="none"/>
                <w:u w:val="none" w:color="auto"/>
                <w:vertAlign w:val="baseline"/>
              </w:rPr>
              <w:t>elemente de probă</w:t>
            </w:r>
            <w:r>
              <w:t xml:space="preserve"> credibile </w:t>
            </w:r>
            <w:r>
              <w:rPr>
                <w:b/>
                <w:i/>
                <w:strike w:val="0"/>
                <w:color w:val="auto"/>
                <w:highlight w:val="none"/>
                <w:u w:val="none" w:color="auto"/>
                <w:vertAlign w:val="baseline"/>
              </w:rPr>
              <w:t>confirmând faptul</w:t>
            </w:r>
            <w:r>
              <w:t xml:space="preserve"> că beneficiază de dreptul la liberă circulație în temeiul dreptului Uniunii sau că </w:t>
            </w:r>
            <w:r>
              <w:rPr>
                <w:b/>
                <w:i/>
                <w:strike w:val="0"/>
                <w:color w:val="auto"/>
                <w:highlight w:val="none"/>
                <w:u w:val="none" w:color="auto"/>
                <w:vertAlign w:val="baseline"/>
              </w:rPr>
              <w:t>deține</w:t>
            </w:r>
            <w:r>
              <w:t xml:space="preserve"> un permis de ședere </w:t>
            </w:r>
            <w:r>
              <w:rPr>
                <w:b/>
                <w:i/>
                <w:strike w:val="0"/>
                <w:color w:val="auto"/>
                <w:highlight w:val="none"/>
                <w:u w:val="none" w:color="auto"/>
                <w:vertAlign w:val="baseline"/>
              </w:rPr>
              <w:t>ori</w:t>
            </w:r>
            <w:r>
              <w:t xml:space="preserve"> o viză de lungă ședere.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7 – alineatul 1 – paragraful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În ambele cazuri, statele membre </w:t>
            </w:r>
            <w:r>
              <w:rPr>
                <w:b/>
                <w:i/>
                <w:strike w:val="0"/>
                <w:color w:val="auto"/>
                <w:highlight w:val="none"/>
                <w:u w:val="none" w:color="auto"/>
                <w:vertAlign w:val="baseline"/>
              </w:rPr>
              <w:t>notifică</w:t>
            </w:r>
            <w:r>
              <w:t xml:space="preserve"> prompt </w:t>
            </w:r>
            <w:r>
              <w:rPr>
                <w:b/>
                <w:i/>
                <w:strike w:val="0"/>
                <w:color w:val="auto"/>
                <w:highlight w:val="none"/>
                <w:u w:val="none" w:color="auto"/>
                <w:vertAlign w:val="baseline"/>
              </w:rPr>
              <w:t>Comisiei</w:t>
            </w:r>
            <w:r>
              <w:t xml:space="preserve"> și </w:t>
            </w:r>
            <w:r>
              <w:rPr>
                <w:b/>
                <w:i/>
                <w:strike w:val="0"/>
                <w:color w:val="auto"/>
                <w:highlight w:val="none"/>
                <w:u w:val="none" w:color="auto"/>
                <w:vertAlign w:val="baseline"/>
              </w:rPr>
              <w:t>eu-LISA,</w:t>
            </w:r>
            <w:r>
              <w:t xml:space="preserve"> în termen de cel mult 6 ore de la începerea suspendării, motivul suspendării parțiale sau totale și durata preconizată a acesteia </w:t>
            </w:r>
            <w:r>
              <w:rPr>
                <w:b/>
                <w:i/>
                <w:strike w:val="0"/>
                <w:color w:val="auto"/>
                <w:highlight w:val="none"/>
                <w:u w:val="none" w:color="auto"/>
                <w:vertAlign w:val="baseline"/>
              </w:rPr>
              <w:t>și se asigură că operatorii de infrastructură care găzduiesc puncte de trecere a frontierei</w:t>
            </w:r>
            <w:r>
              <w:t xml:space="preserve"> și </w:t>
            </w:r>
            <w:r>
              <w:rPr>
                <w:b/>
                <w:i/>
                <w:strike w:val="0"/>
                <w:color w:val="auto"/>
                <w:highlight w:val="none"/>
                <w:u w:val="none" w:color="auto"/>
                <w:vertAlign w:val="baseline"/>
              </w:rPr>
              <w:t>operatorii de transport sunt informați în mod corespunzător cu privire la o astfel</w:t>
            </w:r>
            <w:r>
              <w:t xml:space="preserve"> de </w:t>
            </w:r>
            <w:r>
              <w:rPr>
                <w:b/>
                <w:i/>
                <w:strike w:val="0"/>
                <w:color w:val="auto"/>
                <w:highlight w:val="none"/>
                <w:u w:val="none" w:color="auto"/>
                <w:vertAlign w:val="baseline"/>
              </w:rPr>
              <w:t>suspendare</w:t>
            </w:r>
            <w:r>
              <w:rPr>
                <w:b/>
                <w:i/>
                <w:strike w:val="0"/>
                <w:color w:val="auto"/>
                <w:highlight w:val="none"/>
                <w:u w:val="none" w:color="auto"/>
                <w:vertAlign w:val="baseline"/>
              </w:rPr>
              <w:t>.</w:t>
            </w:r>
            <w:r>
              <w:t xml:space="preserve"> </w:t>
            </w:r>
            <w:r>
              <w:rPr>
                <w:b/>
                <w:i/>
                <w:strike w:val="0"/>
                <w:color w:val="auto"/>
                <w:highlight w:val="none"/>
                <w:u w:val="none" w:color="auto"/>
                <w:vertAlign w:val="baseline"/>
              </w:rPr>
              <w:t>Odată ce circumstanțele excepționale</w:t>
            </w:r>
            <w:r>
              <w:t xml:space="preserve"> care </w:t>
            </w:r>
            <w:r>
              <w:rPr>
                <w:b/>
                <w:i/>
                <w:strike w:val="0"/>
                <w:color w:val="auto"/>
                <w:highlight w:val="none"/>
                <w:u w:val="none" w:color="auto"/>
                <w:vertAlign w:val="baseline"/>
              </w:rPr>
              <w:t>au condus la suspendare încetează, statele membre înștiințează prompt Comisia</w:t>
            </w:r>
            <w:r>
              <w:t xml:space="preserve"> </w:t>
            </w:r>
            <w:r>
              <w:t xml:space="preserve">și </w:t>
            </w:r>
            <w:r>
              <w:rPr>
                <w:b/>
                <w:i/>
                <w:strike w:val="0"/>
                <w:color w:val="auto"/>
                <w:highlight w:val="none"/>
                <w:u w:val="none" w:color="auto"/>
                <w:vertAlign w:val="baseline"/>
              </w:rPr>
              <w:t>eu-LISA</w:t>
            </w:r>
            <w:r>
              <w:t>.</w:t>
            </w:r>
          </w:p>
        </w:tc>
        <w:tc>
          <w:tcPr>
            <w:tcW w:w="4876" w:type="dxa"/>
            <w:vAlign w:val="top"/>
          </w:tcPr>
          <w:p>
            <w:pPr>
              <w:pStyle w:val="Normal6a"/>
            </w:pPr>
            <w:r>
              <w:t xml:space="preserve">În ambele cazuri, statele membre </w:t>
            </w:r>
            <w:r>
              <w:rPr>
                <w:b/>
                <w:i/>
                <w:strike w:val="0"/>
                <w:color w:val="auto"/>
                <w:highlight w:val="none"/>
                <w:u w:val="none" w:color="auto"/>
                <w:vertAlign w:val="baseline"/>
              </w:rPr>
              <w:t>îi informează</w:t>
            </w:r>
            <w:r>
              <w:t xml:space="preserve"> prompt </w:t>
            </w:r>
            <w:r>
              <w:rPr>
                <w:b/>
                <w:i/>
                <w:strike w:val="0"/>
                <w:color w:val="auto"/>
                <w:highlight w:val="none"/>
                <w:u w:val="none" w:color="auto"/>
                <w:vertAlign w:val="baseline"/>
              </w:rPr>
              <w:t>pe operatorii de infrastructură care găzduiesc punctele de trecere a frontierei și transportatorii</w:t>
            </w:r>
            <w:r>
              <w:rPr>
                <w:b/>
                <w:i/>
                <w:strike w:val="0"/>
                <w:color w:val="auto"/>
                <w:highlight w:val="none"/>
                <w:u w:val="none" w:color="auto"/>
                <w:vertAlign w:val="baseline"/>
              </w:rPr>
              <w:t>.</w:t>
            </w:r>
            <w:r>
              <w:t xml:space="preserve"> În termen de cel mult 6 </w:t>
            </w:r>
            <w:r>
              <w:rPr>
                <w:b/>
                <w:i/>
                <w:strike w:val="0"/>
                <w:color w:val="auto"/>
                <w:highlight w:val="none"/>
                <w:u w:val="none" w:color="auto"/>
                <w:vertAlign w:val="baseline"/>
              </w:rPr>
              <w:t>de</w:t>
            </w:r>
            <w:r>
              <w:t xml:space="preserve"> ore de la începerea suspendării</w:t>
            </w:r>
            <w:r>
              <w:t xml:space="preserve">, </w:t>
            </w:r>
            <w:r>
              <w:rPr>
                <w:b/>
                <w:i/>
                <w:strike w:val="0"/>
                <w:color w:val="auto"/>
                <w:highlight w:val="none"/>
                <w:u w:val="none" w:color="auto"/>
                <w:vertAlign w:val="baseline"/>
              </w:rPr>
              <w:t>statele membre</w:t>
            </w:r>
            <w:r>
              <w:rPr>
                <w:b/>
                <w:i/>
                <w:strike w:val="0"/>
                <w:color w:val="auto"/>
                <w:highlight w:val="none"/>
                <w:u w:val="none" w:color="auto"/>
                <w:vertAlign w:val="baseline"/>
              </w:rPr>
              <w:t xml:space="preserve"> notifică Comisiei și eu-LISA</w:t>
            </w:r>
            <w:r>
              <w:t xml:space="preserve"> motivul suspendării parțiale sau totale și durata preconizată a acesteia</w:t>
            </w:r>
            <w:r>
              <w:rPr>
                <w:b/>
                <w:i/>
                <w:strike w:val="0"/>
                <w:color w:val="auto"/>
                <w:highlight w:val="none"/>
                <w:u w:val="none" w:color="auto"/>
                <w:vertAlign w:val="baseline"/>
              </w:rPr>
              <w:t>.</w:t>
            </w:r>
            <w:r>
              <w:t xml:space="preserve"> </w:t>
            </w:r>
            <w:r>
              <w:rPr>
                <w:b/>
                <w:i/>
                <w:strike w:val="0"/>
                <w:color w:val="auto"/>
                <w:highlight w:val="none"/>
                <w:u w:val="none" w:color="auto"/>
                <w:vertAlign w:val="baseline"/>
              </w:rPr>
              <w:t xml:space="preserve">Odată ce circumstanțele excepționale care au condus la suspendare încetează, statele membre </w:t>
            </w:r>
            <w:r>
              <w:rPr>
                <w:b/>
                <w:i/>
                <w:strike w:val="0"/>
                <w:color w:val="auto"/>
                <w:highlight w:val="none"/>
                <w:u w:val="none" w:color="auto"/>
                <w:vertAlign w:val="baseline"/>
              </w:rPr>
              <w:t>pun capăt suspendării</w:t>
            </w:r>
            <w:r>
              <w:t xml:space="preserve"> și</w:t>
            </w:r>
            <w:r>
              <w:t xml:space="preserve"> </w:t>
            </w:r>
            <w:r>
              <w:rPr>
                <w:b/>
                <w:i/>
                <w:strike w:val="0"/>
                <w:color w:val="auto"/>
                <w:highlight w:val="none"/>
                <w:u w:val="none" w:color="auto"/>
                <w:vertAlign w:val="baseline"/>
              </w:rPr>
              <w:t>înștiințează prompt Comisia</w:t>
            </w:r>
            <w:r>
              <w:rPr>
                <w:b/>
                <w:i/>
                <w:strike w:val="0"/>
                <w:color w:val="auto"/>
                <w:highlight w:val="none"/>
                <w:u w:val="none" w:color="auto"/>
                <w:vertAlign w:val="baseline"/>
              </w:rPr>
              <w:t>, eu-LISA și operatorii</w:t>
            </w:r>
            <w:r>
              <w:t xml:space="preserve"> de </w:t>
            </w:r>
            <w:r>
              <w:rPr>
                <w:b/>
                <w:i/>
                <w:strike w:val="0"/>
                <w:color w:val="auto"/>
                <w:highlight w:val="none"/>
                <w:u w:val="none" w:color="auto"/>
                <w:vertAlign w:val="baseline"/>
              </w:rPr>
              <w:t>infrastructură</w:t>
            </w:r>
            <w:r>
              <w:t xml:space="preserve"> care </w:t>
            </w:r>
            <w:r>
              <w:rPr>
                <w:b/>
                <w:i/>
                <w:strike w:val="0"/>
                <w:color w:val="auto"/>
                <w:highlight w:val="none"/>
                <w:u w:val="none" w:color="auto"/>
                <w:vertAlign w:val="baseline"/>
              </w:rPr>
              <w:t>găzduiesc punctele de trecere a frontierei</w:t>
            </w:r>
            <w:r>
              <w:t xml:space="preserve"> și </w:t>
            </w:r>
            <w:r>
              <w:rPr>
                <w:b/>
                <w:i/>
                <w:strike w:val="0"/>
                <w:color w:val="auto"/>
                <w:highlight w:val="none"/>
                <w:u w:val="none" w:color="auto"/>
                <w:vertAlign w:val="baseline"/>
              </w:rPr>
              <w:t>transportatorii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7 – alineatul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În cazul în care mai puțin de 80 % din dosarele individuale înregistrate în EES pe parcursul punerii în funcțiune treptate a EES conțin date biometrice, perioada prevăzută la alineatul (2) de la prezentul articol se prelungește automat cu 60 de zile calendaristice.</w:t>
            </w:r>
          </w:p>
        </w:tc>
        <w:tc>
          <w:tcPr>
            <w:tcW w:w="4876" w:type="dxa"/>
            <w:vAlign w:val="top"/>
          </w:tcPr>
          <w:p>
            <w:pPr>
              <w:pStyle w:val="Normal6a"/>
            </w:pPr>
            <w:r>
              <w:rPr>
                <w:b/>
                <w:i/>
                <w:strike w:val="0"/>
                <w:color w:val="auto"/>
                <w:highlight w:val="none"/>
                <w:u w:val="none" w:color="auto"/>
                <w:vertAlign w:val="baseline"/>
              </w:rPr>
              <w:t>eliminat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7 – alineatul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Cel târziu până în a 10-a zi calendaristică după încheierea punerii în funcțiune treptate a EES, eu-LISA furnizează Comisiei statistici care să permită să se verifice dacă acest procent a fost atins. Cel târziu până în a 30-a zi calendaristică de la încheierea punerii în funcțiune treptate a EES, Comisia informează statele membre cu privire la rezultatul verificării sale.</w:t>
            </w:r>
          </w:p>
        </w:tc>
        <w:tc>
          <w:tcPr>
            <w:tcW w:w="4876" w:type="dxa"/>
            <w:vAlign w:val="top"/>
          </w:tcPr>
          <w:p>
            <w:pPr>
              <w:pStyle w:val="Normal6a"/>
            </w:pPr>
            <w:r>
              <w:rPr>
                <w:b/>
                <w:i/>
                <w:strike w:val="0"/>
                <w:color w:val="auto"/>
                <w:highlight w:val="none"/>
                <w:u w:val="none" w:color="auto"/>
                <w:vertAlign w:val="baseline"/>
              </w:rPr>
              <w:t>eliminat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Amendamentul</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Propunere de regulament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Articolul 8 – alineatul 2 – paragraful 1 – litera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Textul propus de Comisie</w:t>
            </w:r>
          </w:p>
        </w:tc>
        <w:tc>
          <w:tcPr>
            <w:tcW w:w="4876" w:type="dxa"/>
            <w:vAlign w:val="top"/>
          </w:tcPr>
          <w:p>
            <w:pPr>
              <w:pStyle w:val="AmColumnHeading"/>
            </w:pPr>
            <w:r>
              <w:t>Amendamentul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articolul 7 </w:t>
            </w:r>
            <w:r>
              <w:rPr>
                <w:b/>
                <w:i/>
                <w:strike w:val="0"/>
                <w:color w:val="auto"/>
                <w:highlight w:val="none"/>
                <w:u w:val="none" w:color="auto"/>
                <w:vertAlign w:val="baseline"/>
              </w:rPr>
              <w:t>alineatele</w:t>
            </w:r>
            <w:r>
              <w:t xml:space="preserve"> (2) </w:t>
            </w:r>
            <w:r>
              <w:rPr>
                <w:b/>
                <w:i/>
                <w:strike w:val="0"/>
                <w:color w:val="auto"/>
                <w:highlight w:val="none"/>
                <w:u w:val="none" w:color="auto"/>
                <w:vertAlign w:val="baseline"/>
              </w:rPr>
              <w:t>și (3)</w:t>
            </w:r>
            <w:r>
              <w:t xml:space="preserve"> încetează să se aplice după </w:t>
            </w:r>
            <w:r>
              <w:rPr>
                <w:b/>
                <w:i/>
                <w:strike w:val="0"/>
                <w:color w:val="auto"/>
                <w:highlight w:val="none"/>
                <w:u w:val="none" w:color="auto"/>
                <w:vertAlign w:val="baseline"/>
              </w:rPr>
              <w:t>300</w:t>
            </w:r>
            <w:r>
              <w:rPr>
                <w:b/>
                <w:i/>
                <w:strike w:val="0"/>
                <w:color w:val="auto"/>
                <w:highlight w:val="none"/>
                <w:u w:val="none" w:color="auto"/>
                <w:vertAlign w:val="baseline"/>
              </w:rPr>
              <w:t xml:space="preserve"> de</w:t>
            </w:r>
            <w:r>
              <w:t xml:space="preserve"> zile calendaristice de la data stabilită de Comisie în conformitate cu articolul 66 alineatul (1) din Regulamentul (UE) 2017/2226</w:t>
            </w:r>
            <w:r>
              <w:rPr>
                <w:b/>
                <w:i/>
                <w:strike w:val="0"/>
                <w:color w:val="auto"/>
                <w:highlight w:val="none"/>
                <w:u w:val="none" w:color="auto"/>
                <w:vertAlign w:val="baseline"/>
              </w:rPr>
              <w:t>;</w:t>
            </w:r>
          </w:p>
        </w:tc>
        <w:tc>
          <w:tcPr>
            <w:tcW w:w="4876" w:type="dxa"/>
            <w:vAlign w:val="top"/>
          </w:tcPr>
          <w:p>
            <w:pPr>
              <w:pStyle w:val="Normal6a"/>
            </w:pPr>
            <w:r>
              <w:t>(d)</w:t>
            </w:r>
            <w:r>
              <w:tab/>
            </w:r>
            <w:r>
              <w:t xml:space="preserve">articolul 7 </w:t>
            </w:r>
            <w:r>
              <w:rPr>
                <w:b/>
                <w:i/>
                <w:strike w:val="0"/>
                <w:color w:val="auto"/>
                <w:highlight w:val="none"/>
                <w:u w:val="none" w:color="auto"/>
                <w:vertAlign w:val="baseline"/>
              </w:rPr>
              <w:t>alineatul</w:t>
            </w:r>
            <w:r>
              <w:t xml:space="preserve"> (2) încetează să se aplice după </w:t>
            </w:r>
            <w:r>
              <w:rPr>
                <w:b/>
                <w:i/>
                <w:strike w:val="0"/>
                <w:color w:val="auto"/>
                <w:highlight w:val="none"/>
                <w:u w:val="none" w:color="auto"/>
                <w:vertAlign w:val="baseline"/>
              </w:rPr>
              <w:t>240 de</w:t>
            </w:r>
            <w:r>
              <w:t xml:space="preserve"> zile calendaristice de la data stabilită de Comisie în conformitate cu articolul 66 alineatul (1) din Regulamentul (UE) 2017/2226</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EXPUNERE DE MOTIVE</w:t>
      </w:r>
      <w:bookmarkEnd w:id="1"/>
    </w:p>
    <w:p>
      <w:pPr>
        <w:pStyle w:val="Normal12a"/>
      </w:pPr>
      <w:r>
        <w:rPr>
          <w:rStyle w:val="Bold"/>
        </w:rPr>
        <w:t>Introducere</w:t>
      </w:r>
    </w:p>
    <w:p>
      <w:pPr>
        <w:pStyle w:val="Normal12a"/>
      </w:pPr>
      <w:r>
        <w:t>Sistemul de intrare/ieșire (EES), prevăzut în Regulamentul 2017/2226 („Regulamentul EES”), este o componentă-cheie a gestionării frontierelor în spațiul Schengen. EES înregistrează intrările, ieșirile și refuzurile intrării resortisanților țărilor terțe care trec frontierele externe ale celor 29 de state membre ale spațiului Schengen pentru o ședere de scurtă durată în baza sa de date centralizată. Aceasta constituie o etapă importantă în eforturile UE de a crește securitatea și eficiența la frontierele sale externe. Pentru prima dată, un sistem va colecta date biometrice, și anume imagini faciale și amprente digitale, pe lângă date alfanumerice, ale resortisanților țărilor terțe care trec frontierele externe. EES va acorda statelor membre Schengen acces în timp real la datele cu caracter personal ale resortisanților țărilor terțe, la istoricul călătoriilor și la informații din care să reiasă dacă aceștia respectă perioada de scurtă ședere autorizată în spațiul Schengen. Prin urmare, EES ar trebui să reducă probabilitatea unor cazuri de fraudă de identitate și de depășire a duratei de ședere autorizate, întărind, în cele din urmă, securitatea spațiului Schengen. Ca urmare a instalării infrastructurii automate de frontieră, EES ar trebui, de asemenea, să reducă, în cele din urmă, timpul de așteptare pentru călătorii de bună credință la punctele de trecere a frontierei.</w:t>
      </w:r>
    </w:p>
    <w:p>
      <w:pPr>
        <w:pStyle w:val="Normal12a"/>
      </w:pPr>
      <w:r>
        <w:t>Dezvoltarea EES a durat mai mult decât se preconizase, iar datele-țintă pentru începerea operațiunilor nu au fost respectate. Una dintre cerințele pentru începerea funcționării EES este primirea de către Comisie a unei „notificări privind gradul de pregătire” din partea fiecărui stat membru. În prezent, trei state membre au indicat că nu sunt în măsură să transmită o astfel de notificare. Întârzierea acestora se datorează unei combinații de probleme interne și preocupări cu privire la stabilitatea sistemului central gestionat de eu-LISA.</w:t>
      </w:r>
    </w:p>
    <w:p>
      <w:pPr>
        <w:pStyle w:val="Normal12a"/>
      </w:pPr>
      <w:r>
        <w:t>Având în vedere cele de mai sus, diferite părți interesate implicate în funcționarea EES au considerat că introducerea convenită de noi procese la frontierele externe ar trebui să fie precedată de o perioadă de adaptare pentru autoritățile naționale și pentru călători. Lansarea deplină a unui nou sistem informatic la scară largă la toate punctele de trecere a frontierei ar putea prezenta riscuri pentru siguranța și fluiditatea călătoriilor.</w:t>
      </w:r>
    </w:p>
    <w:p>
      <w:pPr>
        <w:pStyle w:val="Normal12a"/>
      </w:pPr>
      <w:r>
        <w:t>Cu toate acestea, Regulamentul privind EES permite numai o punere în funcțiune completă a sistemului, impunând tuturor statelor membre să înceapă să utilizeze EES în mod integral și simultan pentru toți călătorii care fac obiectul înregistrării în EES la toate punctele de trecere a frontierelor externe. Acesta nu prevede posibilitatea unei perioade de adaptare.</w:t>
      </w:r>
    </w:p>
    <w:p>
      <w:pPr>
        <w:pStyle w:val="Normal12a"/>
      </w:pPr>
      <w:r>
        <w:t>În acest context, în decembrie 2024, Comisia a prezentat o propunere privind începerea progresivă a funcționării EES. Începerea treptată a sistemului ar însemna o utilizare sporită de către statele membre pe o perioadă de 180 de zile, până la implementarea completă.</w:t>
      </w:r>
    </w:p>
    <w:p>
      <w:pPr>
        <w:pStyle w:val="Normal12a"/>
      </w:pPr>
      <w:r>
        <w:rPr>
          <w:rStyle w:val="Bold"/>
        </w:rPr>
        <w:t>Poziția raportoarei</w:t>
      </w:r>
    </w:p>
    <w:p>
      <w:pPr>
        <w:pStyle w:val="Normal12a"/>
      </w:pPr>
      <w:r>
        <w:t>Raportoarea sprijină EES și obiectivele sale de îmbunătățire a securității și de facilitare a fluxurilor de persoane la frontierele externe ale UE. Necesitatea consolidării securității frontierelor a fost evidențiată de valul îngrozitor de atacuri teroriste din statele membre ale UE, inclusiv din Franța și Belgia, din 2015 și 2016. Deși înțelege dificultatea de a crea un nou sistem major care să cuprindă noi componente hardware și software, precum și modificarea procedurilor la punctele de trecere a frontierei, raportoarea regretă că, la opt ani de la adoptarea regulamentului, sistemul nu este încă operațional. Din 2017, amenințările la adresa securității nu s-au redus, dimpotrivă. Pentru a permite, în cele din urmă, implementarea completă a EES, raportoarea este, în principiu, de acord cu propunerea de începere progresivă a funcționării.</w:t>
      </w:r>
    </w:p>
    <w:p>
      <w:pPr>
        <w:pStyle w:val="Normal12a"/>
      </w:pPr>
      <w:r>
        <w:t>Raportoarea a propus următoarele modificări ale propunerii Comisiei:</w:t>
      </w:r>
    </w:p>
    <w:p>
      <w:pPr>
        <w:pStyle w:val="Normal12a"/>
      </w:pPr>
      <w:r>
        <w:t>1. Raportoarea subliniază că introducerea progresivă a EES în perioada de 180 de zile de la începerea progresivă a funcționării este voluntară. Statele membre care decid să înceapă să utilizeze integral EES pentru toți resortisanții țărilor terțe care fac obiectul înregistrării în EES din prima zi, la toate punctele lor de trecere a frontierei în mod simultan, ar trebui să poată face acest lucru.</w:t>
      </w:r>
    </w:p>
    <w:p>
      <w:pPr>
        <w:pStyle w:val="Normal12a"/>
      </w:pPr>
      <w:r>
        <w:t>2. Acestea fiind spuse, statelor membre care decid în schimb să utilizeze o introducere treptată a EES ar trebui să li se acorde mai multă flexibilitate decât se prevede în propunerea Comisiei. În loc să înceapă de la cel puțin 10 % din prima zi, statelor membre ar trebui să li se permită să acumuleze până la 10 % în primele 30 de zile de la începerea progresivă a operațiunilor. În loc să înregistreze cel puțin 50 % din numărul estimat de treceri ale frontierei în EES până în ziua 90, acestea ar trebui să ajungă la cel puțin 35 %. Aceste procente ajustate reflectă realitatea că introducerea noilor sisteme complexe este în mod normal exponențială, nu liniară.</w:t>
      </w:r>
    </w:p>
    <w:p>
      <w:pPr>
        <w:pStyle w:val="Normal12a"/>
      </w:pPr>
      <w:r>
        <w:t>3. Raportoarea subliniază că implementarea statelor membre nu ar mai trebui să fie împiedicată de limitări la nivelul componentei centrale a EES, gestionată de eu-LISA.</w:t>
      </w:r>
    </w:p>
    <w:p>
      <w:pPr>
        <w:pStyle w:val="Normal12a"/>
      </w:pPr>
      <w:r>
        <w:t>4. Raportoarea clarifică anumite dispoziții privind planul de implementare și cerințele de informare lunară, baza pe care se calculează procentele și fluxurile de informații în timpul oricărei posibile suspendări a utilizării sistemului.</w:t>
      </w:r>
    </w:p>
    <w:p>
      <w:pPr>
        <w:pStyle w:val="Normal12a"/>
      </w:pPr>
      <w:r>
        <w:t>5. Raportoarea reduce perioada propusă după începerea progresivă a operațiunilor, în cursul căreia statele membre pot suspenda parțial operarea EES și subliniază că statele membre care nu au emis încă declarații de pregătire trebuie să facă acest lucru de urgență pentru a permite sistemului să înceapă în toamna anului 2025 – o perioadă redusă pentru călătoriile transfrontaliere.</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23</w:t>
    </w:r>
    <w:r>
      <w:fldChar w:fldCharType="end"/>
    </w:r>
    <w:r>
      <w:tab/>
    </w:r>
    <w:r>
      <w:rPr>
        <w:rStyle w:val="HideTWBExt"/>
      </w:rPr>
      <w:t>&lt;</w:t>
    </w:r>
    <w:r>
      <w:rPr>
        <w:rStyle w:val="HideTWBExt"/>
      </w:rPr>
      <w:t>PathFdR</w:t>
    </w:r>
    <w:r>
      <w:rPr>
        <w:rStyle w:val="HideTWBExt"/>
      </w:rPr>
      <w:t>&gt;</w:t>
    </w:r>
    <w:r>
      <w:t>PR\1316296RO.docx</w:t>
    </w:r>
    <w:r>
      <w:rPr>
        <w:rStyle w:val="HideTWBExt"/>
      </w:rPr>
      <w:t>&lt;/</w:t>
    </w:r>
    <w:r>
      <w:rPr>
        <w:rStyle w:val="HideTWBExt"/>
      </w:rPr>
      <w:t>PathFdR</w:t>
    </w:r>
    <w:r>
      <w:rPr>
        <w:rStyle w:val="HideTWBExt"/>
      </w:rPr>
      <w:t>&gt;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PR\1316296RO.docx</w:t>
    </w:r>
    <w:r>
      <w:rPr>
        <w:rStyle w:val="HideTWBExt"/>
      </w:rPr>
      <w:t>&lt;/</w:t>
    </w:r>
    <w:r>
      <w:rPr>
        <w:rStyle w:val="HideTWBExt"/>
      </w:rPr>
      <w:t>PathFdR</w:t>
    </w:r>
    <w:r>
      <w:rPr>
        <w:rStyle w:val="HideTWBExt"/>
      </w:rPr>
      <w:t>&gt;</w:t>
    </w:r>
    <w:r>
      <w:tab/>
    </w:r>
    <w:r>
      <w:fldChar w:fldCharType="begin"/>
    </w:r>
    <w:r>
      <w:instrText>PAGE</w:instrText>
    </w:r>
    <w:r>
      <w:fldChar w:fldCharType="separate"/>
    </w:r>
    <w:r>
      <w:t>23</w:t>
    </w:r>
    <w:r>
      <w:fldChar w:fldCharType="end"/>
    </w:r>
    <w:r>
      <w:t>/</w:t>
    </w:r>
    <w:r>
      <w:fldChar w:fldCharType="begin"/>
    </w:r>
    <w:r>
      <w:instrText>NUMPAGES</w:instrText>
    </w:r>
    <w:r>
      <w:fldChar w:fldCharType="separate"/>
    </w:r>
    <w:r>
      <w:t>23</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PR\1316296RO.docx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RO</w:t>
    </w:r>
    <w:r>
      <w:tab/>
    </w:r>
    <w:r>
      <w:rPr>
        <w:rStyle w:val="EPFooter2Motto"/>
      </w:rPr>
      <w:t>Unită în diversitate</w:t>
    </w:r>
    <w:r>
      <w:tab/>
    </w:r>
    <w:r>
      <w:t>RO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20250318-162905-000354-114983</vt:lpwstr>
  </property>
  <property fmtid="{D5CDD505-2E9C-101B-9397-08002B2CF9AE}" pid="7" name="FooterPath">
    <vt:lpwstr>PR\1316296RO.doc</vt:lpwstr>
  </property>
  <property fmtid="{D5CDD505-2E9C-101B-9397-08002B2CF9AE}" pid="8" name="PE Number">
    <vt:lpwstr>770.093</vt:lpwstr>
  </property>
  <property fmtid="{D5CDD505-2E9C-101B-9397-08002B2CF9AE}" pid="9" name="UID">
    <vt:lpwstr>eu.europa.europarl-DIN1-2025-0000040829_01.05-ro-01.00_text-xml</vt:lpwstr>
  </property>
</Properties>
</file>