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Evropski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Odbor za državljanske svoboščine, pravosodje in notranje zadeve</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4.3.2025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OSNUTEK POROČILA</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 predlogu uredbe Evropskega parlamenta in Sveta o začasnem odstopanju od nekaterih določb Uredbe (EU) 2017/2226 in Uredbe (EU) 2016/399 glede postopnega začetka delovanja sistema vstopa/izstopa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Odbor za državljanske svoboščine, pravosodje in notranje zadeve</w:t>
      </w:r>
      <w:r>
        <w:rPr>
          <w:rStyle w:val="HideTWBExt"/>
        </w:rPr>
        <w:t>&lt;/</w:t>
      </w:r>
      <w:r>
        <w:rPr>
          <w:rStyle w:val="HideTWBExt"/>
        </w:rPr>
        <w:t>Commission</w:t>
      </w:r>
      <w:r>
        <w:rPr>
          <w:rStyle w:val="HideTWBExt"/>
        </w:rPr>
        <w:t>&gt;</w:t>
      </w:r>
    </w:p>
    <w:p>
      <w:pPr>
        <w:pStyle w:val="CoverNormal24a"/>
      </w:pPr>
      <w:r>
        <w:t>Poročevalka</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Oznake postopkov</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Postopek posvetovanja</w:t>
            </w:r>
          </w:p>
          <w:p>
            <w:pPr>
              <w:pStyle w:val="LegendSign"/>
            </w:pPr>
            <w:r>
              <w:tab/>
            </w:r>
            <w:r>
              <w:t>***</w:t>
            </w:r>
            <w:r>
              <w:tab/>
            </w:r>
            <w:r>
              <w:t>Postopek odobritve</w:t>
            </w:r>
          </w:p>
          <w:p>
            <w:pPr>
              <w:pStyle w:val="LegendSign"/>
            </w:pPr>
            <w:r>
              <w:tab/>
            </w:r>
            <w:r>
              <w:t>***I</w:t>
            </w:r>
            <w:r>
              <w:tab/>
            </w:r>
            <w:r>
              <w:t>Redni zakonodajni postopek (prva obravnava)</w:t>
            </w:r>
          </w:p>
          <w:p>
            <w:pPr>
              <w:pStyle w:val="LegendSign"/>
            </w:pPr>
            <w:r>
              <w:tab/>
            </w:r>
            <w:r>
              <w:t>***II</w:t>
            </w:r>
            <w:r>
              <w:tab/>
            </w:r>
            <w:r>
              <w:t>Redni zakonodajni postopek (druga obravnava)</w:t>
            </w:r>
          </w:p>
          <w:p>
            <w:pPr>
              <w:pStyle w:val="LegendSign"/>
            </w:pPr>
            <w:r>
              <w:tab/>
            </w:r>
            <w:r>
              <w:t>***III</w:t>
            </w:r>
            <w:r>
              <w:tab/>
            </w:r>
            <w:r>
              <w:t>Redni zakonodajni postopek (tretja obravnava)</w:t>
            </w:r>
          </w:p>
          <w:p>
            <w:pPr>
              <w:pStyle w:val="LegendSign"/>
            </w:pPr>
          </w:p>
          <w:p>
            <w:pPr>
              <w:pStyle w:val="LegendStandard"/>
            </w:pPr>
            <w:r>
              <w:t>(Vrsta postopka je odvisna od pravne podlage, ki je predlagana v osnutku akta.)</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Predlogi sprememb k osnutku akta</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Spremembe, ki jih predlaga Parlament, v dveh stolpcih</w:t>
            </w:r>
          </w:p>
          <w:p>
            <w:pPr>
              <w:pStyle w:val="LegendStandard"/>
            </w:pPr>
          </w:p>
          <w:p>
            <w:pPr>
              <w:pStyle w:val="LegendStandard"/>
            </w:pPr>
            <w:r>
              <w:t xml:space="preserve">Izbrisano besedilo je označeno s </w:t>
            </w:r>
            <w:r>
              <w:rPr>
                <w:rStyle w:val="BoldItalic"/>
              </w:rPr>
              <w:t>krepkim poševnim tiskom</w:t>
            </w:r>
            <w:r>
              <w:t xml:space="preserve"> v levem stolpcu, zamenjano besedilo s </w:t>
            </w:r>
            <w:r>
              <w:rPr>
                <w:rStyle w:val="BoldItalic"/>
              </w:rPr>
              <w:t>krepkim poševnim tiskom</w:t>
            </w:r>
            <w:r>
              <w:t xml:space="preserve"> v obeh stolpcih, novo besedilo pa s </w:t>
            </w:r>
            <w:r>
              <w:rPr>
                <w:rStyle w:val="BoldItalic"/>
              </w:rPr>
              <w:t>krepkim poševnim tiskom</w:t>
            </w:r>
            <w:r>
              <w:t xml:space="preserve"> v desnem stolpcu.</w:t>
            </w:r>
          </w:p>
          <w:p>
            <w:pPr>
              <w:pStyle w:val="LegendStandard"/>
            </w:pPr>
          </w:p>
          <w:p>
            <w:pPr>
              <w:pStyle w:val="LegendStandard"/>
            </w:pPr>
            <w:r>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pPr>
              <w:pStyle w:val="LegendStandard"/>
            </w:pPr>
          </w:p>
          <w:p>
            <w:pPr>
              <w:pStyle w:val="LegendStandard"/>
            </w:pPr>
            <w:r>
              <w:rPr>
                <w:rStyle w:val="Bold"/>
              </w:rPr>
              <w:t>Spremembe, ki jih predlaga Parlament, v obliki konsolidiranega besedila</w:t>
            </w:r>
          </w:p>
          <w:p>
            <w:pPr>
              <w:pStyle w:val="LegendStandard"/>
            </w:pPr>
          </w:p>
          <w:p>
            <w:pPr>
              <w:pStyle w:val="LegendStandard"/>
            </w:pPr>
            <w:r>
              <w:t xml:space="preserve">Novo besedilo je označeno s </w:t>
            </w:r>
            <w:r>
              <w:rPr>
                <w:rStyle w:val="BoldItalic"/>
              </w:rPr>
              <w:t>krepkim poševnim tiskom</w:t>
            </w:r>
            <w:r>
              <w:t xml:space="preserve">. Izbrisano besedilo je označeno s simbolom ▌ali prečrtano. Zamenjano besedilo je izbrisano ali prečrtano, besedilo, ki ga nadomešča, pa je označeno s </w:t>
            </w:r>
            <w:r>
              <w:rPr>
                <w:rStyle w:val="BoldItalic"/>
              </w:rPr>
              <w:t>krepkim poševnim tiskom</w:t>
            </w:r>
            <w:r>
              <w:t>.</w:t>
            </w:r>
            <w:r>
              <w:br/>
            </w:r>
            <w:r>
              <w:t>Izjema so spremembe izključno tehnične narave, ki so jih vnesle službe z namenom priprave končnega besedila in niso označene.</w:t>
            </w:r>
          </w:p>
          <w:p>
            <w:pPr>
              <w:pStyle w:val="LegendStandard"/>
            </w:pPr>
          </w:p>
        </w:tc>
      </w:tr>
    </w:tbl>
    <w:p/>
    <w:p/>
    <w:p>
      <w:pPr>
        <w:pStyle w:val="TOCHeading"/>
      </w:pPr>
      <w:r>
        <w:br w:type="page"/>
      </w:r>
      <w:r>
        <w:t>VSEBINA</w:t>
      </w:r>
    </w:p>
    <w:p>
      <w:pPr>
        <w:pStyle w:val="TOCPage"/>
      </w:pPr>
      <w:r>
        <w:t>Stran</w:t>
      </w:r>
    </w:p>
    <w:p>
      <w:pPr>
        <w:pStyle w:val="TOC1"/>
        <w:tabs>
          <w:tab w:val="right" w:leader="dot" w:pos="9062"/>
        </w:tabs>
        <w:rPr>
          <w:rFonts w:ascii="Calibri" w:hAnsi="Calibri"/>
          <w:noProof/>
          <w:sz w:val="22"/>
        </w:rPr>
      </w:pPr>
      <w:r>
        <w:fldChar w:fldCharType="begin"/>
      </w:r>
      <w:r>
        <w:instrText>TOC \t "PageHeading"</w:instrText>
      </w:r>
      <w:r>
        <w:fldChar w:fldCharType="separate"/>
      </w:r>
      <w:r>
        <w:t>OSNUTEK ZAKONODAJNE RESOLUCIJE EVROPSKEGA PARLAMENTA</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OBRAZLOŽITEV</w:t>
      </w:r>
      <w:r>
        <w:tab/>
      </w:r>
      <w:r>
        <w:fldChar w:fldCharType="begin"/>
      </w:r>
      <w:r>
        <w:instrText xml:space="preserve"> PAGEREF _Toc256000003 \h </w:instrText>
      </w:r>
      <w:r>
        <w:fldChar w:fldCharType="separate"/>
      </w:r>
      <w:r>
        <w:t>21</w:t>
      </w:r>
      <w:r>
        <w:fldChar w:fldCharType="end"/>
      </w:r>
    </w:p>
    <w:p>
      <w:pPr>
        <w:pStyle w:val="Normal12b"/>
      </w:pPr>
      <w:r>
        <w:fldChar w:fldCharType="end"/>
      </w:r>
    </w:p>
    <w:p>
      <w:pPr>
        <w:pStyle w:val="CoverNormalLeft"/>
      </w:pPr>
    </w:p>
    <w:p>
      <w:pPr>
        <w:pStyle w:val="PageHeading"/>
      </w:pPr>
      <w:r>
        <w:br w:type="page"/>
      </w:r>
      <w:r>
        <w:br w:type="page"/>
      </w:r>
      <w:bookmarkStart w:id="0" w:name="_Toc256000002"/>
      <w:r>
        <w:t>OSNUTEK ZAKONODAJNE RESOLUCIJE EVROPSKEGA PARLAMENTA</w:t>
      </w:r>
      <w:bookmarkEnd w:id="0"/>
    </w:p>
    <w:p>
      <w:pPr>
        <w:pStyle w:val="NormalBold"/>
      </w:pPr>
      <w:r>
        <w:t>o predlogu uredbe Evropskega parlamenta in Sveta o začasnem odstopanju od nekaterih določb Uredbe (EU) 2017/2226 in Uredbe (EU) 2016/399 glede postopnega začetka delovanja sistema vstopa/izstopa</w:t>
      </w:r>
    </w:p>
    <w:p>
      <w:pPr>
        <w:pStyle w:val="NormalBold12a"/>
      </w:pPr>
      <w:r>
        <w:t>(COM(2024)0567 – C10-0207/2024 – 2024/0315(COD))</w:t>
      </w:r>
    </w:p>
    <w:p>
      <w:pPr>
        <w:pStyle w:val="NormalBold12a"/>
      </w:pPr>
      <w:r>
        <w:t>(Redni zakonodajni postopek: prva obravnava)</w:t>
      </w:r>
    </w:p>
    <w:p>
      <w:pPr>
        <w:pStyle w:val="EPComma"/>
      </w:pPr>
      <w:r>
        <w:rPr>
          <w:rStyle w:val="Italic"/>
        </w:rPr>
        <w:t>Evropski parlament</w:t>
      </w:r>
      <w:r>
        <w:t>,</w:t>
      </w:r>
    </w:p>
    <w:p>
      <w:pPr>
        <w:pStyle w:val="NormalHanging12a"/>
      </w:pPr>
      <w:r>
        <w:t>–</w:t>
      </w:r>
      <w:r>
        <w:tab/>
      </w:r>
      <w:r>
        <w:t>ob upoštevanju predloga Komisije Evropskemu parlamentu in Svetu (COM(2024)0567),</w:t>
      </w:r>
    </w:p>
    <w:p>
      <w:pPr>
        <w:pStyle w:val="NormalHanging12a"/>
      </w:pPr>
      <w:r>
        <w:t>–</w:t>
      </w:r>
      <w:r>
        <w:tab/>
      </w:r>
      <w:r>
        <w:t>ob upoštevanju člena 294(2) in člena 77(2), točki (b) in (d), ter člena 87(2), točka (a) Pogodbe o delovanju Evropske unije, na podlagi katerih je Komisija Parlamentu podala predlog (C10-0207/2024),</w:t>
      </w:r>
    </w:p>
    <w:p>
      <w:pPr>
        <w:pStyle w:val="NormalHanging12a"/>
      </w:pPr>
      <w:r>
        <w:t>–</w:t>
      </w:r>
      <w:r>
        <w:tab/>
      </w:r>
      <w:r>
        <w:t>ob upoštevanju člena 294(3) Pogodbe o delovanju Evropske unije,</w:t>
      </w:r>
    </w:p>
    <w:p>
      <w:pPr>
        <w:pStyle w:val="NormalHanging12a"/>
      </w:pPr>
      <w:r>
        <w:t>–</w:t>
      </w:r>
      <w:r>
        <w:tab/>
      </w:r>
      <w:r>
        <w:t>ob upoštevanju člena 60 Poslovnika,</w:t>
      </w:r>
    </w:p>
    <w:p>
      <w:pPr>
        <w:pStyle w:val="NormalHanging12a"/>
      </w:pPr>
      <w:r>
        <w:t>–</w:t>
      </w:r>
      <w:r>
        <w:tab/>
      </w:r>
      <w:r>
        <w:t>ob upoštevanju poročila Odbora za državljanske svoboščine, pravosodje in notranje zadeve (A10-0000/2025),</w:t>
      </w:r>
    </w:p>
    <w:p>
      <w:pPr>
        <w:pStyle w:val="NormalHanging12a"/>
      </w:pPr>
      <w:r>
        <w:t>1.</w:t>
      </w:r>
      <w:r>
        <w:tab/>
      </w:r>
      <w:r>
        <w:t>sprejme stališče v prvi obravnavi, kakor je določeno v nadaljevanju;</w:t>
      </w:r>
    </w:p>
    <w:p>
      <w:pPr>
        <w:pStyle w:val="NormalHanging12a"/>
      </w:pPr>
      <w:r>
        <w:t>2.</w:t>
      </w:r>
      <w:r>
        <w:tab/>
      </w:r>
      <w:r>
        <w:t>poziva Komisijo, naj mu zadevo ponovno predloži, če svoj predlog nadomesti, ga bistveno spremeni ali ga namerava bistveno spremeniti;</w:t>
      </w:r>
    </w:p>
    <w:p>
      <w:pPr>
        <w:pStyle w:val="NormalHanging12a"/>
      </w:pPr>
      <w:r>
        <w:t>3.</w:t>
      </w:r>
      <w:r>
        <w:tab/>
      </w:r>
      <w:r>
        <w:t>naroči svoji predsednici, naj stališče Parlamenta posreduje Svetu in Komisiji ter nacionalnim parlamentom.</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Uredba (EU) 2017/2226 omogoča le začetek delovanja v celoti, za kar morajo vse države članice začeti SVI uporabljati v celoti za vse državljane tretjih držav, ki se evidentirajo v SVI, ter ga uporabljati sočasno na vseh svojih zunanjih mejnih prehodih.</w:t>
            </w:r>
          </w:p>
        </w:tc>
        <w:tc>
          <w:tcPr>
            <w:tcW w:w="4876" w:type="dxa"/>
            <w:vAlign w:val="top"/>
          </w:tcPr>
          <w:p>
            <w:pPr>
              <w:pStyle w:val="Normal6a"/>
            </w:pPr>
            <w:r>
              <w:t>(3)</w:t>
            </w:r>
            <w:r>
              <w:tab/>
            </w:r>
            <w:r>
              <w:t xml:space="preserve">Uredba (EU) 2017/2226 omogoča le začetek delovanja v celoti, za kar morajo vse države članice začeti SVI uporabljati v celoti za vse državljane tretjih držav, ki se evidentirajo v SVI, ter ga uporabljati sočasno na vseh svojih zunanjih mejnih prehodih. </w:t>
            </w:r>
            <w:r>
              <w:rPr>
                <w:b/>
                <w:i/>
                <w:strike w:val="0"/>
                <w:color w:val="auto"/>
                <w:highlight w:val="none"/>
                <w:u w:val="none" w:color="auto"/>
                <w:vertAlign w:val="baseline"/>
              </w:rPr>
              <w:t>Vendar popoln hkraten začetek delovanja vseh funkcij SVI na vseh mejnih prehodih pomeni dejavnik tveganja za odpornost SVI kot celote in za pretok potnikov na zunanjih mejah.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Da bi se državam članicam zagotovila potrebna prožnost pri začetku uporabe SVI </w:t>
            </w:r>
            <w:r>
              <w:rPr>
                <w:b/>
                <w:i/>
                <w:strike w:val="0"/>
                <w:color w:val="auto"/>
                <w:highlight w:val="none"/>
                <w:u w:val="none" w:color="auto"/>
                <w:vertAlign w:val="baseline"/>
              </w:rPr>
              <w:t>glede na njihovo stopnjo pripravljenosti</w:t>
            </w:r>
            <w:r>
              <w:t xml:space="preserve"> ter olajšale tehnične in operativne prilagoditve pri začetku uporabe </w:t>
            </w:r>
            <w:r>
              <w:rPr>
                <w:b/>
                <w:i/>
                <w:strike w:val="0"/>
                <w:color w:val="auto"/>
                <w:highlight w:val="none"/>
                <w:u w:val="none" w:color="auto"/>
                <w:vertAlign w:val="baseline"/>
              </w:rPr>
              <w:t>SVI</w:t>
            </w:r>
            <w:r>
              <w:t>, je treba določiti pravila za postopen začetek delovanja SVI. Da bi te prilagoditve odražale morebitne potovalne tokove in sezonske konice, bi moral tak postopen začetek trajati 180 koledarskih dni.</w:t>
            </w:r>
          </w:p>
        </w:tc>
        <w:tc>
          <w:tcPr>
            <w:tcW w:w="4876" w:type="dxa"/>
            <w:vAlign w:val="top"/>
          </w:tcPr>
          <w:p>
            <w:pPr>
              <w:pStyle w:val="Normal6a"/>
            </w:pPr>
            <w:r>
              <w:t>(4)</w:t>
            </w:r>
            <w:r>
              <w:tab/>
            </w:r>
            <w:r>
              <w:t xml:space="preserve">Da bi se državam članicam zagotovila potrebna prožnost pri začetku uporabe SVI ter olajšale tehnične in operativne prilagoditve pri začetku </w:t>
            </w:r>
            <w:r>
              <w:rPr>
                <w:b/>
                <w:i/>
                <w:strike w:val="0"/>
                <w:color w:val="auto"/>
                <w:highlight w:val="none"/>
                <w:u w:val="none" w:color="auto"/>
                <w:vertAlign w:val="baseline"/>
              </w:rPr>
              <w:t>njegove</w:t>
            </w:r>
            <w:r>
              <w:t xml:space="preserve"> uporabe, je treba določiti pravila za postopen začetek delovanja SVI</w:t>
            </w:r>
            <w:r>
              <w:rPr>
                <w:b/>
                <w:i/>
                <w:strike w:val="0"/>
                <w:color w:val="auto"/>
                <w:highlight w:val="none"/>
                <w:u w:val="none" w:color="auto"/>
                <w:vertAlign w:val="baseline"/>
              </w:rPr>
              <w:t>, med katerim bi morale imeti države članice možnost, da se odločijo za njegovo postopno uvedbo</w:t>
            </w:r>
            <w:r>
              <w:t>. Da bi te prilagoditve odražale morebitne potovalne tokove in sezonske konice, bi moral tak postopen začetek trajati 180 koledarskih dni.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Da se omogoči postopen začetek delovanja SVI, je </w:t>
            </w:r>
            <w:r>
              <w:rPr>
                <w:b/>
                <w:i/>
                <w:strike w:val="0"/>
                <w:color w:val="auto"/>
                <w:highlight w:val="none"/>
                <w:u w:val="none" w:color="auto"/>
                <w:vertAlign w:val="baseline"/>
              </w:rPr>
              <w:t>torej</w:t>
            </w:r>
            <w:r>
              <w:t xml:space="preserve"> treba odstopati od nekaterih določb Uredbe (EU) 2017/2226 in Uredbe (EU) 2016/399 Evropskega parlamenta in Sveta</w:t>
            </w:r>
            <w:r>
              <w:rPr>
                <w:rStyle w:val="Sup"/>
              </w:rPr>
              <w:t>3</w:t>
            </w:r>
            <w:r>
              <w:t xml:space="preserve"> (v nadaljnjem besedilu: zakonik o schengenskih mejah). Druga pravila iz Uredbe (EU) 2017/2226, na katera ta uredba ne vpliva, se uporabljajo, kot je določeno v navedeni uredbi. Zlasti za podatke, evidentirane v SVI med postopnim začetkom delovanja, se upoštevajo pravila iz Uredbe (EU) 2017/2226 ter se ti podatki štejejo za zanesljive in točne.</w:t>
            </w:r>
          </w:p>
        </w:tc>
        <w:tc>
          <w:tcPr>
            <w:tcW w:w="4876" w:type="dxa"/>
            <w:vAlign w:val="top"/>
          </w:tcPr>
          <w:p>
            <w:pPr>
              <w:pStyle w:val="Normal6a"/>
            </w:pPr>
            <w:r>
              <w:t>(5)</w:t>
            </w:r>
            <w:r>
              <w:tab/>
            </w:r>
            <w:r>
              <w:t>Da se omogoči postopen začetek delovanja SVI, je treba odstopati od nekaterih določb Uredbe (EU) 2017/2226 in Uredbe (EU) 2016/399 Evropskega parlamenta in Sveta</w:t>
            </w:r>
            <w:r>
              <w:rPr>
                <w:rStyle w:val="Sup"/>
              </w:rPr>
              <w:t>3</w:t>
            </w:r>
            <w:r>
              <w:t xml:space="preserve"> (v nadaljnjem besedilu: zakonik o schengenskih mejah). Druga pravila iz Uredbe (EU) 2017/2226, na katera ta uredba ne vpliva, se uporabljajo, kot je določeno v navedeni uredbi. Zlasti za podatke, evidentirane v SVI med postopnim začetkom delovanja, se upoštevajo pravila iz Uredbe (EU) 2017/2226 ter se ti podatki štejejo za zanesljive in točne. </w:t>
            </w:r>
            <w:r>
              <w:rPr>
                <w:b/>
                <w:i/>
                <w:strike w:val="0"/>
                <w:color w:val="auto"/>
                <w:highlight w:val="none"/>
                <w:u w:val="none" w:color="auto"/>
                <w:vertAlign w:val="baseline"/>
              </w:rPr>
              <w:t>Ta uredba ne vpliva na veljavnost uradnih obvestil, ki so jih države članice že predložile Komisiji v skladu s členom 66(1) Uredbe (EU) 2017/2226.</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Uredba (EU) 2016/399 Evropskega parlamenta in Sveta z dne 9. marca 2016 o Zakoniku Unije o pravilih, ki urejajo gibanje oseb prek meja (Zakonik o schengenskih mejah) (UL L 77, 23.3.2016, str. 1, ELI: http://data.europa.eu/eli/reg/2016/399/oj).</w:t>
            </w:r>
          </w:p>
        </w:tc>
        <w:tc>
          <w:tcPr>
            <w:tcW w:w="4876" w:type="dxa"/>
            <w:vAlign w:val="top"/>
          </w:tcPr>
          <w:p>
            <w:pPr>
              <w:pStyle w:val="Normal6a"/>
            </w:pPr>
            <w:r>
              <w:rPr>
                <w:rStyle w:val="Sup"/>
              </w:rPr>
              <w:t>3</w:t>
            </w:r>
            <w:r>
              <w:t xml:space="preserve"> </w:t>
            </w:r>
            <w:r>
              <w:t>Uredba (EU) 2016/399 Evropskega parlamenta in Sveta z dne 9. marca 2016 o Zakoniku Unije o pravilih, ki urejajo gibanje oseb prek meja (Zakonik o schengenskih mejah) (UL L 77, 23.3.2016, str. 1,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Države članice bi morale postopoma začeti uporabljati SVI za evidentiranje podatkov o državljanih tretjih držav, ki se evidentirajo v SVI, pri vstopu in izstopu, in sicer na enem ali več mejnih prehodih.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 uvajati postopoma in prav tako postopoma evidentirati podatke o vseh državljanih tretjih držav, ki se evidentirajo v SVI. </w:t>
            </w:r>
            <w:r>
              <w:rPr>
                <w:b/>
                <w:i/>
                <w:strike w:val="0"/>
                <w:color w:val="auto"/>
                <w:highlight w:val="none"/>
                <w:u w:val="none" w:color="auto"/>
                <w:vertAlign w:val="baseline"/>
              </w:rPr>
              <w:t>Za zagotovitev usklajenega pristopa bi bilo treba</w:t>
            </w:r>
            <w:r>
              <w:t xml:space="preserve"> postopen začetek delovanja </w:t>
            </w:r>
            <w:r>
              <w:rPr>
                <w:b/>
                <w:i/>
                <w:strike w:val="0"/>
                <w:color w:val="auto"/>
                <w:highlight w:val="none"/>
                <w:u w:val="none" w:color="auto"/>
                <w:vertAlign w:val="baseline"/>
              </w:rPr>
              <w:t>izvesti v fazah</w:t>
            </w:r>
            <w:r>
              <w:t xml:space="preserve">, ki bi </w:t>
            </w:r>
            <w:r>
              <w:rPr>
                <w:b/>
                <w:i/>
                <w:strike w:val="0"/>
                <w:color w:val="auto"/>
                <w:highlight w:val="none"/>
                <w:u w:val="none" w:color="auto"/>
                <w:vertAlign w:val="baseline"/>
              </w:rPr>
              <w:t>morale</w:t>
            </w:r>
            <w:r>
              <w:t xml:space="preserve"> določati minimalne zahteve, ki jih morajo izpolniti države članice. </w:t>
            </w:r>
            <w:r>
              <w:rPr>
                <w:b/>
                <w:i/>
                <w:strike w:val="0"/>
                <w:color w:val="auto"/>
                <w:highlight w:val="none"/>
                <w:u w:val="none" w:color="auto"/>
                <w:vertAlign w:val="baseline"/>
              </w:rPr>
              <w:t>Države članice bodo lahko pospešile izvajanje na nacionalni ravni ali začele SVI uporabljati v celoti od začetka postopnega pristopa.</w:t>
            </w:r>
          </w:p>
        </w:tc>
        <w:tc>
          <w:tcPr>
            <w:tcW w:w="4876" w:type="dxa"/>
            <w:vAlign w:val="top"/>
          </w:tcPr>
          <w:p>
            <w:pPr>
              <w:pStyle w:val="Normal6a"/>
            </w:pPr>
            <w:r>
              <w:t>(6)</w:t>
            </w:r>
            <w:r>
              <w:tab/>
            </w:r>
            <w:r>
              <w:t>Države članice</w:t>
            </w:r>
            <w:r>
              <w:rPr>
                <w:b/>
                <w:i/>
                <w:strike w:val="0"/>
                <w:color w:val="auto"/>
                <w:highlight w:val="none"/>
                <w:u w:val="none" w:color="auto"/>
                <w:vertAlign w:val="baseline"/>
              </w:rPr>
              <w:t>, ki SVI ne začnejo v celoti uporabljati na vseh mejnih prehodih hkrati,</w:t>
            </w:r>
            <w:r>
              <w:t xml:space="preserve"> bi morale postopoma začeti uporabljati SVI za evidentiranje podatkov o državljanih tretjih držav, ki se evidentirajo v SVI, pri vstopu in izstopu, in sicer na enem ali več mejnih prehodih</w:t>
            </w:r>
            <w:r>
              <w:rPr>
                <w:b/>
                <w:i/>
                <w:strike w:val="0"/>
                <w:color w:val="auto"/>
                <w:highlight w:val="none"/>
                <w:u w:val="none" w:color="auto"/>
                <w:vertAlign w:val="baseline"/>
              </w:rPr>
              <w:t>.</w:t>
            </w:r>
            <w:r>
              <w:t xml:space="preserve">. Če je mogoče in ustrezno, bi morale države članice v to vključiti kombinacijo zračnih, kopenskih in morskih mejnih prehodov. Za zagotovitev nadzorovanega začetka uporabe SVI ter boljše upravljanje in izogibanje morebitnim dolgim čakalnim dobam na mejah bi morale države članice vse funkcije SVI po potrebi uvajati postopoma in prav tako postopoma evidentirati podatke o vseh državljanih tretjih držav, ki se evidentirajo v SVI. </w:t>
            </w:r>
            <w:r>
              <w:rPr>
                <w:b/>
                <w:i/>
                <w:strike w:val="0"/>
                <w:color w:val="auto"/>
                <w:highlight w:val="none"/>
                <w:u w:val="none" w:color="auto"/>
                <w:vertAlign w:val="baseline"/>
              </w:rPr>
              <w:t>Da bi izpolnili cilj polne uporabe SVI na vseh mejnih prehodih v Uniji, bi moral</w:t>
            </w:r>
            <w:r>
              <w:t xml:space="preserve"> postopen začetek delovanja </w:t>
            </w:r>
            <w:r>
              <w:rPr>
                <w:b/>
                <w:i/>
                <w:strike w:val="0"/>
                <w:color w:val="auto"/>
                <w:highlight w:val="none"/>
                <w:u w:val="none" w:color="auto"/>
                <w:vertAlign w:val="baseline"/>
              </w:rPr>
              <w:t>vključevati pragove</w:t>
            </w:r>
            <w:r>
              <w:t xml:space="preserve">, ki bi </w:t>
            </w:r>
            <w:r>
              <w:rPr>
                <w:b/>
                <w:i/>
                <w:strike w:val="0"/>
                <w:color w:val="auto"/>
                <w:highlight w:val="none"/>
                <w:u w:val="none" w:color="auto"/>
                <w:vertAlign w:val="baseline"/>
              </w:rPr>
              <w:t>morali</w:t>
            </w:r>
            <w:r>
              <w:t xml:space="preserve"> določati minimalne zahteve, ki jih morajo izpolniti države članice.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Za olajšanje nemotene uvedbe SVI bi morala Agencija Evropske unije za operativno upravljanje obsežnih informacijskih sistemov s področja svobode, varnosti in pravice (eu-LISA) pripraviti načrt za uvedbo na visoki ravni, da bi državam članicam in agencijam Unije zagotovila smernice za načrtovanje in izvajanje uvedbe SVI med njegovim postopnim začetkom delovanja, ter ga predložiti Komisiji, državam članicam in agencijam Unije. </w:t>
            </w:r>
            <w:r>
              <w:rPr>
                <w:b/>
                <w:i/>
                <w:strike w:val="0"/>
                <w:color w:val="auto"/>
                <w:highlight w:val="none"/>
                <w:u w:val="none" w:color="auto"/>
                <w:vertAlign w:val="baseline"/>
              </w:rPr>
              <w:t>V tem načrtu bi morale biti zajete omejitve zmogljivosti centralnega sistema, kot jih določi agencija eu-LISA za vsako posamezno fazo uvedbe. Pri odločitvah držav članic o začetku ali pospešeni uvedbi delovanja bi bilo treba upoštevati zmogljivost centralnega sistema, kot je opredeljena v načrtu za uvedbo na visoki ravni.</w:t>
            </w:r>
          </w:p>
        </w:tc>
        <w:tc>
          <w:tcPr>
            <w:tcW w:w="4876" w:type="dxa"/>
            <w:vAlign w:val="top"/>
          </w:tcPr>
          <w:p>
            <w:pPr>
              <w:pStyle w:val="Normal6a"/>
            </w:pPr>
            <w:r>
              <w:t>(7)</w:t>
            </w:r>
            <w:r>
              <w:tab/>
            </w:r>
            <w:r>
              <w:t>Za olajšanje nemotene uvedbe SVI bi morala Agencija Evropske unije za operativno upravljanje obsežnih informacijskih sistemov s področja svobode, varnosti in pravice (eu-LISA) pripraviti načrt za uvedbo na visoki ravni, da bi državam članicam in agencijam Unije zagotovila smernice za načrtovanje in izvajanje uvedbe SVI med njegovim postopnim začetkom delovanja, ter ga predložiti Komisiji, državam članicam in agencijam Unije.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Za olajšanje nemotene uvedbe SVI bi morale države članice v posvetovanju s Komisijo in agencijo eu-LISA pripraviti nacionalne načrte za uvedbo.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Države članice se spodbuja, naj se pri pripravi svojih nacionalnih načrtov za uvedbo ustrezno usklajujejo z upravljavci infrastrukture, na kateri so mejni prehodi. Za spremljanje skladnosti s postopnim začetkom delovanja bi morale države članice Komisiji in agenciji eu-LISA zagotoviti mesečna poročila o izvajanju svojih načrtov za uvedbo. Ta mesečna poročila bi morala po potrebi vključevati popravne ukrepe, da se zagotovi skladnost s postopnim začetkom delovanja.</w:t>
            </w:r>
          </w:p>
        </w:tc>
        <w:tc>
          <w:tcPr>
            <w:tcW w:w="4876" w:type="dxa"/>
            <w:vAlign w:val="top"/>
          </w:tcPr>
          <w:p>
            <w:pPr>
              <w:pStyle w:val="Normal6a"/>
            </w:pPr>
            <w:r>
              <w:t>(8)</w:t>
            </w:r>
            <w:r>
              <w:tab/>
            </w:r>
            <w:r>
              <w:t xml:space="preserve">Za olajšanje nemotene uvedbe SVI bi morale države članice v posvetovanju s Komisijo in agencijo eu-LISA pripraviti nacionalne načrte za uvedbo </w:t>
            </w:r>
            <w:r>
              <w:rPr>
                <w:b/>
                <w:i/>
                <w:strike w:val="0"/>
                <w:color w:val="auto"/>
                <w:highlight w:val="none"/>
                <w:u w:val="none" w:color="auto"/>
                <w:vertAlign w:val="baseline"/>
              </w:rPr>
              <w:t>in jih predstaviti Komisiji</w:t>
            </w:r>
            <w:r>
              <w:t>. Nacionalni načrti za uvedbo bi morali za vsako posamezno fazo postopnega začetka delovanja SVI vključevati informacije o zastavljenih pragovih in zahtevah, zlasti: (i) datum, od katerega bo SVI deloval na vsakem posameznem mejnem prehodu, (ii) odstotek, ki ga predstavlja ocenjeno število prehodov meje, ki se evidentirajo v SVI, glede na skupno število državljanov tretjih držav, ki se evidentirajo v SVI, ter (iii) po potrebi biometrične funkcije, ki se uporabljajo na posameznem izbranem mejnem prehodu. Države članice se spodbuja, naj se pri pripravi svojih nacionalnih načrtov za uvedbo ustrezno usklajujejo z upravljavci infrastrukture, na kateri so mejni prehodi. Za spremljanje skladnosti s postopnim začetkom delovanja bi morale države članice Komisiji in agenciji eu-LISA zagotoviti mesečna poročila o izvajanju svojih načrtov za uvedbo. Ta mesečna poročila bi morala po potrebi vključevati popravne ukrepe, da se zagotovi skladnost s postopnim začetkom delovanja.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Zaradi postopnega začetka delovanja SVI in </w:t>
            </w:r>
            <w:r>
              <w:rPr>
                <w:b/>
                <w:i/>
                <w:strike w:val="0"/>
                <w:color w:val="auto"/>
                <w:highlight w:val="none"/>
                <w:u w:val="none" w:color="auto"/>
                <w:vertAlign w:val="baseline"/>
              </w:rPr>
              <w:t>morebitne</w:t>
            </w:r>
            <w:r>
              <w:t xml:space="preserve"> nepopolnosti podatkov, evidentiranih v SVI, bi bilo treba potne listine državljanov tretjih držav med postopnim začetkom delovanja SVI pri vstopu in izstopu sistematično žigosati. Nacionalni organi bi morali upoštevati morebitno nepopolnost evidenc o vstopu/izstopu oziroma evidenc o zavrnitvi, zato bi morali zanje žigi prevladati nad informacijami, evidentiranimi v SVI. Poleg tega bi se morali nacionalni organi pri zagotavljanju informacij državljanom tretjih držav o najdaljšem preostalem trajanju njihovega dovoljenega bivanja pri svoji oceni zanašati na žige, odtisnjene v potnih listinah. Če žiga ni, bi morali prevladati podatki, evidentirani v SVI.</w:t>
            </w:r>
          </w:p>
        </w:tc>
        <w:tc>
          <w:tcPr>
            <w:tcW w:w="4876" w:type="dxa"/>
            <w:vAlign w:val="top"/>
          </w:tcPr>
          <w:p>
            <w:pPr>
              <w:pStyle w:val="Normal6a"/>
            </w:pPr>
            <w:r>
              <w:t>(9)</w:t>
            </w:r>
            <w:r>
              <w:tab/>
            </w:r>
            <w:r>
              <w:t xml:space="preserve">Zaradi postopnega začetka delovanja SVI in </w:t>
            </w:r>
            <w:r>
              <w:rPr>
                <w:b/>
                <w:i/>
                <w:strike w:val="0"/>
                <w:color w:val="auto"/>
                <w:highlight w:val="none"/>
                <w:u w:val="none" w:color="auto"/>
                <w:vertAlign w:val="baseline"/>
              </w:rPr>
              <w:t>posledične</w:t>
            </w:r>
            <w:r>
              <w:t xml:space="preserve"> nepopolnosti podatkov, evidentiranih v SVI, bi bilo treba potne listine državljanov tretjih držav med postopnim začetkom delovanja SVI pri vstopu in izstopu sistematično žigosati. Nacionalni organi bi morali upoštevati morebitno nepopolnost evidenc o vstopu/izstopu oziroma evidenc o zavrnitvi, zato bi morali zanje žigi prevladati nad informacijami, evidentiranimi v SVI. Poleg tega bi se morali nacionalni organi pri zagotavljanju informacij državljanom tretjih držav o najdaljšem preostalem trajanju njihovega dovoljenega bivanja pri svoji oceni zanašati na žige, odtisnjene v potnih listinah. Če žiga ni, bi morali prevladati podatki, evidentirani v SVI.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Da bi imele države članice dovolj časa za prilagoditev začetku delovanja SVI, uporaba biometričnih funkcij na mejnih prehodih v prvih 60 koledarskih dneh postopnega začetka delovanja ne bi smela biti obvezna. Države članice bi morale najpozneje 90. koledarski dan </w:t>
            </w:r>
            <w:r>
              <w:rPr>
                <w:b/>
                <w:i/>
                <w:strike w:val="0"/>
                <w:color w:val="auto"/>
                <w:highlight w:val="none"/>
                <w:u w:val="none" w:color="auto"/>
                <w:vertAlign w:val="baseline"/>
              </w:rPr>
              <w:t>po postopnem začetku</w:t>
            </w:r>
            <w:r>
              <w:t xml:space="preserve"> delovanja SVI uporabljati z biometričnimi funkcijami vsaj na polovici svojih mejnih prehodov. Zagotavljanje biometričnih podatkov ne bi smelo biti pogoj za vstop državljanov tretjih držav, ki se evidentirajo v SVI, na tistih mejnih prehodih, na katerih se SVI uporablja brez biometričnih funkcij.</w:t>
            </w:r>
          </w:p>
        </w:tc>
        <w:tc>
          <w:tcPr>
            <w:tcW w:w="4876" w:type="dxa"/>
            <w:vAlign w:val="top"/>
          </w:tcPr>
          <w:p>
            <w:pPr>
              <w:pStyle w:val="Normal6a"/>
            </w:pPr>
            <w:r>
              <w:t>(11)</w:t>
            </w:r>
            <w:r>
              <w:tab/>
            </w:r>
            <w:r>
              <w:t xml:space="preserve">Da bi imele države članice dovolj časa za prilagoditev začetku delovanja SVI, uporaba biometričnih funkcij na mejnih prehodih v prvih 60 koledarskih dneh postopnega začetka delovanja ne bi smela biti obvezna. Države članice bi morale najpozneje 90. koledarski dan </w:t>
            </w:r>
            <w:r>
              <w:rPr>
                <w:b/>
                <w:i/>
                <w:strike w:val="0"/>
                <w:color w:val="auto"/>
                <w:highlight w:val="none"/>
                <w:u w:val="none" w:color="auto"/>
                <w:vertAlign w:val="baseline"/>
              </w:rPr>
              <w:t>postopnega začetka</w:t>
            </w:r>
            <w:r>
              <w:t xml:space="preserve"> delovanja SVI uporabljati z biometričnimi funkcijami vsaj na polovici svojih mejnih prehodov. Zagotavljanje biometričnih podatkov ne bi smelo biti pogoj za vstop državljanov tretjih držav, ki se evidentirajo v SVI, na tistih mejnih prehodih, na katerih se SVI uporablja brez biometričnih funkcij.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Za zagotovitev učinkovitega upravljanja zunanjih meja med postopnim začetkom delovanja SVI na mejnih prehodih, na katerih se SVI ne uporablja, bi bilo treba mejno kontrolo izvajati v skladu z Uredbo (EU) 2016/399, kot se uporablja [dan pred datumom začetka delovanja SVI, kakor ga določi Komisija v skladu s členom 66(1) Uredbe (EU) 2017/2226]. Na mejnih prehodih, na katerih se uporablja SVI, bi bilo treba mejno kontrolo izvajati v skladu z Uredbo (EU) 2017/2226 in zakonikom o schengenskih mejah. Vendar bi se morala za preverjanje na mejnih prehodih, na katerih se uporablja SVI brez biometričnih funkcij, uporabljati posebna odstopanja od navedenih uredb, da se omogoči postopen začetek delovanja. </w:t>
            </w:r>
            <w:r>
              <w:rPr>
                <w:b/>
                <w:i/>
                <w:strike w:val="0"/>
                <w:color w:val="auto"/>
                <w:highlight w:val="none"/>
                <w:u w:val="none" w:color="auto"/>
                <w:vertAlign w:val="baseline"/>
              </w:rPr>
              <w:t>To bi</w:t>
            </w:r>
            <w:r>
              <w:t xml:space="preserve"> se </w:t>
            </w:r>
            <w:r>
              <w:rPr>
                <w:b/>
                <w:i/>
                <w:strike w:val="0"/>
                <w:color w:val="auto"/>
                <w:highlight w:val="none"/>
                <w:u w:val="none" w:color="auto"/>
                <w:vertAlign w:val="baseline"/>
              </w:rPr>
              <w:t>moralo zgoditi brez poseganja</w:t>
            </w:r>
            <w:r>
              <w:t xml:space="preserve"> v preverjanje imetnikov vizumov z uporabo prstnih odtisov v skladu z Uredbo (ES) št. </w:t>
            </w:r>
            <w:r>
              <w:rPr>
                <w:b/>
                <w:i/>
                <w:strike w:val="0"/>
                <w:color w:val="auto"/>
                <w:highlight w:val="none"/>
                <w:u w:val="none" w:color="auto"/>
                <w:vertAlign w:val="baseline"/>
              </w:rPr>
              <w:t>787</w:t>
            </w:r>
            <w:r>
              <w:t>/2008.</w:t>
            </w:r>
          </w:p>
        </w:tc>
        <w:tc>
          <w:tcPr>
            <w:tcW w:w="4876" w:type="dxa"/>
            <w:vAlign w:val="top"/>
          </w:tcPr>
          <w:p>
            <w:pPr>
              <w:pStyle w:val="Normal6a"/>
            </w:pPr>
            <w:r>
              <w:t>(23)</w:t>
            </w:r>
            <w:r>
              <w:tab/>
            </w:r>
            <w:r>
              <w:t xml:space="preserve">Za zagotovitev učinkovitega upravljanja zunanjih meja med postopnim začetkom delovanja SVI na mejnih prehodih, na katerih se SVI ne uporablja, bi bilo treba mejno kontrolo izvajati v skladu z Uredbo (EU) 2016/399, kot se uporablja [dan pred datumom začetka delovanja SVI, kakor ga določi Komisija v skladu s členom 66(1) Uredbe (EU) 2017/2226]. Na mejnih prehodih, na katerih se uporablja SVI, bi bilo treba mejno kontrolo izvajati v skladu z Uredbo (EU) 2017/2226 in zakonikom o schengenskih mejah. Vendar bi se morala za preverjanje na mejnih prehodih, na katerih se uporablja SVI brez biometričnih funkcij, uporabljati posebna odstopanja od navedenih uredb, da se omogoči postopen začetek delovanja. </w:t>
            </w:r>
            <w:r>
              <w:rPr>
                <w:b/>
                <w:i/>
                <w:strike w:val="0"/>
                <w:color w:val="auto"/>
                <w:highlight w:val="none"/>
                <w:u w:val="none" w:color="auto"/>
                <w:vertAlign w:val="baseline"/>
              </w:rPr>
              <w:t>Pri tem</w:t>
            </w:r>
            <w:r>
              <w:t xml:space="preserve"> se </w:t>
            </w:r>
            <w:r>
              <w:rPr>
                <w:b/>
                <w:i/>
                <w:strike w:val="0"/>
                <w:color w:val="auto"/>
                <w:highlight w:val="none"/>
                <w:u w:val="none" w:color="auto"/>
                <w:vertAlign w:val="baseline"/>
              </w:rPr>
              <w:t>ne bi smelo posegati</w:t>
            </w:r>
            <w:r>
              <w:t xml:space="preserve"> v preverjanje imetnikov vizumov z uporabo prstnih odtisov v skladu z Uredbo (ES) št. </w:t>
            </w:r>
            <w:r>
              <w:rPr>
                <w:b/>
                <w:i/>
                <w:strike w:val="0"/>
                <w:color w:val="auto"/>
                <w:highlight w:val="none"/>
                <w:u w:val="none" w:color="auto"/>
                <w:vertAlign w:val="baseline"/>
              </w:rPr>
              <w:t>767</w:t>
            </w:r>
            <w:r>
              <w:t>/2008.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Da </w:t>
            </w:r>
            <w:r>
              <w:rPr>
                <w:b/>
                <w:i/>
                <w:strike w:val="0"/>
                <w:color w:val="auto"/>
                <w:highlight w:val="none"/>
                <w:u w:val="none" w:color="auto"/>
                <w:vertAlign w:val="baseline"/>
              </w:rPr>
              <w:t>se omogoči učinkovita</w:t>
            </w:r>
            <w:r>
              <w:t xml:space="preserve"> prilagoditev tehničnih in organizacijskih ureditev </w:t>
            </w:r>
            <w:r>
              <w:rPr>
                <w:b/>
                <w:i/>
                <w:strike w:val="0"/>
                <w:color w:val="auto"/>
                <w:highlight w:val="none"/>
                <w:u w:val="none" w:color="auto"/>
                <w:vertAlign w:val="baseline"/>
              </w:rPr>
              <w:t>med postopnim začetkom delovanja SVI v vsaki posamezni državi članici in upoštevajo</w:t>
            </w:r>
            <w:r>
              <w:t xml:space="preserve"> izjemne okoliščine izpada delovanja centralnega sistema SVI, nacionalnih sistemov ali komunikacijske infrastrukture oziroma predolgih čakalnih dob na njihovih mejah, bi morale imeti države članice možnost, da na nekaterih mejnih prehodih v celoti ali delno začasno prekinejo uporabo SVI. V primeru delne začasne prekinitve bi bilo treba začasno prekiniti evidentiranje biometričnih podatkov v SVI. V primeru popolne začasne prekinitve se v SVI ne bi smeli evidentirati nobeni podatki. </w:t>
            </w:r>
            <w:r>
              <w:rPr>
                <w:b/>
                <w:i/>
                <w:strike w:val="0"/>
                <w:color w:val="auto"/>
                <w:highlight w:val="none"/>
                <w:u w:val="none" w:color="auto"/>
                <w:vertAlign w:val="baseline"/>
              </w:rPr>
              <w:t>Za zmanjšanje dodatnih tveganj, povezanih z uvedbo SVI z biometričnimi funkcijami, bi morale imeti države članice možnost, da v izjemnih okoliščinah, ki bi privedle do tako intenzivnega prometa, da bi čakalne dobe na mejah postale čezmerne, začasno prekinejo evidentiranje biometričnih podatkov v SVI tudi še po koncu postopnega začetka delovanja. Taka začasna prekinitev bi morala biti mogoča za omejeno obdobje 60 dni po koncu postopnega začetka delovanja SVI in bi jo bilo treba podaljšati še za 60 dni, če biometrične podatke vsebuje manj kot 80 % individualne dokumentacije, evidentirane v SVI med postopnim začetkom delovanja SVI.</w:t>
            </w:r>
          </w:p>
        </w:tc>
        <w:tc>
          <w:tcPr>
            <w:tcW w:w="4876" w:type="dxa"/>
            <w:vAlign w:val="top"/>
          </w:tcPr>
          <w:p>
            <w:pPr>
              <w:pStyle w:val="Normal6a"/>
            </w:pPr>
            <w:r>
              <w:t>(24)</w:t>
            </w:r>
            <w:r>
              <w:tab/>
            </w:r>
            <w:r>
              <w:t xml:space="preserve">Da </w:t>
            </w:r>
            <w:r>
              <w:rPr>
                <w:b/>
                <w:i/>
                <w:strike w:val="0"/>
                <w:color w:val="auto"/>
                <w:highlight w:val="none"/>
                <w:u w:val="none" w:color="auto"/>
                <w:vertAlign w:val="baseline"/>
              </w:rPr>
              <w:t>bi omogočili učinkovito</w:t>
            </w:r>
            <w:r>
              <w:t xml:space="preserve"> prilagoditev tehničnih in organizacijskih ureditev </w:t>
            </w:r>
            <w:r>
              <w:rPr>
                <w:b/>
                <w:i/>
                <w:strike w:val="0"/>
                <w:color w:val="auto"/>
                <w:highlight w:val="none"/>
                <w:u w:val="none" w:color="auto"/>
                <w:vertAlign w:val="baseline"/>
              </w:rPr>
              <w:t>ter obravnavali morebitne</w:t>
            </w:r>
            <w:r>
              <w:t xml:space="preserve"> izjemne okoliščine izpada delovanja centralnega sistema SVI, nacionalnih sistemov ali komunikacijske infrastrukture oziroma predolgih čakalnih dob na njihovih mejah </w:t>
            </w:r>
            <w:r>
              <w:rPr>
                <w:b/>
                <w:i/>
                <w:strike w:val="0"/>
                <w:color w:val="auto"/>
                <w:highlight w:val="none"/>
                <w:u w:val="none" w:color="auto"/>
                <w:vertAlign w:val="baseline"/>
              </w:rPr>
              <w:t>v obdobju postopnega začetka delovanja SVI</w:t>
            </w:r>
            <w:r>
              <w:t>, bi morale imeti države članice možnost, da na nekaterih mejnih prehodih v celoti ali delno začasno prekinejo uporabo SVI. V primeru delne začasne prekinitve bi bilo treba začasno prekiniti evidentiranje biometričnih podatkov v SVI. V primeru popolne začasne prekinitve se v SVI ne bi smeli evidentirati nobeni podatki.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24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Za zmanjšanje dodatnih tveganj, povezanih z uvedbo SVI z biometričnimi funkcijami, bi morale imeti države članice možnost, da v izjemnih okoliščinah, ki bi privedle do tako intenzivnega prometa, da bi čakalne dobe na mejah postale čezmerne, začasno prekinejo evidentiranje biometričnih podatkov v SVI tudi po koncu postopnega začetka delovanja. Takšna začasna prekinitev bi morala biti mogoča za omejeno obdobje 60 dni po koncu postopnega začetka delovanja SVI.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Cilja te uredbe, torej odobritve odstopanj od Uredbe (EU) 2017/2226 in Uredbe (EU) 2016/</w:t>
            </w:r>
            <w:r>
              <w:rPr>
                <w:b/>
                <w:i/>
                <w:strike w:val="0"/>
                <w:color w:val="auto"/>
                <w:highlight w:val="none"/>
                <w:u w:val="none" w:color="auto"/>
                <w:vertAlign w:val="baseline"/>
              </w:rPr>
              <w:t>299</w:t>
            </w:r>
            <w:r>
              <w:t>, da se zagotovi postopen začetek delovanja SVI, države članice ne morejo zadovoljivo doseči same, temveč se zaradi obsega in učinka ukrepa lažje doseže na ravni Unije. Unija zato lahko sprejme ukrepe v skladu z načelom subsidiarnosti iz člena 5 Pogodbe o Evropski uniji. V skladu z načelom sorazmernosti iz navedenega člena ta uredba ne presega tistega, kar je potrebno za doseganje navedenih ciljev.</w:t>
            </w:r>
          </w:p>
        </w:tc>
        <w:tc>
          <w:tcPr>
            <w:tcW w:w="4876" w:type="dxa"/>
            <w:vAlign w:val="top"/>
          </w:tcPr>
          <w:p>
            <w:pPr>
              <w:pStyle w:val="Normal6a"/>
            </w:pPr>
            <w:r>
              <w:t>(27)</w:t>
            </w:r>
            <w:r>
              <w:tab/>
            </w:r>
            <w:r>
              <w:t>Cilja te uredbe, torej odobritve odstopanj od Uredbe (EU) 2017/2226 in Uredbe (EU) 2016/</w:t>
            </w:r>
            <w:r>
              <w:rPr>
                <w:b/>
                <w:i/>
                <w:strike w:val="0"/>
                <w:color w:val="auto"/>
                <w:highlight w:val="none"/>
                <w:u w:val="none" w:color="auto"/>
                <w:vertAlign w:val="baseline"/>
              </w:rPr>
              <w:t>399</w:t>
            </w:r>
            <w:r>
              <w:t>, da se zagotovi postopen začetek delovanja SVI, države članice ne morejo zadovoljivo doseči same, temveč se zaradi obsega in učinka ukrepa lažje doseže na ravni Unije. Unija zato lahko sprejme ukrepe v skladu z načelom subsidiarnosti iz člena 5 Pogodbe o Evropski uniji. V skladu z načelom sorazmernosti iz navedenega člena ta uredba ne presega tistega, kar je potrebno za doseganje navedenih ciljev.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2 – odstavek 1 – točka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„ocenjeno število prehodov meje“ pomeni oceno števila prehodov meje s strani državljanov tretjih držav iz člena 2(1) in (2) Uredbe (EU) 2017/2226 v vsaki posamezni državi članici, ki jo pripravi država članica na podlagi letnega povprečja skupnega števila prehodov meje s strani državljanov tretjih držav, ki potujejo z namenom kratkoročnega bivanja v tej državi članici, izračunano za </w:t>
            </w:r>
            <w:r>
              <w:rPr>
                <w:b/>
                <w:i/>
                <w:strike w:val="0"/>
                <w:color w:val="auto"/>
                <w:highlight w:val="none"/>
                <w:u w:val="none" w:color="auto"/>
                <w:vertAlign w:val="baseline"/>
              </w:rPr>
              <w:t>predhodna tri leta</w:t>
            </w:r>
            <w:r>
              <w:t xml:space="preserve"> od datuma začetka uporabe iz člena 8(1), drugi pododstavek, te uredbe.</w:t>
            </w:r>
          </w:p>
        </w:tc>
        <w:tc>
          <w:tcPr>
            <w:tcW w:w="4876" w:type="dxa"/>
            <w:vAlign w:val="top"/>
          </w:tcPr>
          <w:p>
            <w:pPr>
              <w:pStyle w:val="Normal6a"/>
            </w:pPr>
            <w:r>
              <w:t>(c)</w:t>
            </w:r>
            <w:r>
              <w:tab/>
            </w:r>
            <w:r>
              <w:t xml:space="preserve">„ocenjeno število prehodov meje“ pomeni oceno števila prehodov meje s strani državljanov tretjih držav iz člena 2(1) in (2) Uredbe (EU) 2017/2226 v vsaki posamezni državi članici, ki jo pripravi država članica na podlagi letnega povprečja skupnega števila prehodov meje s strani državljanov tretjih držav, ki potujejo z namenom kratkoročnega bivanja v tej državi članici, izračunano za </w:t>
            </w:r>
            <w:r>
              <w:rPr>
                <w:b/>
                <w:i/>
                <w:strike w:val="0"/>
                <w:color w:val="auto"/>
                <w:highlight w:val="none"/>
                <w:u w:val="none" w:color="auto"/>
                <w:vertAlign w:val="baseline"/>
              </w:rPr>
              <w:t>predhodno koledarsko leto</w:t>
            </w:r>
            <w:r>
              <w:t xml:space="preserve"> od datuma začetka uporabe iz člena 8(1), drugi pododstavek, te uredbe.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3 – naslov</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Načrti za uvedbo</w:t>
            </w:r>
          </w:p>
        </w:tc>
        <w:tc>
          <w:tcPr>
            <w:tcW w:w="4876" w:type="dxa"/>
            <w:vAlign w:val="top"/>
          </w:tcPr>
          <w:p>
            <w:pPr>
              <w:pStyle w:val="Normal6a"/>
            </w:pPr>
            <w:r>
              <w:t xml:space="preserve">Načrti za uvedbo </w:t>
            </w:r>
            <w:r>
              <w:rPr>
                <w:b/>
                <w:i/>
                <w:strike w:val="0"/>
                <w:color w:val="auto"/>
                <w:highlight w:val="none"/>
                <w:u w:val="none" w:color="auto"/>
                <w:vertAlign w:val="baseline"/>
              </w:rPr>
              <w:t>in mesečna poročila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3 – odstavek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Agencija Evropske unije za operativno upravljanje obsežnih informacijskih sistemov s področja svobode, varnosti in pravice (eu-LISA) do [30. koledarski dan po začetku veljavnosti te uredbe] Komisiji, državam članicam in Europolu predloži načrt za uvedbo na visoki ravni za postopen začetek delovanja SVI, pri čemer upošteva faze iz člena 4. V navedenem načrtu za uvedbo so zajete smernice o uporabi SVI za države članice in Europol</w:t>
            </w:r>
            <w:r>
              <w:rPr>
                <w:b/>
                <w:i/>
                <w:strike w:val="0"/>
                <w:color w:val="auto"/>
                <w:highlight w:val="none"/>
                <w:u w:val="none" w:color="auto"/>
                <w:vertAlign w:val="baseline"/>
              </w:rPr>
              <w:t>, vključno z omejitvami zmogljivosti centralnega sistema SVI</w:t>
            </w:r>
            <w:r>
              <w:t>.</w:t>
            </w:r>
          </w:p>
        </w:tc>
        <w:tc>
          <w:tcPr>
            <w:tcW w:w="4876" w:type="dxa"/>
            <w:vAlign w:val="top"/>
          </w:tcPr>
          <w:p>
            <w:pPr>
              <w:pStyle w:val="Normal6a"/>
            </w:pPr>
            <w:r>
              <w:t>1.</w:t>
            </w:r>
            <w:r>
              <w:tab/>
            </w:r>
            <w:r>
              <w:t>Agencija Evropske unije za operativno upravljanje obsežnih informacijskih sistemov s področja svobode, varnosti in pravice (eu-LISA) do [30. koledarski dan po začetku veljavnosti te uredbe] Komisiji, državam članicam in Europolu predloži načrt za uvedbo na visoki ravni za postopen začetek delovanja SVI, pri čemer upošteva faze iz člena 4. V navedenem načrtu za uvedbo so zajete smernice o uporabi SVI za države članice in Europol.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3 – odstavek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Države članice do [60. koledarski dan po začetku veljavnosti te uredbe] v posvetovanju s Komisijo in agencijo eu-LISA pripravijo </w:t>
            </w:r>
            <w:r>
              <w:rPr>
                <w:b/>
                <w:i/>
                <w:strike w:val="0"/>
                <w:color w:val="auto"/>
                <w:highlight w:val="none"/>
                <w:u w:val="none" w:color="auto"/>
                <w:vertAlign w:val="baseline"/>
              </w:rPr>
              <w:t>nacionalni načrt</w:t>
            </w:r>
            <w:r>
              <w:t xml:space="preserve"> za uvedbo za postopen začetek delovanja SVI, pri čemer upoštevajo načrt za uvedbo na visoki ravni iz odstavka 1 tega člena in </w:t>
            </w:r>
            <w:r>
              <w:rPr>
                <w:b/>
                <w:i/>
                <w:strike w:val="0"/>
                <w:color w:val="auto"/>
                <w:highlight w:val="none"/>
                <w:u w:val="none" w:color="auto"/>
                <w:vertAlign w:val="baseline"/>
              </w:rPr>
              <w:t>faze</w:t>
            </w:r>
            <w:r>
              <w:t xml:space="preserve"> iz člena 4.</w:t>
            </w:r>
          </w:p>
        </w:tc>
        <w:tc>
          <w:tcPr>
            <w:tcW w:w="4876" w:type="dxa"/>
            <w:vAlign w:val="top"/>
          </w:tcPr>
          <w:p>
            <w:pPr>
              <w:pStyle w:val="Normal6a"/>
            </w:pPr>
            <w:r>
              <w:t>2.</w:t>
            </w:r>
            <w:r>
              <w:tab/>
            </w:r>
            <w:r>
              <w:t xml:space="preserve">Države članice do [60. koledarski dan po začetku veljavnosti te uredbe] v posvetovanju s Komisijo in agencijo eu-LISA pripravijo </w:t>
            </w:r>
            <w:r>
              <w:rPr>
                <w:b/>
                <w:i/>
                <w:strike w:val="0"/>
                <w:color w:val="auto"/>
                <w:highlight w:val="none"/>
                <w:u w:val="none" w:color="auto"/>
                <w:vertAlign w:val="baseline"/>
              </w:rPr>
              <w:t>nacionalne načrte</w:t>
            </w:r>
            <w:r>
              <w:t xml:space="preserve"> za uvedbo za postopen začetek delovanja SVI, pri čemer upoštevajo načrt za uvedbo na visoki ravni iz odstavka 1 tega člena   </w:t>
            </w:r>
            <w:r>
              <w:rPr>
                <w:b/>
                <w:i/>
                <w:strike w:val="0"/>
                <w:color w:val="auto"/>
                <w:highlight w:val="none"/>
                <w:u w:val="none" w:color="auto"/>
                <w:vertAlign w:val="baseline"/>
              </w:rPr>
              <w:t>ter te načrte predstavijo Komisiji.</w:t>
            </w:r>
            <w:r>
              <w:rPr>
                <w:b/>
                <w:i/>
                <w:strike w:val="0"/>
                <w:color w:val="auto"/>
                <w:highlight w:val="none"/>
                <w:u w:val="none" w:color="auto"/>
                <w:vertAlign w:val="baseline"/>
              </w:rPr>
              <w:t xml:space="preserve"> </w:t>
            </w:r>
            <w:r>
              <w:rPr>
                <w:b/>
                <w:i/>
                <w:strike w:val="0"/>
                <w:color w:val="auto"/>
                <w:highlight w:val="none"/>
                <w:u w:val="none" w:color="auto"/>
                <w:vertAlign w:val="baseline"/>
              </w:rPr>
              <w:t>Če država članica SVI ne začne v celoti uporabljati od postopnega začetka delovanja SVI, se v nacionalnem načrtu za uvedbo določi, kako se dosežejo pragovi</w:t>
            </w:r>
            <w:r>
              <w:t xml:space="preserve"> in </w:t>
            </w:r>
            <w:r>
              <w:rPr>
                <w:b/>
                <w:i/>
                <w:strike w:val="0"/>
                <w:color w:val="auto"/>
                <w:highlight w:val="none"/>
                <w:u w:val="none" w:color="auto"/>
                <w:vertAlign w:val="baseline"/>
              </w:rPr>
              <w:t>zahteve</w:t>
            </w:r>
            <w:r>
              <w:t xml:space="preserve"> iz člena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3 – odstavek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Nacionalni načrti za uvedbo za vsako posamezno fazo iz člena 4 vključujejo informacije o pragovih in zahtevah iz navedenega člena.</w:t>
            </w:r>
          </w:p>
        </w:tc>
        <w:tc>
          <w:tcPr>
            <w:tcW w:w="4876" w:type="dxa"/>
            <w:vAlign w:val="top"/>
          </w:tcPr>
          <w:p>
            <w:pPr>
              <w:pStyle w:val="Normal6a"/>
            </w:pPr>
            <w:r>
              <w:rPr>
                <w:b/>
                <w:i/>
                <w:strike w:val="0"/>
                <w:color w:val="auto"/>
                <w:highlight w:val="none"/>
                <w:u w:val="none" w:color="auto"/>
                <w:vertAlign w:val="baseline"/>
              </w:rPr>
              <w:t>črtano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3 – odstavek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Države članice od 30. koledarskega dne po </w:t>
            </w:r>
            <w:r>
              <w:rPr>
                <w:b/>
                <w:i/>
                <w:strike w:val="0"/>
                <w:color w:val="auto"/>
                <w:highlight w:val="none"/>
                <w:u w:val="none" w:color="auto"/>
                <w:vertAlign w:val="baseline"/>
              </w:rPr>
              <w:t>postopnem začetku delovanja</w:t>
            </w:r>
            <w:r>
              <w:t xml:space="preserve"> SVI Komisiji in agenciji eu-LISA predložijo mesečna poročila o izvajanju svojih nacionalnih načrtov za uvedbo, vključno s popravnimi ukrepi, kadar je to potrebno za izpolnjevanje obveznosti iz člena 4.</w:t>
            </w:r>
          </w:p>
        </w:tc>
        <w:tc>
          <w:tcPr>
            <w:tcW w:w="4876" w:type="dxa"/>
            <w:vAlign w:val="top"/>
          </w:tcPr>
          <w:p>
            <w:pPr>
              <w:pStyle w:val="Normal6a"/>
            </w:pPr>
            <w:r>
              <w:t>4.</w:t>
            </w:r>
            <w:r>
              <w:tab/>
            </w:r>
            <w:r>
              <w:t xml:space="preserve">Države članice od 30. koledarskega dne po </w:t>
            </w:r>
            <w:r>
              <w:rPr>
                <w:b/>
                <w:i/>
                <w:strike w:val="0"/>
                <w:color w:val="auto"/>
                <w:highlight w:val="none"/>
                <w:u w:val="none" w:color="auto"/>
                <w:vertAlign w:val="baseline"/>
              </w:rPr>
              <w:t>datumu, od katerega naj bi se začelo delovanje</w:t>
            </w:r>
            <w:r>
              <w:t xml:space="preserve"> SVI</w:t>
            </w:r>
            <w:r>
              <w:rPr>
                <w:b/>
                <w:i/>
                <w:strike w:val="0"/>
                <w:color w:val="auto"/>
                <w:highlight w:val="none"/>
                <w:u w:val="none" w:color="auto"/>
                <w:vertAlign w:val="baseline"/>
              </w:rPr>
              <w:t>, kot določi Komisija v skladu s členom 66(1) Uredbe (EU) 2017/2226,</w:t>
            </w:r>
            <w:r>
              <w:t xml:space="preserve"> Komisiji in agenciji eu-LISA predložijo mesečna poročila o izvajanju svojih nacionalnih načrtov za uvedbo, vključno s popravnimi ukrepi, kadar je to potrebno za izpolnjevanje obveznosti iz člena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3 – odstavek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Agencija eu-LISA Komisiji na zahtevo predloži statistične podatke, potrebne za spremljanje nacionalnih načrtov za uvedbo, v skladu s členom 63(6) Uredbe (EU) 2017/2226.</w:t>
            </w:r>
          </w:p>
        </w:tc>
        <w:tc>
          <w:tcPr>
            <w:tcW w:w="4876" w:type="dxa"/>
            <w:vAlign w:val="top"/>
          </w:tcPr>
          <w:p>
            <w:pPr>
              <w:pStyle w:val="Normal6a"/>
            </w:pPr>
            <w:r>
              <w:t>5.</w:t>
            </w:r>
            <w:r>
              <w:tab/>
            </w:r>
            <w:r>
              <w:t xml:space="preserve">Agencija eu-LISA Komisiji na zahtevo predloži statistične podatke, potrebne za spremljanje </w:t>
            </w:r>
            <w:r>
              <w:rPr>
                <w:b/>
                <w:i/>
                <w:strike w:val="0"/>
                <w:color w:val="auto"/>
                <w:highlight w:val="none"/>
                <w:u w:val="none" w:color="auto"/>
                <w:vertAlign w:val="baseline"/>
              </w:rPr>
              <w:t>načrta za uvedbo na visoki ravni in</w:t>
            </w:r>
            <w:r>
              <w:t xml:space="preserve"> nacionalnih načrtov za uvedbo, v skladu s členom 63(6) Uredbe (EU)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4 – odstavek 2 – pododstavek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Od prvega dne postopnega začetka delovanja SVI začne vsaka država članica SVI uporabljati za evidentiranje in shranjevanje podatkov o državljanih tretjih držav iz člena 2(1) in (2) Uredbe (EU) 2017/2226 pri vstopu in izstopu na enem ali več mejnih prehodih, in sicer, če je to mogoče in ustrezno, na kombinaciji zračnih, kopenskih in morskih mejnih prehodov. Države članice v SVI evidentirajo vsaj 10 % ocenjenega števila prehodov meje v navedeni državi članici.</w:t>
            </w:r>
          </w:p>
        </w:tc>
        <w:tc>
          <w:tcPr>
            <w:tcW w:w="4876" w:type="dxa"/>
            <w:vAlign w:val="top"/>
          </w:tcPr>
          <w:p>
            <w:pPr>
              <w:pStyle w:val="Normal6a"/>
            </w:pPr>
            <w:r>
              <w:t xml:space="preserve">Od prvega dne postopnega začetka delovanja SVI začne vsaka država članica SVI uporabljati za evidentiranje in shranjevanje podatkov o državljanih tretjih držav iz člena 2(1) in (2) Uredbe (EU) 2017/2226 pri vstopu in izstopu na enem ali več mejnih prehodih, in sicer, če je to mogoče in ustrezno, na kombinaciji zračnih, kopenskih in morskih mejnih prehodov. Države članice </w:t>
            </w:r>
            <w:r>
              <w:rPr>
                <w:b/>
                <w:i/>
                <w:strike w:val="0"/>
                <w:color w:val="auto"/>
                <w:highlight w:val="none"/>
                <w:u w:val="none" w:color="auto"/>
                <w:vertAlign w:val="baseline"/>
              </w:rPr>
              <w:t>najpozneje do 30. koledarskega dne postopnega začetka delovanja</w:t>
            </w:r>
            <w:r>
              <w:t xml:space="preserve"> v SVI evidentirajo vsaj 10 % ocenjenega števila prehodov meje v navedeni državi članici.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4 – odstavek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Države članice najpozneje 90. koledarski dan </w:t>
            </w:r>
            <w:r>
              <w:rPr>
                <w:b/>
                <w:i/>
                <w:strike w:val="0"/>
                <w:color w:val="auto"/>
                <w:highlight w:val="none"/>
                <w:u w:val="none" w:color="auto"/>
                <w:vertAlign w:val="baseline"/>
              </w:rPr>
              <w:t>po postopnem začetku</w:t>
            </w:r>
            <w:r>
              <w:t xml:space="preserve"> delovanja SVI uporabljajo SVI z biometričnimi funkcijami vsaj na polovici svojih mejnih prehodov. Države članice evidentirajo vsaj </w:t>
            </w:r>
            <w:r>
              <w:rPr>
                <w:b/>
                <w:i/>
                <w:strike w:val="0"/>
                <w:color w:val="auto"/>
                <w:highlight w:val="none"/>
                <w:u w:val="none" w:color="auto"/>
                <w:vertAlign w:val="baseline"/>
              </w:rPr>
              <w:t>50</w:t>
            </w:r>
            <w:r>
              <w:t> % ocenjenega števila prehodov meje v navedeni državi članici. Individualna dokumentacija državljanov tretjih držav iz člena 2(1) in (2) Uredbe (EU) 2017/2226, ki je evidentirana v SVI, vsebuje biometrične podatke.</w:t>
            </w:r>
          </w:p>
        </w:tc>
        <w:tc>
          <w:tcPr>
            <w:tcW w:w="4876" w:type="dxa"/>
            <w:vAlign w:val="top"/>
          </w:tcPr>
          <w:p>
            <w:pPr>
              <w:pStyle w:val="Normal6a"/>
            </w:pPr>
            <w:r>
              <w:t>3.</w:t>
            </w:r>
            <w:r>
              <w:tab/>
            </w:r>
            <w:r>
              <w:t xml:space="preserve">Države članice najpozneje 90. koledarski dan </w:t>
            </w:r>
            <w:r>
              <w:rPr>
                <w:b/>
                <w:i/>
                <w:strike w:val="0"/>
                <w:color w:val="auto"/>
                <w:highlight w:val="none"/>
                <w:u w:val="none" w:color="auto"/>
                <w:vertAlign w:val="baseline"/>
              </w:rPr>
              <w:t>postopnega začetka</w:t>
            </w:r>
            <w:r>
              <w:t xml:space="preserve"> delovanja SVI uporabljajo SVI z biometričnimi funkcijami vsaj na polovici svojih mejnih prehodov. Države članice evidentirajo vsaj </w:t>
            </w:r>
            <w:r>
              <w:rPr>
                <w:b/>
                <w:i/>
                <w:strike w:val="0"/>
                <w:color w:val="auto"/>
                <w:highlight w:val="none"/>
                <w:u w:val="none" w:color="auto"/>
                <w:vertAlign w:val="baseline"/>
              </w:rPr>
              <w:t>35</w:t>
            </w:r>
            <w:r>
              <w:t> % ocenjenega števila prehodov meje v navedeni državi članici. Individualna dokumentacija državljanov tretjih držav iz člena 2(1) in (2) Uredbe (EU) 2017/2226, ki je evidentirana v SVI, vsebuje biometrične podatke.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4 – odstavek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Države članice najpozneje 150. koledarski dan </w:t>
            </w:r>
            <w:r>
              <w:rPr>
                <w:b/>
                <w:i/>
                <w:strike w:val="0"/>
                <w:color w:val="auto"/>
                <w:highlight w:val="none"/>
                <w:u w:val="none" w:color="auto"/>
                <w:vertAlign w:val="baseline"/>
              </w:rPr>
              <w:t>po postopnem začetku</w:t>
            </w:r>
            <w:r>
              <w:t xml:space="preserve"> delovanja SVI uporabljajo SVI z biometričnimi funkcijami na vseh svojih mejnih prehodih in v SVI še naprej evidentirajo vsaj 50 % ocenjenega števila prehodov meje v navedeni državi članici.</w:t>
            </w:r>
          </w:p>
        </w:tc>
        <w:tc>
          <w:tcPr>
            <w:tcW w:w="4876" w:type="dxa"/>
            <w:vAlign w:val="top"/>
          </w:tcPr>
          <w:p>
            <w:pPr>
              <w:pStyle w:val="Normal6a"/>
            </w:pPr>
            <w:r>
              <w:t>4.</w:t>
            </w:r>
            <w:r>
              <w:tab/>
            </w:r>
            <w:r>
              <w:t xml:space="preserve">Države članice najpozneje 150. koledarski dan </w:t>
            </w:r>
            <w:r>
              <w:rPr>
                <w:b/>
                <w:i/>
                <w:strike w:val="0"/>
                <w:color w:val="auto"/>
                <w:highlight w:val="none"/>
                <w:u w:val="none" w:color="auto"/>
                <w:vertAlign w:val="baseline"/>
              </w:rPr>
              <w:t>postopnega začetka</w:t>
            </w:r>
            <w:r>
              <w:t xml:space="preserve"> delovanja SVI uporabljajo SVI z biometričnimi funkcijami na vseh svojih mejnih prehodih in v SVI še naprej evidentirajo vsaj 50 % ocenjenega števila prehodov meje v navedeni državi članici.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4 – odstavek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Države članice najpozneje 170. koledarski dan </w:t>
            </w:r>
            <w:r>
              <w:rPr>
                <w:b/>
                <w:i/>
                <w:strike w:val="0"/>
                <w:color w:val="auto"/>
                <w:highlight w:val="none"/>
                <w:u w:val="none" w:color="auto"/>
                <w:vertAlign w:val="baseline"/>
              </w:rPr>
              <w:t>po postopnem začetku</w:t>
            </w:r>
            <w:r>
              <w:t xml:space="preserve"> delovanja SVI uporabljajo SVI z biometričnimi funkcijami na vseh svojih mejnih prehodih in v SVI evidentirajo vse državljane tretjih držav iz člena 2(1) in (2) Uredbe (EU) 2017/2226.</w:t>
            </w:r>
          </w:p>
        </w:tc>
        <w:tc>
          <w:tcPr>
            <w:tcW w:w="4876" w:type="dxa"/>
            <w:vAlign w:val="top"/>
          </w:tcPr>
          <w:p>
            <w:pPr>
              <w:pStyle w:val="Normal6a"/>
            </w:pPr>
            <w:r>
              <w:t>5.</w:t>
            </w:r>
            <w:r>
              <w:tab/>
            </w:r>
            <w:r>
              <w:t xml:space="preserve">Države članice najpozneje 170. koledarski dan </w:t>
            </w:r>
            <w:r>
              <w:rPr>
                <w:b/>
                <w:i/>
                <w:strike w:val="0"/>
                <w:color w:val="auto"/>
                <w:highlight w:val="none"/>
                <w:u w:val="none" w:color="auto"/>
                <w:vertAlign w:val="baseline"/>
              </w:rPr>
              <w:t>postopnega začetka</w:t>
            </w:r>
            <w:r>
              <w:t xml:space="preserve"> delovanja SVI uporabljajo SVI z biometričnimi funkcijami na vseh svojih mejnih prehodih in v SVI evidentirajo vse državljane tretjih držav iz člena 2(1) in (2) Uredbe (EU)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5 – odstavek 4 – pododstavek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Ta domneva se ne uporablja za državljane tretjih držav, ki lahko na kakršen koli način predložijo verodostojen dokaz, da imajo pravico do prostega gibanja </w:t>
            </w:r>
            <w:r>
              <w:rPr>
                <w:b/>
                <w:i/>
                <w:strike w:val="0"/>
                <w:color w:val="auto"/>
                <w:highlight w:val="none"/>
                <w:u w:val="none" w:color="auto"/>
                <w:vertAlign w:val="baseline"/>
              </w:rPr>
              <w:t>po pravu Unije, pravico do prebivanja v državi članici gostiteljici</w:t>
            </w:r>
            <w:r>
              <w:t xml:space="preserve"> na podlagi </w:t>
            </w:r>
            <w:r>
              <w:rPr>
                <w:b/>
                <w:i/>
                <w:strike w:val="0"/>
                <w:color w:val="auto"/>
                <w:highlight w:val="none"/>
                <w:u w:val="none" w:color="auto"/>
                <w:vertAlign w:val="baseline"/>
              </w:rPr>
              <w:t>sporazuma o izstopu med EU in Združenim kraljestvom oziroma</w:t>
            </w:r>
            <w:r>
              <w:t xml:space="preserve"> dovoljenje za prebivanje ali vizum za dolgoročno bivanje.</w:t>
            </w:r>
          </w:p>
        </w:tc>
        <w:tc>
          <w:tcPr>
            <w:tcW w:w="4876" w:type="dxa"/>
            <w:vAlign w:val="top"/>
          </w:tcPr>
          <w:p>
            <w:pPr>
              <w:pStyle w:val="Normal6a"/>
            </w:pPr>
            <w:r>
              <w:t xml:space="preserve">Ta domneva se ne uporablja za državljane tretjih držav, ki lahko na kakršen koli način predložijo verodostojen dokaz, da imajo pravico do prostega gibanja na podlagi </w:t>
            </w:r>
            <w:r>
              <w:rPr>
                <w:b/>
                <w:i/>
                <w:strike w:val="0"/>
                <w:color w:val="auto"/>
                <w:highlight w:val="none"/>
                <w:u w:val="none" w:color="auto"/>
                <w:vertAlign w:val="baseline"/>
              </w:rPr>
              <w:t>prava Unije ali</w:t>
            </w:r>
            <w:r>
              <w:t xml:space="preserve"> dovoljenje za prebivanje ali vizum za dolgoročno bivanje.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7 – odstavek 1 – pododstavek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V obeh primerih države članice </w:t>
            </w:r>
            <w:r>
              <w:rPr>
                <w:b/>
                <w:i/>
                <w:strike w:val="0"/>
                <w:color w:val="auto"/>
                <w:highlight w:val="none"/>
                <w:u w:val="none" w:color="auto"/>
                <w:vertAlign w:val="baseline"/>
              </w:rPr>
              <w:t>Komisijo in agencijo eu-LISA nemudoma</w:t>
            </w:r>
            <w:r>
              <w:t xml:space="preserve">, </w:t>
            </w:r>
            <w:r>
              <w:rPr>
                <w:b/>
                <w:i/>
                <w:strike w:val="0"/>
                <w:color w:val="auto"/>
                <w:highlight w:val="none"/>
                <w:u w:val="none" w:color="auto"/>
                <w:vertAlign w:val="baseline"/>
              </w:rPr>
              <w:t>najpozneje pa</w:t>
            </w:r>
            <w:r>
              <w:t xml:space="preserve"> šest ur po začetku začasne prekinitve</w:t>
            </w:r>
            <w:r>
              <w:rPr>
                <w:b/>
                <w:i/>
                <w:strike w:val="0"/>
                <w:color w:val="auto"/>
                <w:highlight w:val="none"/>
                <w:u w:val="none" w:color="auto"/>
                <w:vertAlign w:val="baseline"/>
              </w:rPr>
              <w:t>,</w:t>
            </w:r>
            <w:r>
              <w:t xml:space="preserve"> uradno obvestijo o razlogu za delno ali popolno </w:t>
            </w:r>
            <w:r>
              <w:rPr>
                <w:b/>
                <w:i/>
                <w:strike w:val="0"/>
                <w:color w:val="auto"/>
                <w:highlight w:val="none"/>
                <w:u w:val="none" w:color="auto"/>
                <w:vertAlign w:val="baseline"/>
              </w:rPr>
              <w:t>začasno</w:t>
            </w:r>
            <w:r>
              <w:t xml:space="preserve"> prekinitev in </w:t>
            </w:r>
            <w:r>
              <w:rPr>
                <w:b/>
                <w:i/>
                <w:strike w:val="0"/>
                <w:color w:val="auto"/>
                <w:highlight w:val="none"/>
                <w:u w:val="none" w:color="auto"/>
                <w:vertAlign w:val="baseline"/>
              </w:rPr>
              <w:t>o</w:t>
            </w:r>
            <w:r>
              <w:t xml:space="preserve"> njenem pričakovanem trajanju </w:t>
            </w:r>
            <w:r>
              <w:rPr>
                <w:b/>
                <w:i/>
                <w:strike w:val="0"/>
                <w:color w:val="auto"/>
                <w:highlight w:val="none"/>
                <w:u w:val="none" w:color="auto"/>
                <w:vertAlign w:val="baseline"/>
              </w:rPr>
              <w:t>ter zagotovijo, da so upravljavci infrastrukture, ki gosti mejne prehode, in prevozniki o taki začasni prekinitvi ustrezno obveščeni</w:t>
            </w:r>
            <w:r>
              <w:t xml:space="preserve">. Ko izjemne okoliščine, ki so privedle do začasne prekinitve, prenehajo, države članice o tem nemudoma </w:t>
            </w:r>
            <w:r>
              <w:rPr>
                <w:b/>
                <w:i/>
                <w:strike w:val="0"/>
                <w:color w:val="auto"/>
                <w:highlight w:val="none"/>
                <w:u w:val="none" w:color="auto"/>
                <w:vertAlign w:val="baseline"/>
              </w:rPr>
              <w:t>uradno</w:t>
            </w:r>
            <w:r>
              <w:t xml:space="preserve"> obvestijo Komisijo </w:t>
            </w:r>
            <w:r>
              <w:rPr>
                <w:b/>
                <w:i/>
                <w:strike w:val="0"/>
                <w:color w:val="auto"/>
                <w:highlight w:val="none"/>
                <w:u w:val="none" w:color="auto"/>
                <w:vertAlign w:val="baseline"/>
              </w:rPr>
              <w:t>in</w:t>
            </w:r>
            <w:r>
              <w:t xml:space="preserve"> agencijo eu-LISA.</w:t>
            </w:r>
          </w:p>
        </w:tc>
        <w:tc>
          <w:tcPr>
            <w:tcW w:w="4876" w:type="dxa"/>
            <w:vAlign w:val="top"/>
          </w:tcPr>
          <w:p>
            <w:pPr>
              <w:pStyle w:val="Normal6a"/>
            </w:pPr>
            <w:r>
              <w:t xml:space="preserve">V obeh primerih države članice </w:t>
            </w:r>
            <w:r>
              <w:rPr>
                <w:b/>
                <w:i/>
                <w:strike w:val="0"/>
                <w:color w:val="auto"/>
                <w:highlight w:val="none"/>
                <w:u w:val="none" w:color="auto"/>
                <w:vertAlign w:val="baseline"/>
              </w:rPr>
              <w:t>nemudoma obvestijo upravljavce infrastrukture, ki gosti mejne prehode</w:t>
            </w:r>
            <w:r>
              <w:t xml:space="preserve">, </w:t>
            </w:r>
            <w:r>
              <w:rPr>
                <w:b/>
                <w:i/>
                <w:strike w:val="0"/>
                <w:color w:val="auto"/>
                <w:highlight w:val="none"/>
                <w:u w:val="none" w:color="auto"/>
                <w:vertAlign w:val="baseline"/>
              </w:rPr>
              <w:t>in prevoznike.</w:t>
            </w:r>
            <w:r>
              <w:t xml:space="preserve"> </w:t>
            </w:r>
            <w:r>
              <w:rPr>
                <w:b/>
                <w:i/>
                <w:strike w:val="0"/>
                <w:color w:val="auto"/>
                <w:highlight w:val="none"/>
                <w:u w:val="none" w:color="auto"/>
                <w:vertAlign w:val="baseline"/>
              </w:rPr>
              <w:t>Države članice najpozneje</w:t>
            </w:r>
            <w:r>
              <w:t xml:space="preserve"> šest ur po začetku začasne prekinitve </w:t>
            </w:r>
            <w:r>
              <w:rPr>
                <w:b/>
                <w:i/>
                <w:strike w:val="0"/>
                <w:color w:val="auto"/>
                <w:highlight w:val="none"/>
                <w:u w:val="none" w:color="auto"/>
                <w:vertAlign w:val="baseline"/>
              </w:rPr>
              <w:t>Komisijo in agencijo eu-LISA</w:t>
            </w:r>
            <w:r>
              <w:t xml:space="preserve"> uradno obvestijo o razlogu za delno ali popolno prekinitev in njenem pričakovanem trajanju. Ko izjemne okoliščine, ki so privedle do začasne prekinitve, prenehajo, države članice </w:t>
            </w:r>
            <w:r>
              <w:rPr>
                <w:b/>
                <w:i/>
                <w:strike w:val="0"/>
                <w:color w:val="auto"/>
                <w:highlight w:val="none"/>
                <w:u w:val="none" w:color="auto"/>
                <w:vertAlign w:val="baseline"/>
              </w:rPr>
              <w:t>odpravijo začasno prekinitev in</w:t>
            </w:r>
            <w:r>
              <w:t xml:space="preserve"> o tem nemudoma obvestijo Komisijo</w:t>
            </w:r>
            <w:r>
              <w:rPr>
                <w:b/>
                <w:i/>
                <w:strike w:val="0"/>
                <w:color w:val="auto"/>
                <w:highlight w:val="none"/>
                <w:u w:val="none" w:color="auto"/>
                <w:vertAlign w:val="baseline"/>
              </w:rPr>
              <w:t>,</w:t>
            </w:r>
            <w:r>
              <w:t xml:space="preserve"> agencijo eu-LISA </w:t>
            </w:r>
            <w:r>
              <w:rPr>
                <w:b/>
                <w:i/>
                <w:strike w:val="0"/>
                <w:color w:val="auto"/>
                <w:highlight w:val="none"/>
                <w:u w:val="none" w:color="auto"/>
                <w:vertAlign w:val="baseline"/>
              </w:rPr>
              <w:t>ter upravljavce infrastrukture, ki gosti mejne prehode, in prevoznike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7 – odstavek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Če biometrične podatke vsebuje manj kot 80 % individualne dokumentacije, evidentirane v SVI med postopnim začetkom delovanja SVI, se obdobje iz odstavka 2 tega člena samodejno podaljša za 60 koledarskih dni.</w:t>
            </w:r>
          </w:p>
        </w:tc>
        <w:tc>
          <w:tcPr>
            <w:tcW w:w="4876" w:type="dxa"/>
            <w:vAlign w:val="top"/>
          </w:tcPr>
          <w:p>
            <w:pPr>
              <w:pStyle w:val="Normal6a"/>
            </w:pPr>
            <w:r>
              <w:rPr>
                <w:b/>
                <w:i/>
                <w:strike w:val="0"/>
                <w:color w:val="auto"/>
                <w:highlight w:val="none"/>
                <w:u w:val="none" w:color="auto"/>
                <w:vertAlign w:val="baseline"/>
              </w:rPr>
              <w:t>črtano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7 – odstavek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Agencija eu-LISA najpozneje deseti koledarski dan po koncu postopnega začetka delovanja SVI Komisiji predloži statistične podatke, na podlagi katerih lahko ta preveri, ali je bil navedeni odstotek dosežen. Komisija najpozneje do 30. koledarskega dne po koncu postopnega začetka delovanja SVI obvesti države članice o rezultatu preverjanja.</w:t>
            </w:r>
          </w:p>
        </w:tc>
        <w:tc>
          <w:tcPr>
            <w:tcW w:w="4876" w:type="dxa"/>
            <w:vAlign w:val="top"/>
          </w:tcPr>
          <w:p>
            <w:pPr>
              <w:pStyle w:val="Normal6a"/>
            </w:pPr>
            <w:r>
              <w:rPr>
                <w:b/>
                <w:i/>
                <w:strike w:val="0"/>
                <w:color w:val="auto"/>
                <w:highlight w:val="none"/>
                <w:u w:val="none" w:color="auto"/>
                <w:vertAlign w:val="baseline"/>
              </w:rPr>
              <w:t>črtano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uredbe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Člen 8 – odstavek 2 – pododstavek 1 – točka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Besedilo, ki ga predlaga Komisija</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člen 7(2) </w:t>
            </w:r>
            <w:r>
              <w:rPr>
                <w:b/>
                <w:i/>
                <w:strike w:val="0"/>
                <w:color w:val="auto"/>
                <w:highlight w:val="none"/>
                <w:u w:val="none" w:color="auto"/>
                <w:vertAlign w:val="baseline"/>
              </w:rPr>
              <w:t>in (3)</w:t>
            </w:r>
            <w:r>
              <w:t xml:space="preserve"> preneha uporabljati </w:t>
            </w:r>
            <w:r>
              <w:rPr>
                <w:b/>
                <w:i/>
                <w:strike w:val="0"/>
                <w:color w:val="auto"/>
                <w:highlight w:val="none"/>
                <w:u w:val="none" w:color="auto"/>
                <w:vertAlign w:val="baseline"/>
              </w:rPr>
              <w:t>300</w:t>
            </w:r>
            <w:r>
              <w:t xml:space="preserve"> koledarskih dni po datumu, ki ga določi Komisija v skladu s členom 66(1) Uredbe (EU) 2017/2226</w:t>
            </w:r>
            <w:r>
              <w:rPr>
                <w:b/>
                <w:i/>
                <w:strike w:val="0"/>
                <w:color w:val="auto"/>
                <w:highlight w:val="none"/>
                <w:u w:val="none" w:color="auto"/>
                <w:vertAlign w:val="baseline"/>
              </w:rPr>
              <w:t>;</w:t>
            </w:r>
          </w:p>
        </w:tc>
        <w:tc>
          <w:tcPr>
            <w:tcW w:w="4876" w:type="dxa"/>
            <w:vAlign w:val="top"/>
          </w:tcPr>
          <w:p>
            <w:pPr>
              <w:pStyle w:val="Normal6a"/>
            </w:pPr>
            <w:r>
              <w:t>(d)</w:t>
            </w:r>
            <w:r>
              <w:tab/>
            </w:r>
            <w:r>
              <w:t xml:space="preserve">člen 7(2) preneha uporabljati </w:t>
            </w:r>
            <w:r>
              <w:rPr>
                <w:b/>
                <w:i/>
                <w:strike w:val="0"/>
                <w:color w:val="auto"/>
                <w:highlight w:val="none"/>
                <w:u w:val="none" w:color="auto"/>
                <w:vertAlign w:val="baseline"/>
              </w:rPr>
              <w:t>240</w:t>
            </w:r>
            <w:r>
              <w:t xml:space="preserve"> koledarskih dni po datumu, ki ga določi Komisija v skladu s členom 66(1) Uredbe (EU) 2017/2226</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OBRAZLOŽITEV</w:t>
      </w:r>
      <w:bookmarkEnd w:id="1"/>
    </w:p>
    <w:p>
      <w:pPr>
        <w:pStyle w:val="Normal12a"/>
      </w:pPr>
      <w:r>
        <w:rPr>
          <w:rStyle w:val="Bold"/>
        </w:rPr>
        <w:t>Uvod</w:t>
      </w:r>
    </w:p>
    <w:p>
      <w:pPr>
        <w:pStyle w:val="Normal12a"/>
      </w:pPr>
      <w:r>
        <w:t>Sistem vstopa/izstopa (v nadaljnjem besedilu: SVI), vzpostavljen z Uredbo 2017/2226 (v nadaljnjem besedilu: uredba o SVI), je ključni element upravljanja meja schengenskega območja. V SVI se evidentirajo vstopi, izstopi in zavrnitve vstopa državljanov tretjih držav pri prehajanju zunanjih meja 29 schengenskih držav članic z namenom kratkoročnega bivanja. Predstavlja pomemben mejnik v prizadevanjih EU za večjo varnost in učinkovitost na njenih zunanjih mejah. Gre za prvi sistem, ki bo poleg alfanumeričnih podatkov zbiral tudi biometrične podatke državljanov tretjih držav, ki prečkajo zunanje meje, in sicer podobe obraza in prstne odtise. SVI bo schengenskim državam članicam omogočil, da v realnem času dostopajo do osebnih podatkov državljanov tretjih držav, njihove potovalne zgodovine in informacij o tem, ali spoštujejo dovoljeno obdobje kratkoročnega bivanja na schengenskem območju. Posledično naj bi SVI znatno zmanjšal verjetnost identitetnih prevar in prekoračitve obdobja dovoljenega bivanja, s čimer se bo izboljšala varnost schengenskega območja. Zaradi vzpostavitve avtomatizirane mejne infrastrukture bi moral SVI na koncu skrajšati čakalne dobe za dobroverne potnike na mejnih prehodih.</w:t>
      </w:r>
    </w:p>
    <w:p>
      <w:pPr>
        <w:pStyle w:val="Normal12a"/>
      </w:pPr>
      <w:r>
        <w:t>Razvoj SVI je trajal dlje, kot je bilo pričakovano, ciljni datumi za začetek delovanja pa so bili zamujeni. Ena od zahtev za začetek delovanja SVI je, da Komisija od vsake države članice prejme uradno obvestilo o pripravljenosti. Trenutno so tri države članice sporočile, da takšnega uradnega obvestila ne morejo predložiti. Ta zamuda je posledica kombinacije notranjih vprašanj in pomislekov glede stabilnosti centralnega sistema, ki ga upravlja agencija eu-LISA.</w:t>
      </w:r>
    </w:p>
    <w:p>
      <w:pPr>
        <w:pStyle w:val="Normal12a"/>
      </w:pPr>
      <w:r>
        <w:t>Glede na navedeno so deležniki, vključeni v delovanje SVI, menili, da bi bilo treba pred dogovorjeno uvedbo novih postopkov na zunanjih mejah določiti obdobje prilagoditve za nacionalne organe in potnike. Popolna uvedba novega obsežnega informacijskega sistema na vseh mejnih prehodih bi lahko pomenila tveganje za varno in nemoteno potovanje.</w:t>
      </w:r>
    </w:p>
    <w:p>
      <w:pPr>
        <w:pStyle w:val="Normal12a"/>
      </w:pPr>
      <w:r>
        <w:t>Vendar uredba o SVI omogoča le začetek delovanja v celoti, kar pomeni, da bi morale vse države članice začeti SVI uporabljati v celoti in sočasno za vse potnike, ki jih je treba evidentirati v SVI, na vseh svojih zunanjih mejnih prehodih. V uredbi ni predvidena možnost prilagoditvenega obdobja.</w:t>
      </w:r>
    </w:p>
    <w:p>
      <w:pPr>
        <w:pStyle w:val="Normal12a"/>
      </w:pPr>
      <w:r>
        <w:t>V zvezi s tem je Komisija decembra 2024 predstavila predlog o postopnem začetku delovanja SVI. S postopnim začetkom uporabe sistema bi se povečala uporaba v državah članicah v obdobju 180 dni, dokler se sistem ne bi začel v celoti izvajati.</w:t>
      </w:r>
    </w:p>
    <w:p>
      <w:pPr>
        <w:pStyle w:val="Normal12a"/>
      </w:pPr>
      <w:r>
        <w:rPr>
          <w:rStyle w:val="Bold"/>
        </w:rPr>
        <w:t>Stališče poročevalke</w:t>
      </w:r>
    </w:p>
    <w:p>
      <w:pPr>
        <w:pStyle w:val="Normal12a"/>
      </w:pPr>
      <w:r>
        <w:t>Poročevalka podpira SVI in njegova cilja, da se izboljša varnost in olajša pretok ljudi na zunanjih mejah EU. Grozljivi val terorističnih napadov v državah članicah EU, tudi v Franciji in Belgiji, v letih 2015 in 2016, da je treba povečati varnost meja. Poročevalka sicer razume težave pri vzpostavitvi obsežnega novega sistema, ki bi vključeval nove komponente strojne in programske opreme ter spremembo postopkov na mejnih prehodih, vendar obžaluje, da osem let po sprejetju uredbe sistem še vedno ne deluje. Varnostne grožnje se od leta 2017 niso zmanjšale, prav nasprotno. Da bi končno omogočili popolno uvedbo SVI, se poročevalka načeloma strinja s predlaganim postopnim začetkom delovanja.</w:t>
      </w:r>
    </w:p>
    <w:p>
      <w:pPr>
        <w:pStyle w:val="Normal12a"/>
      </w:pPr>
      <w:r>
        <w:t>Predlaga naslednje spremembe predloga Komisije:</w:t>
      </w:r>
    </w:p>
    <w:p>
      <w:pPr>
        <w:pStyle w:val="Normal12a"/>
      </w:pPr>
      <w:r>
        <w:t>1. Poročevalka poudarja, da je postopno uvajanje SVI v 180-dnevnem obdobju postopnega začetka delovanja prostovoljno. Države članice, ki se odločijo, da bodo SVI začele v celoti uporabljati za vse državljane tretjih držav, ki jih je treba evidentirati v SVI, od prvega dne naprej na vseh svojih mejnih prehodih, bi morale imeti to možnost.</w:t>
      </w:r>
    </w:p>
    <w:p>
      <w:pPr>
        <w:pStyle w:val="Normal12a"/>
      </w:pPr>
      <w:r>
        <w:t>2. Kljub temu bi bilo treba državam članicam, ki se namesto tega odločijo za postopno uvedbo SVI, omogočiti več prožnosti, kot je predvideno v predlogu Komisije. Namesto da se od prvega dne naprej začne z evidentiranjem vsaj 10 % ocenjenega števila prehodov, bi bilo treba državam članicam dovoliti, da v prvih 30 dneh postopnega začetka delovanja evidentirajo do 10 % ocenjenega števila prehodov. Namesto da se v SVI do 90. dne evidentira vsaj 50 % ocenjenega števila prehodov meje, bi morala ta stopnja doseči vsaj 35 %. Ti prilagojeni odstotki odražajo dejstvo, da uvajanje novih kompleksnih sistemov običajno poteka eksponentno, ne pa linearno.</w:t>
      </w:r>
    </w:p>
    <w:p>
      <w:pPr>
        <w:pStyle w:val="Normal12a"/>
      </w:pPr>
      <w:r>
        <w:t>3. Poročevalka poudarja, da v državah članicah uvedbe ne bi smele več ovirati omejitve v osrednji komponenti SVI, ki jo upravlja agencija eu-LISA.</w:t>
      </w:r>
    </w:p>
    <w:p>
      <w:pPr>
        <w:pStyle w:val="Normal12a"/>
      </w:pPr>
      <w:r>
        <w:t>4. Poročevalka pojasnjuje nekatere določbe v zvezi z načrtom za uvedbo in zahtevami glede mesečnega poročanja, podlago za izračun odstotkov in pretoka informacij med morebitno prekinitvijo uporabe sistema.</w:t>
      </w:r>
    </w:p>
    <w:p>
      <w:pPr>
        <w:pStyle w:val="Normal12a"/>
      </w:pPr>
      <w:r>
        <w:t>5. Poročevalka skrajšuje predlagano obdobje po postopnem začetku delovanja, v katerem lahko države članice delno prekinejo delovanje SVI, in poudarja, da morajo države članice, ki še niso izdale izjav o pripravljenosti, to nujno storiti, da bi se lahko sistem začel izvajati jeseni 2025, ko je nizka sezona za čezmejna potovanja.</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22</w:t>
    </w:r>
    <w:r>
      <w:fldChar w:fldCharType="end"/>
    </w:r>
    <w:r>
      <w:tab/>
    </w:r>
    <w:r>
      <w:rPr>
        <w:rStyle w:val="HideTWBExt"/>
      </w:rPr>
      <w:t>&lt;</w:t>
    </w:r>
    <w:r>
      <w:rPr>
        <w:rStyle w:val="HideTWBExt"/>
      </w:rPr>
      <w:t>PathFdR</w:t>
    </w:r>
    <w:r>
      <w:rPr>
        <w:rStyle w:val="HideTWBExt"/>
      </w:rPr>
      <w:t>&gt;</w:t>
    </w:r>
    <w:r>
      <w:t>PR\1316296SL.docx</w:t>
    </w:r>
    <w:r>
      <w:rPr>
        <w:rStyle w:val="HideTWBExt"/>
      </w:rPr>
      <w:t>&lt;/</w:t>
    </w:r>
    <w:r>
      <w:rPr>
        <w:rStyle w:val="HideTWBExt"/>
      </w:rPr>
      <w:t>PathFdR</w:t>
    </w:r>
    <w:r>
      <w:rPr>
        <w:rStyle w:val="HideTWBExt"/>
      </w:rPr>
      <w:t>&gt;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PR\1316296SL.docx</w:t>
    </w:r>
    <w:r>
      <w:rPr>
        <w:rStyle w:val="HideTWBExt"/>
      </w:rPr>
      <w:t>&lt;/</w:t>
    </w:r>
    <w:r>
      <w:rPr>
        <w:rStyle w:val="HideTWBExt"/>
      </w:rPr>
      <w:t>PathFdR</w:t>
    </w:r>
    <w:r>
      <w:rPr>
        <w:rStyle w:val="HideTWBExt"/>
      </w:rPr>
      <w:t>&gt;</w:t>
    </w:r>
    <w:r>
      <w:tab/>
    </w:r>
    <w:r>
      <w:fldChar w:fldCharType="begin"/>
    </w:r>
    <w:r>
      <w:instrText>PAGE</w:instrText>
    </w:r>
    <w:r>
      <w:fldChar w:fldCharType="separate"/>
    </w:r>
    <w:r>
      <w:t>21</w:t>
    </w:r>
    <w:r>
      <w:fldChar w:fldCharType="end"/>
    </w:r>
    <w:r>
      <w:t>/</w:t>
    </w:r>
    <w:r>
      <w:fldChar w:fldCharType="begin"/>
    </w:r>
    <w:r>
      <w:instrText>NUMPAGES</w:instrText>
    </w:r>
    <w:r>
      <w:fldChar w:fldCharType="separate"/>
    </w:r>
    <w:r>
      <w:t>22</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PR\1316296SL.docx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SL</w:t>
    </w:r>
    <w:r>
      <w:tab/>
    </w:r>
    <w:r>
      <w:rPr>
        <w:rStyle w:val="EPFooter2Motto"/>
      </w:rPr>
      <w:t>Združena v raznolikosti</w:t>
    </w:r>
    <w:r>
      <w:tab/>
    </w:r>
    <w:r>
      <w:t>SL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20250318-130803-000249-184953</vt:lpwstr>
  </property>
  <property fmtid="{D5CDD505-2E9C-101B-9397-08002B2CF9AE}" pid="7" name="FooterPath">
    <vt:lpwstr>PR\1316296SL.doc</vt:lpwstr>
  </property>
  <property fmtid="{D5CDD505-2E9C-101B-9397-08002B2CF9AE}" pid="8" name="PE Number">
    <vt:lpwstr>770.093</vt:lpwstr>
  </property>
  <property fmtid="{D5CDD505-2E9C-101B-9397-08002B2CF9AE}" pid="9" name="UID">
    <vt:lpwstr>eu.europa.europarl-DIN1-2025-0000040829_01.05-sl-01.00_text-xml</vt:lpwstr>
  </property>
</Properties>
</file>