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7E12" w:rsidRPr="001E7842" w:rsidTr="0052304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1E7842" w:rsidRDefault="00DE20D3" w:rsidP="0052304F">
            <w:pPr>
              <w:pStyle w:val="EPName"/>
            </w:pPr>
            <w:r w:rsidRPr="001E7842">
              <w:t>Европейски парламент</w:t>
            </w:r>
          </w:p>
          <w:p w:rsidR="00B13D6F" w:rsidRPr="001E7842" w:rsidRDefault="00DE20D3" w:rsidP="0052304F">
            <w:pPr>
              <w:pStyle w:val="EPTerm"/>
            </w:pPr>
            <w:r w:rsidRPr="001E7842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13D6F" w:rsidRPr="001E7842" w:rsidRDefault="00DE20D3" w:rsidP="0052304F">
            <w:pPr>
              <w:pStyle w:val="EPLogo"/>
            </w:pPr>
            <w:r w:rsidRPr="001E784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1E7842" w:rsidRDefault="00461601" w:rsidP="00461601">
      <w:pPr>
        <w:pStyle w:val="LineTop"/>
      </w:pPr>
    </w:p>
    <w:p w:rsidR="00461601" w:rsidRPr="001E7842" w:rsidRDefault="00DE20D3" w:rsidP="00461601">
      <w:pPr>
        <w:pStyle w:val="EPBody"/>
      </w:pPr>
      <w:r w:rsidRPr="001E7842">
        <w:rPr>
          <w:rStyle w:val="HideTWBExt"/>
        </w:rPr>
        <w:t>&lt;</w:t>
      </w:r>
      <w:r w:rsidRPr="001E7842">
        <w:rPr>
          <w:rStyle w:val="HideTWBExt"/>
          <w:i w:val="0"/>
        </w:rPr>
        <w:t>Commission</w:t>
      </w:r>
      <w:r w:rsidRPr="001E7842">
        <w:rPr>
          <w:rStyle w:val="HideTWBExt"/>
        </w:rPr>
        <w:t>&gt;</w:t>
      </w:r>
      <w:r w:rsidRPr="001E7842">
        <w:rPr>
          <w:rStyle w:val="HideTWBInt"/>
          <w:color w:val="auto"/>
        </w:rPr>
        <w:t>{LIBE}</w:t>
      </w:r>
      <w:r w:rsidRPr="001E7842">
        <w:t>Комисия по граждански свободи, правосъдие и вътрешни работи</w:t>
      </w:r>
      <w:r w:rsidRPr="001E7842">
        <w:rPr>
          <w:rStyle w:val="HideTWBExt"/>
        </w:rPr>
        <w:t>&lt;/</w:t>
      </w:r>
      <w:r w:rsidRPr="001E7842">
        <w:rPr>
          <w:rStyle w:val="HideTWBExt"/>
          <w:i w:val="0"/>
        </w:rPr>
        <w:t>Commission</w:t>
      </w:r>
      <w:r w:rsidRPr="001E7842">
        <w:rPr>
          <w:rStyle w:val="HideTWBExt"/>
        </w:rPr>
        <w:t>&gt;</w:t>
      </w:r>
    </w:p>
    <w:p w:rsidR="00461601" w:rsidRPr="001E7842" w:rsidRDefault="00461601" w:rsidP="00461601">
      <w:pPr>
        <w:pStyle w:val="LineBottom"/>
      </w:pPr>
    </w:p>
    <w:p w:rsidR="00793EA9" w:rsidRPr="001E7842" w:rsidRDefault="00DE20D3">
      <w:pPr>
        <w:pStyle w:val="CoverReference"/>
      </w:pPr>
      <w:r w:rsidRPr="001E7842">
        <w:rPr>
          <w:rStyle w:val="HideTWBExt"/>
          <w:b w:val="0"/>
        </w:rPr>
        <w:t>&lt;RefProc&gt;</w:t>
      </w:r>
      <w:r w:rsidRPr="001E7842">
        <w:t>2022/0084</w:t>
      </w:r>
      <w:r w:rsidRPr="001E7842">
        <w:rPr>
          <w:rStyle w:val="HideTWBExt"/>
          <w:b w:val="0"/>
        </w:rPr>
        <w:t>&lt;/RefProc&gt;&lt;RefTypeProc&gt;</w:t>
      </w:r>
      <w:r w:rsidRPr="001E7842">
        <w:t>(COD)</w:t>
      </w:r>
      <w:r w:rsidRPr="001E7842">
        <w:rPr>
          <w:rStyle w:val="HideTWBExt"/>
          <w:b w:val="0"/>
        </w:rPr>
        <w:t>&lt;/RefTypeProc&gt;</w:t>
      </w:r>
    </w:p>
    <w:p w:rsidR="00793EA9" w:rsidRPr="001E7842" w:rsidRDefault="00DE20D3">
      <w:pPr>
        <w:pStyle w:val="CoverDate"/>
      </w:pPr>
      <w:r w:rsidRPr="001E7842">
        <w:rPr>
          <w:rStyle w:val="HideTWBExt"/>
        </w:rPr>
        <w:t>&lt;Date&gt;</w:t>
      </w:r>
      <w:r w:rsidRPr="001E7842">
        <w:rPr>
          <w:rStyle w:val="HideTWBInt"/>
          <w:color w:val="auto"/>
        </w:rPr>
        <w:t>{02/09/2025}</w:t>
      </w:r>
      <w:r w:rsidRPr="001E7842">
        <w:t>2.9.2025</w:t>
      </w:r>
      <w:r w:rsidRPr="001E7842">
        <w:rPr>
          <w:rStyle w:val="HideTWBExt"/>
        </w:rPr>
        <w:t>&lt;/Date&gt;</w:t>
      </w:r>
    </w:p>
    <w:p w:rsidR="00793EA9" w:rsidRPr="001E7842" w:rsidRDefault="00DE20D3">
      <w:pPr>
        <w:pStyle w:val="CoverDocType"/>
      </w:pPr>
      <w:r w:rsidRPr="001E7842">
        <w:rPr>
          <w:rStyle w:val="HideTWBExt"/>
          <w:b w:val="0"/>
        </w:rPr>
        <w:t>&lt;RefProcLect&gt;</w:t>
      </w:r>
      <w:r w:rsidRPr="001E7842">
        <w:t>***I</w:t>
      </w:r>
      <w:r w:rsidRPr="001E7842">
        <w:rPr>
          <w:rStyle w:val="HideTWBExt"/>
          <w:b w:val="0"/>
        </w:rPr>
        <w:t>&lt;/RefProcLect&gt;</w:t>
      </w:r>
    </w:p>
    <w:p w:rsidR="00793EA9" w:rsidRPr="001E7842" w:rsidRDefault="00DE20D3">
      <w:pPr>
        <w:pStyle w:val="CoverDocType24a"/>
      </w:pPr>
      <w:r w:rsidRPr="001E7842">
        <w:rPr>
          <w:rStyle w:val="HideTWBExt"/>
          <w:b w:val="0"/>
        </w:rPr>
        <w:t>&lt;TitreType&gt;</w:t>
      </w:r>
      <w:r w:rsidRPr="001E7842">
        <w:t>ПРОЕКТ НА ДОКЛАД</w:t>
      </w:r>
      <w:r w:rsidRPr="001E7842">
        <w:rPr>
          <w:rStyle w:val="HideTWBExt"/>
          <w:b w:val="0"/>
        </w:rPr>
        <w:t>&lt;/TitreType&gt;</w:t>
      </w:r>
    </w:p>
    <w:p w:rsidR="00793EA9" w:rsidRPr="001E7842" w:rsidRDefault="00DE20D3">
      <w:pPr>
        <w:pStyle w:val="CoverNormal"/>
      </w:pPr>
      <w:r w:rsidRPr="001E7842">
        <w:rPr>
          <w:rStyle w:val="HideTWBExt"/>
        </w:rPr>
        <w:t>&lt;Titre&gt;</w:t>
      </w:r>
      <w:r w:rsidRPr="001E7842">
        <w:t>относно предложението за Регламент на Европейския парламент и на Съвета относно информационната сигурност в институциите, органите, службите и агенциите на Съюза</w:t>
      </w:r>
      <w:r w:rsidRPr="001E7842">
        <w:rPr>
          <w:rStyle w:val="HideTWBExt"/>
        </w:rPr>
        <w:t>&lt;/Titre&gt;</w:t>
      </w:r>
    </w:p>
    <w:p w:rsidR="00793EA9" w:rsidRPr="001E7842" w:rsidRDefault="00DE20D3">
      <w:pPr>
        <w:pStyle w:val="CoverNormal24a"/>
      </w:pPr>
      <w:r w:rsidRPr="001E7842">
        <w:rPr>
          <w:rStyle w:val="HideTWBExt"/>
        </w:rPr>
        <w:t>&lt;DocRef&gt;</w:t>
      </w:r>
      <w:r w:rsidRPr="001E7842">
        <w:t>(COM(2022)0119 – C9</w:t>
      </w:r>
      <w:r w:rsidRPr="001E7842">
        <w:noBreakHyphen/>
        <w:t>0121/2022 –</w:t>
      </w:r>
      <w:r w:rsidRPr="001E7842">
        <w:t xml:space="preserve"> 2022/0084(COD))</w:t>
      </w:r>
      <w:r w:rsidRPr="001E7842">
        <w:rPr>
          <w:rStyle w:val="HideTWBExt"/>
        </w:rPr>
        <w:t>&lt;/DocRef&gt;</w:t>
      </w:r>
    </w:p>
    <w:p w:rsidR="00793EA9" w:rsidRPr="001E7842" w:rsidRDefault="00DE20D3">
      <w:pPr>
        <w:pStyle w:val="CoverNormal24a"/>
      </w:pPr>
      <w:r w:rsidRPr="001E7842">
        <w:rPr>
          <w:rStyle w:val="HideTWBExt"/>
        </w:rPr>
        <w:t>&lt;Commission&gt;</w:t>
      </w:r>
      <w:r w:rsidRPr="001E7842">
        <w:rPr>
          <w:rStyle w:val="HideTWBInt"/>
          <w:color w:val="auto"/>
        </w:rPr>
        <w:t>{LIBE}</w:t>
      </w:r>
      <w:r w:rsidRPr="001E7842">
        <w:t>Комисия по граждански свободи, правосъдие и вътрешни работи</w:t>
      </w:r>
      <w:r w:rsidRPr="001E7842">
        <w:rPr>
          <w:rStyle w:val="HideTWBExt"/>
        </w:rPr>
        <w:t>&lt;/Commission&gt;</w:t>
      </w:r>
    </w:p>
    <w:p w:rsidR="008573EC" w:rsidRPr="001E7842" w:rsidRDefault="00DE20D3" w:rsidP="008573EC">
      <w:pPr>
        <w:pStyle w:val="CoverNormal24a"/>
      </w:pPr>
      <w:r w:rsidRPr="001E7842">
        <w:t xml:space="preserve">Докладчик: </w:t>
      </w:r>
      <w:r w:rsidRPr="001E7842">
        <w:rPr>
          <w:rStyle w:val="HideTWBExt"/>
        </w:rPr>
        <w:t>&lt;Depute&gt;</w:t>
      </w:r>
      <w:r w:rsidRPr="001E7842">
        <w:t>Лена Дюпон</w:t>
      </w:r>
      <w:r w:rsidRPr="001E7842">
        <w:rPr>
          <w:rStyle w:val="HideTWBExt"/>
        </w:rPr>
        <w:t>&lt;/Depute&gt;</w:t>
      </w:r>
    </w:p>
    <w:p w:rsidR="001C5B44" w:rsidRPr="001E7842" w:rsidRDefault="001C5B44" w:rsidP="001C5B44">
      <w:pPr>
        <w:pStyle w:val="CoverNormal"/>
      </w:pPr>
    </w:p>
    <w:p w:rsidR="0052304F" w:rsidRPr="001E7842" w:rsidRDefault="00DE20D3" w:rsidP="0052304F">
      <w:r w:rsidRPr="001E7842">
        <w:br w:type="page"/>
      </w:r>
      <w:r w:rsidRPr="001E7842">
        <w:lastRenderedPageBreak/>
        <w:fldChar w:fldCharType="begin"/>
      </w:r>
      <w:r w:rsidRPr="001E7842">
        <w:instrText xml:space="preserve"> TITLE  \* MERGEFORMAT </w:instrText>
      </w:r>
      <w:r w:rsidRPr="001E7842">
        <w:fldChar w:fldCharType="separate"/>
      </w:r>
      <w:r>
        <w:t>PR_COD_1amCom</w:t>
      </w:r>
      <w:r w:rsidRPr="001E7842">
        <w:fldChar w:fldCharType="end"/>
      </w:r>
    </w:p>
    <w:p w:rsidR="0052304F" w:rsidRPr="001E7842" w:rsidRDefault="0052304F" w:rsidP="0052304F"/>
    <w:p w:rsidR="0052304F" w:rsidRPr="001E7842" w:rsidRDefault="0052304F" w:rsidP="0052304F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137E12" w:rsidRPr="001E7842">
        <w:tc>
          <w:tcPr>
            <w:tcW w:w="5811" w:type="dxa"/>
          </w:tcPr>
          <w:p w:rsidR="0052304F" w:rsidRPr="001E7842" w:rsidRDefault="00DE20D3" w:rsidP="0052304F">
            <w:pPr>
              <w:pStyle w:val="Lgendetitre"/>
            </w:pPr>
            <w:r w:rsidRPr="001E7842">
              <w:t>Легенда на използваните знаци</w:t>
            </w:r>
          </w:p>
        </w:tc>
      </w:tr>
      <w:tr w:rsidR="00137E12" w:rsidRPr="001E7842" w:rsidTr="0052304F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52304F" w:rsidRPr="001E7842" w:rsidRDefault="00DE20D3" w:rsidP="0052304F">
            <w:pPr>
              <w:pStyle w:val="Lgendesigne"/>
            </w:pPr>
            <w:r w:rsidRPr="001E7842">
              <w:tab/>
              <w:t>*</w:t>
            </w:r>
            <w:r w:rsidRPr="001E7842">
              <w:tab/>
              <w:t xml:space="preserve">Процедура на </w:t>
            </w:r>
            <w:r w:rsidRPr="001E7842">
              <w:t>консултация</w:t>
            </w:r>
          </w:p>
          <w:p w:rsidR="0052304F" w:rsidRPr="001E7842" w:rsidRDefault="00DE20D3" w:rsidP="0052304F">
            <w:pPr>
              <w:pStyle w:val="Lgendesigne"/>
            </w:pPr>
            <w:r w:rsidRPr="001E7842">
              <w:tab/>
              <w:t>***</w:t>
            </w:r>
            <w:r w:rsidRPr="001E7842">
              <w:tab/>
              <w:t>Процедура на одобрение</w:t>
            </w:r>
          </w:p>
          <w:p w:rsidR="0052304F" w:rsidRPr="001E7842" w:rsidRDefault="00DE20D3" w:rsidP="0052304F">
            <w:pPr>
              <w:pStyle w:val="Lgendesigne"/>
            </w:pPr>
            <w:r w:rsidRPr="001E7842">
              <w:tab/>
              <w:t>***I</w:t>
            </w:r>
            <w:r w:rsidRPr="001E7842">
              <w:tab/>
              <w:t>Обикновена законодателна процедура (първо четене)</w:t>
            </w:r>
          </w:p>
          <w:p w:rsidR="0052304F" w:rsidRPr="001E7842" w:rsidRDefault="00DE20D3" w:rsidP="0052304F">
            <w:pPr>
              <w:pStyle w:val="Lgendesigne"/>
            </w:pPr>
            <w:r w:rsidRPr="001E7842">
              <w:tab/>
              <w:t>***II</w:t>
            </w:r>
            <w:r w:rsidRPr="001E7842">
              <w:tab/>
              <w:t>Обикновена законодателна процедура (второ четене)</w:t>
            </w:r>
          </w:p>
          <w:p w:rsidR="0052304F" w:rsidRPr="001E7842" w:rsidRDefault="00DE20D3" w:rsidP="0052304F">
            <w:pPr>
              <w:pStyle w:val="Lgendesigne"/>
            </w:pPr>
            <w:r w:rsidRPr="001E7842">
              <w:tab/>
              <w:t>***III</w:t>
            </w:r>
            <w:r w:rsidRPr="001E7842">
              <w:tab/>
              <w:t>Обикновена законодателна процедура (трето четене)</w:t>
            </w:r>
          </w:p>
          <w:p w:rsidR="0052304F" w:rsidRPr="001E7842" w:rsidRDefault="0052304F" w:rsidP="0052304F">
            <w:pPr>
              <w:pStyle w:val="Lgendestandard"/>
            </w:pPr>
          </w:p>
          <w:p w:rsidR="0052304F" w:rsidRPr="001E7842" w:rsidRDefault="00DE20D3" w:rsidP="0052304F">
            <w:pPr>
              <w:pStyle w:val="Lgendestandard"/>
            </w:pPr>
            <w:r w:rsidRPr="001E7842">
              <w:t xml:space="preserve">(Посочената процедура се базира на правното </w:t>
            </w:r>
            <w:r w:rsidRPr="001E7842">
              <w:t>основание, предложено в проекта на акт.)</w:t>
            </w:r>
          </w:p>
          <w:p w:rsidR="0052304F" w:rsidRPr="001E7842" w:rsidRDefault="0052304F" w:rsidP="0052304F">
            <w:pPr>
              <w:pStyle w:val="Lgendestandard"/>
            </w:pPr>
          </w:p>
        </w:tc>
      </w:tr>
    </w:tbl>
    <w:p w:rsidR="0052304F" w:rsidRPr="001E7842" w:rsidRDefault="0052304F" w:rsidP="0052304F"/>
    <w:p w:rsidR="0052304F" w:rsidRPr="001E7842" w:rsidRDefault="0052304F" w:rsidP="0052304F"/>
    <w:p w:rsidR="0052304F" w:rsidRPr="001E7842" w:rsidRDefault="0052304F" w:rsidP="0052304F"/>
    <w:p w:rsidR="0052304F" w:rsidRPr="001E7842" w:rsidRDefault="0052304F" w:rsidP="0052304F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137E12" w:rsidRPr="001E7842">
        <w:tc>
          <w:tcPr>
            <w:tcW w:w="5811" w:type="dxa"/>
          </w:tcPr>
          <w:p w:rsidR="0052304F" w:rsidRPr="001E7842" w:rsidRDefault="00DE20D3" w:rsidP="0052304F">
            <w:pPr>
              <w:pStyle w:val="Lgendetitre"/>
            </w:pPr>
            <w:r w:rsidRPr="001E7842">
              <w:t>Изменения към проект на акт</w:t>
            </w:r>
          </w:p>
        </w:tc>
      </w:tr>
      <w:tr w:rsidR="00137E12" w:rsidRPr="001E7842" w:rsidTr="0052304F">
        <w:trPr>
          <w:trHeight w:val="4496"/>
        </w:trPr>
        <w:tc>
          <w:tcPr>
            <w:tcW w:w="5811" w:type="dxa"/>
          </w:tcPr>
          <w:p w:rsidR="0052304F" w:rsidRPr="001E7842" w:rsidRDefault="00DE20D3" w:rsidP="0052304F">
            <w:pPr>
              <w:pStyle w:val="Lgendestandard"/>
              <w:rPr>
                <w:szCs w:val="24"/>
              </w:rPr>
            </w:pPr>
            <w:r w:rsidRPr="001E7842">
              <w:rPr>
                <w:b/>
              </w:rPr>
              <w:t>Изменения в две колони, внесени от Парламента</w:t>
            </w:r>
          </w:p>
          <w:p w:rsidR="0052304F" w:rsidRPr="001E7842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1E7842" w:rsidRDefault="00DE20D3" w:rsidP="0052304F">
            <w:pPr>
              <w:pStyle w:val="Lgendestandard"/>
              <w:rPr>
                <w:szCs w:val="24"/>
              </w:rPr>
            </w:pPr>
            <w:r w:rsidRPr="001E7842">
              <w:t xml:space="preserve">Заличаванията се обозначават с </w:t>
            </w:r>
            <w:r w:rsidRPr="001E7842">
              <w:rPr>
                <w:b/>
                <w:i/>
              </w:rPr>
              <w:t>получер курсив</w:t>
            </w:r>
            <w:r w:rsidRPr="001E7842">
              <w:t xml:space="preserve"> в лявата колона. Заместванията се обозначават с </w:t>
            </w:r>
            <w:r w:rsidRPr="001E7842">
              <w:rPr>
                <w:b/>
                <w:i/>
              </w:rPr>
              <w:t>получер курсив</w:t>
            </w:r>
            <w:r w:rsidRPr="001E7842">
              <w:t xml:space="preserve"> в двете колони. </w:t>
            </w:r>
            <w:r w:rsidRPr="001E7842">
              <w:t xml:space="preserve">Новият текст се обозначава с </w:t>
            </w:r>
            <w:r w:rsidRPr="001E7842">
              <w:rPr>
                <w:b/>
                <w:i/>
              </w:rPr>
              <w:t>получер курсив</w:t>
            </w:r>
            <w:r w:rsidRPr="001E7842">
              <w:t xml:space="preserve"> в дясната колона.</w:t>
            </w:r>
          </w:p>
          <w:p w:rsidR="0052304F" w:rsidRPr="001E7842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1E7842" w:rsidRDefault="00DE20D3" w:rsidP="0052304F">
            <w:pPr>
              <w:pStyle w:val="Lgendestandard"/>
              <w:rPr>
                <w:szCs w:val="24"/>
              </w:rPr>
            </w:pPr>
            <w:r w:rsidRPr="001E7842">
              <w:t>В първия и втория ред на антетката на всяко изменение се посочва съответната част от текста в разглеждания проект на акт. Ако изменението се отнася до съществуващ акт, който проектът на акт има</w:t>
            </w:r>
            <w:r w:rsidRPr="001E7842">
              <w:t xml:space="preserve"> за цел да измени, антетката съдържа и трети и четвърти ред, където се посочват съответно съществуващият акт и съответната разпоредба от него.</w:t>
            </w:r>
          </w:p>
          <w:p w:rsidR="0052304F" w:rsidRPr="001E7842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1E7842" w:rsidRDefault="00DE20D3" w:rsidP="0052304F">
            <w:pPr>
              <w:pStyle w:val="Lgendestandard"/>
              <w:rPr>
                <w:b/>
                <w:szCs w:val="24"/>
              </w:rPr>
            </w:pPr>
            <w:r w:rsidRPr="001E7842">
              <w:rPr>
                <w:b/>
              </w:rPr>
              <w:t>Изменения, внесени от Парламента под формата на консолидиран текст</w:t>
            </w:r>
          </w:p>
          <w:p w:rsidR="0052304F" w:rsidRPr="001E7842" w:rsidRDefault="0052304F" w:rsidP="0052304F">
            <w:pPr>
              <w:pStyle w:val="Lgendestandard"/>
              <w:rPr>
                <w:szCs w:val="24"/>
              </w:rPr>
            </w:pPr>
          </w:p>
          <w:p w:rsidR="0052304F" w:rsidRPr="001E7842" w:rsidRDefault="00DE20D3" w:rsidP="0052304F">
            <w:pPr>
              <w:pStyle w:val="Lgendestandard"/>
              <w:rPr>
                <w:szCs w:val="24"/>
              </w:rPr>
            </w:pPr>
            <w:r w:rsidRPr="001E7842">
              <w:t xml:space="preserve">Новите части от текста се посочват с </w:t>
            </w:r>
            <w:r w:rsidRPr="001E7842">
              <w:rPr>
                <w:b/>
                <w:i/>
              </w:rPr>
              <w:t>получер</w:t>
            </w:r>
            <w:r w:rsidRPr="001E7842">
              <w:rPr>
                <w:b/>
                <w:i/>
              </w:rPr>
              <w:t xml:space="preserve"> курсив</w:t>
            </w:r>
            <w:r w:rsidRPr="001E7842">
              <w:t xml:space="preserve">. Заличените части от текста се посочват със символа ▌ или се зачеркват. Заместванията се обозначават, като се посочва с </w:t>
            </w:r>
            <w:r w:rsidRPr="001E7842">
              <w:rPr>
                <w:b/>
                <w:i/>
              </w:rPr>
              <w:t>получер курсив</w:t>
            </w:r>
            <w:r w:rsidRPr="001E7842">
              <w:t xml:space="preserve"> новият текст и се заличава или зачерква заместваният текст. </w:t>
            </w:r>
          </w:p>
          <w:p w:rsidR="0052304F" w:rsidRPr="001E7842" w:rsidRDefault="00DE20D3" w:rsidP="0052304F">
            <w:pPr>
              <w:pStyle w:val="Lgendestandard"/>
            </w:pPr>
            <w:r w:rsidRPr="001E7842">
              <w:t>По изключение не се отбелязват измененията с чисто т</w:t>
            </w:r>
            <w:r w:rsidRPr="001E7842">
              <w:t>ехническо естество, които се нанасят от службите с оглед изготвянето на окончателния текст.</w:t>
            </w:r>
          </w:p>
          <w:p w:rsidR="0052304F" w:rsidRPr="001E7842" w:rsidRDefault="0052304F" w:rsidP="0052304F">
            <w:pPr>
              <w:pStyle w:val="Lgendestandard"/>
            </w:pPr>
          </w:p>
        </w:tc>
      </w:tr>
    </w:tbl>
    <w:p w:rsidR="0052304F" w:rsidRPr="001E7842" w:rsidRDefault="0052304F" w:rsidP="0052304F"/>
    <w:p w:rsidR="00793EA9" w:rsidRPr="001E7842" w:rsidRDefault="00793EA9" w:rsidP="00012351">
      <w:pPr>
        <w:widowControl/>
        <w:tabs>
          <w:tab w:val="center" w:pos="4677"/>
        </w:tabs>
      </w:pPr>
    </w:p>
    <w:p w:rsidR="00793EA9" w:rsidRPr="001E7842" w:rsidRDefault="00DE20D3">
      <w:pPr>
        <w:pStyle w:val="TOCHeading"/>
      </w:pPr>
      <w:r w:rsidRPr="001E7842">
        <w:br w:type="page"/>
      </w:r>
      <w:r w:rsidRPr="001E7842">
        <w:lastRenderedPageBreak/>
        <w:t>СЪДЪРЖАНИЕ</w:t>
      </w:r>
    </w:p>
    <w:p w:rsidR="00793EA9" w:rsidRPr="001E7842" w:rsidRDefault="00DE20D3">
      <w:pPr>
        <w:pStyle w:val="TOCPage"/>
      </w:pPr>
      <w:r w:rsidRPr="001E7842">
        <w:t>Страница</w:t>
      </w:r>
    </w:p>
    <w:p w:rsidR="00DE20D3" w:rsidRDefault="00DE20D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E7842">
        <w:rPr>
          <w:b/>
        </w:rPr>
        <w:fldChar w:fldCharType="begin"/>
      </w:r>
      <w:r w:rsidRPr="001E7842">
        <w:rPr>
          <w:b/>
        </w:rPr>
        <w:instrText xml:space="preserve"> TOC \t "PageHeading</w:instrText>
      </w:r>
      <w:r w:rsidR="00AB24BA" w:rsidRPr="001E7842">
        <w:rPr>
          <w:b/>
        </w:rPr>
        <w:instrText>;</w:instrText>
      </w:r>
      <w:r w:rsidRPr="001E7842">
        <w:rPr>
          <w:b/>
        </w:rPr>
        <w:instrText xml:space="preserve">1" </w:instrText>
      </w:r>
      <w:r w:rsidRPr="001E7842">
        <w:rPr>
          <w:b/>
        </w:rPr>
        <w:fldChar w:fldCharType="separate"/>
      </w:r>
      <w:r>
        <w:rPr>
          <w:noProof/>
        </w:rPr>
        <w:t>ПРОЕКТ НА ЗАКОНОДАТЕЛНА РЕЗОЛЮЦИЯ НА ЕВРОПЕЙСКИЯ ПАРЛАМЕНТ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_Toc208396759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1E7842" w:rsidRDefault="00DE20D3" w:rsidP="00C23324">
      <w:r w:rsidRPr="001E7842">
        <w:rPr>
          <w:b/>
        </w:rPr>
        <w:fldChar w:fldCharType="end"/>
      </w:r>
    </w:p>
    <w:p w:rsidR="00793EA9" w:rsidRPr="001E7842" w:rsidRDefault="00DE20D3">
      <w:pPr>
        <w:pStyle w:val="PageHeading"/>
      </w:pPr>
      <w:r w:rsidRPr="001E7842">
        <w:br w:type="page"/>
      </w:r>
      <w:r w:rsidRPr="001E7842">
        <w:lastRenderedPageBreak/>
        <w:br w:type="page"/>
      </w:r>
      <w:bookmarkStart w:id="0" w:name="_Toc208396759"/>
      <w:r w:rsidRPr="001E7842">
        <w:lastRenderedPageBreak/>
        <w:t>ПРОЕКТ НА ЗАКОНОДАТЕЛНА РЕЗОЛЮЦИЯ НА ЕВРОПЕЙСКИЯ ПАРЛАМЕНТ</w:t>
      </w:r>
      <w:bookmarkEnd w:id="0"/>
    </w:p>
    <w:p w:rsidR="00793EA9" w:rsidRPr="001E7842" w:rsidRDefault="00DE20D3">
      <w:pPr>
        <w:pStyle w:val="NormalBold"/>
      </w:pPr>
      <w:r w:rsidRPr="001E7842">
        <w:t>относно предложението за Регламент на Европейския парламент и на Съвета относно информационната сигурност в институциите, органите, службите и агенциите на Съюза</w:t>
      </w:r>
    </w:p>
    <w:p w:rsidR="00793EA9" w:rsidRPr="001E7842" w:rsidRDefault="00DE20D3">
      <w:pPr>
        <w:pStyle w:val="NormalBold12a"/>
      </w:pPr>
      <w:r w:rsidRPr="001E7842">
        <w:t>(COM(2022)0119 – C9</w:t>
      </w:r>
      <w:r w:rsidRPr="001E7842">
        <w:noBreakHyphen/>
        <w:t>0121/2022 – 2022/0084(COD))</w:t>
      </w:r>
    </w:p>
    <w:p w:rsidR="00793EA9" w:rsidRPr="001E7842" w:rsidRDefault="00DE20D3" w:rsidP="00A910C9">
      <w:pPr>
        <w:pStyle w:val="NormalBold"/>
      </w:pPr>
      <w:r w:rsidRPr="001E7842">
        <w:t>(Обикновена законодателна процедура: първо четене)</w:t>
      </w:r>
    </w:p>
    <w:p w:rsidR="00793EA9" w:rsidRPr="001E7842" w:rsidRDefault="00DE20D3" w:rsidP="00A910C9">
      <w:pPr>
        <w:pStyle w:val="EPComma"/>
      </w:pPr>
      <w:r w:rsidRPr="001E7842">
        <w:rPr>
          <w:i/>
        </w:rPr>
        <w:t>Европейският парламент</w:t>
      </w:r>
      <w:r w:rsidRPr="001E7842">
        <w:t>,</w:t>
      </w:r>
    </w:p>
    <w:p w:rsidR="00793EA9" w:rsidRPr="001E7842" w:rsidRDefault="00DE20D3">
      <w:pPr>
        <w:pStyle w:val="NormalHanging12a"/>
      </w:pPr>
      <w:r>
        <w:t>—</w:t>
      </w:r>
      <w:r>
        <w:tab/>
      </w:r>
      <w:r w:rsidRPr="001E7842">
        <w:t>като взе предвид предложението на Комисията до Европейския парламент и до Съвета (COM(2022)0119),</w:t>
      </w:r>
    </w:p>
    <w:p w:rsidR="00401196" w:rsidRPr="001E7842" w:rsidRDefault="00DE20D3" w:rsidP="00A26F46">
      <w:pPr>
        <w:pStyle w:val="NormalHanging12a"/>
      </w:pPr>
      <w:r>
        <w:t>—</w:t>
      </w:r>
      <w:r>
        <w:tab/>
      </w:r>
      <w:r w:rsidRPr="001E7842">
        <w:t>като взе предвид член 294, пара</w:t>
      </w:r>
      <w:r w:rsidRPr="001E7842">
        <w:t>граф 2 и член 298 от Договора за функционирането на ЕС, както и член 106а от Договора за създаване на Европейската общност за атомна енергия, съгласно които Комисията е внесла предложението до Парламента (C9</w:t>
      </w:r>
      <w:r w:rsidRPr="001E7842">
        <w:noBreakHyphen/>
        <w:t>0121/2022),</w:t>
      </w:r>
    </w:p>
    <w:p w:rsidR="00A26F46" w:rsidRPr="001E7842" w:rsidRDefault="00DE20D3" w:rsidP="00A26F46">
      <w:pPr>
        <w:pStyle w:val="NormalHanging12a"/>
      </w:pPr>
      <w:r>
        <w:t>—</w:t>
      </w:r>
      <w:r>
        <w:tab/>
      </w:r>
      <w:r w:rsidRPr="001E7842">
        <w:t>като взе предвид член 294, парагра</w:t>
      </w:r>
      <w:r w:rsidRPr="001E7842">
        <w:t>ф 3 от Договора за функционирането на Европейския съюз,</w:t>
      </w:r>
    </w:p>
    <w:p w:rsidR="00401196" w:rsidRPr="001E7842" w:rsidRDefault="00DE20D3" w:rsidP="00401196">
      <w:pPr>
        <w:pStyle w:val="NormalHanging12a"/>
      </w:pPr>
      <w:r>
        <w:t>—</w:t>
      </w:r>
      <w:r>
        <w:tab/>
      </w:r>
      <w:r w:rsidRPr="001E7842">
        <w:t>като взе предвид член 60 от своя Правилник за дейността,</w:t>
      </w:r>
    </w:p>
    <w:p w:rsidR="00401196" w:rsidRPr="001E7842" w:rsidRDefault="00DE20D3" w:rsidP="00401196">
      <w:pPr>
        <w:pStyle w:val="NormalHanging12a"/>
      </w:pPr>
      <w:r>
        <w:t>—</w:t>
      </w:r>
      <w:r>
        <w:tab/>
      </w:r>
      <w:r w:rsidRPr="001E7842">
        <w:t>като взе предвид становището на комисията по промишленост, изследвания и енергетика,</w:t>
      </w:r>
    </w:p>
    <w:p w:rsidR="00401196" w:rsidRPr="001E7842" w:rsidRDefault="00DE20D3" w:rsidP="00401196">
      <w:pPr>
        <w:pStyle w:val="NormalHanging12a"/>
      </w:pPr>
      <w:r>
        <w:t>—</w:t>
      </w:r>
      <w:r>
        <w:tab/>
      </w:r>
      <w:r w:rsidRPr="001E7842">
        <w:t>като взе предвид писмата от комисията по външни рабо</w:t>
      </w:r>
      <w:r w:rsidRPr="001E7842">
        <w:t>ти, комисията по международна търговия и комисията по конституционни въпроси,</w:t>
      </w:r>
    </w:p>
    <w:p w:rsidR="00401196" w:rsidRPr="001E7842" w:rsidRDefault="00DE20D3" w:rsidP="00401196">
      <w:pPr>
        <w:pStyle w:val="NormalHanging12a"/>
      </w:pPr>
      <w:r>
        <w:t>—</w:t>
      </w:r>
      <w:r>
        <w:tab/>
      </w:r>
      <w:r w:rsidRPr="001E7842">
        <w:t>като взе предвид доклада на комисията по граждански свободи, правосъдие и вътрешни работи (A10</w:t>
      </w:r>
      <w:r w:rsidRPr="001E7842">
        <w:noBreakHyphen/>
        <w:t>0000/2025),</w:t>
      </w:r>
    </w:p>
    <w:p w:rsidR="00401196" w:rsidRPr="001E7842" w:rsidRDefault="00DE20D3" w:rsidP="00401196">
      <w:pPr>
        <w:pStyle w:val="NormalHanging12a"/>
      </w:pPr>
      <w:r w:rsidRPr="001E7842">
        <w:t>1.</w:t>
      </w:r>
      <w:r w:rsidRPr="001E7842">
        <w:tab/>
        <w:t>приема изложената по-долу позиция на първо четене;</w:t>
      </w:r>
    </w:p>
    <w:p w:rsidR="00401196" w:rsidRPr="001E7842" w:rsidRDefault="00DE20D3" w:rsidP="00401196">
      <w:pPr>
        <w:pStyle w:val="NormalHanging12a"/>
      </w:pPr>
      <w:r w:rsidRPr="001E7842">
        <w:t>2.</w:t>
      </w:r>
      <w:r w:rsidRPr="001E7842">
        <w:tab/>
        <w:t>приканва Ком</w:t>
      </w:r>
      <w:r w:rsidRPr="001E7842">
        <w:t>исията да се отнесе до него отново, в случай че замени своето предложение с друг текст или внесе или възнамерява да внесе съществени промени в това предложение;</w:t>
      </w:r>
    </w:p>
    <w:p w:rsidR="009F6C2F" w:rsidRPr="001E7842" w:rsidRDefault="00DE20D3" w:rsidP="00401196">
      <w:pPr>
        <w:pStyle w:val="NormalHanging12a"/>
      </w:pPr>
      <w:r w:rsidRPr="001E7842">
        <w:t>3.</w:t>
      </w:r>
      <w:r w:rsidRPr="001E7842">
        <w:tab/>
        <w:t>възлага на своя председател да предаде позицията на Парламента съответно на Съвета и на Коми</w:t>
      </w:r>
      <w:r w:rsidRPr="001E7842">
        <w:t>сията, както и на националните парламенти.</w:t>
      </w:r>
    </w:p>
    <w:p w:rsidR="00D30DE2" w:rsidRPr="001E7842" w:rsidRDefault="00D30DE2" w:rsidP="00D30DE2"/>
    <w:p w:rsidR="002669B6" w:rsidRPr="001E7842" w:rsidRDefault="002669B6" w:rsidP="002669B6"/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&lt;RepeatBlock-Amend&gt;&lt;Amend&gt;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1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(1)</w:t>
            </w:r>
            <w:r w:rsidRPr="001E7842">
              <w:tab/>
              <w:t xml:space="preserve">Понастоящем институциите и </w:t>
            </w:r>
            <w:r w:rsidRPr="001E7842">
              <w:t>органите на Съюза имат собствени правила за информационна сигурност, основани на техните правилници за дейността или на основополагащите им актове, или изобщо нямат такива правила. В този контекст всяка институция и орган на Съюза инвестира значителни усил</w:t>
            </w:r>
            <w:r w:rsidRPr="001E7842">
              <w:t xml:space="preserve">ия за приемането на различни подходи и в резултат на това обменът на информация </w:t>
            </w:r>
            <w:r w:rsidRPr="001E7842">
              <w:rPr>
                <w:b/>
                <w:i/>
              </w:rPr>
              <w:t>не винаги</w:t>
            </w:r>
            <w:r w:rsidRPr="001E7842">
              <w:t xml:space="preserve"> е надежден. Липсата на общ подход възпрепятства внедряването на общи инструменти, които да се основават на съгласуван набор от правила в зависимост от нуждите за сигу</w:t>
            </w:r>
            <w:r w:rsidRPr="001E7842">
              <w:t>рност на информацията, която трябва да бъде защитена.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(1)</w:t>
            </w:r>
            <w:r w:rsidRPr="001E7842">
              <w:tab/>
              <w:t>Понастоящем институциите и органите на Съюза имат собствени правила за информационна сигурност, основани на техните правилници за дейността или на основополагащите им актове, или изобщо нямат такива</w:t>
            </w:r>
            <w:r w:rsidRPr="001E7842">
              <w:t xml:space="preserve"> правила. В този контекст всяка институция и орган на Съюза инвестира значителни усилия за приемането на различни подходи и в резултат на това обменът на информация </w:t>
            </w:r>
            <w:r w:rsidRPr="001E7842">
              <w:rPr>
                <w:b/>
                <w:i/>
              </w:rPr>
              <w:t>невинаги</w:t>
            </w:r>
            <w:r w:rsidRPr="001E7842">
              <w:t xml:space="preserve"> е надежден. Липсата на общ подход възпрепятства внедряването на общи инструменти, </w:t>
            </w:r>
            <w:r w:rsidRPr="001E7842">
              <w:t>които да се основават на съгласуван набор от правила в зависимост от нуждите за сигурност на информацията, която трябва да бъде защитена</w:t>
            </w:r>
            <w:r w:rsidRPr="001E7842">
              <w:rPr>
                <w:b/>
                <w:i/>
              </w:rPr>
              <w:t>, както и оперативната съвместимост на тези инструменти</w:t>
            </w:r>
            <w:r w:rsidRPr="001E7842">
              <w:t>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</w:t>
      </w:r>
      <w:r w:rsidRPr="001E7842">
        <w:rPr>
          <w:rStyle w:val="HideTWBExt"/>
          <w:b w:val="0"/>
        </w:rPr>
        <w:t>mAm&gt;</w:t>
      </w:r>
      <w:r w:rsidRPr="001E7842">
        <w:t>2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1 a (ново)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(1а)</w:t>
            </w:r>
            <w:r w:rsidRPr="001E7842">
              <w:rPr>
                <w:b/>
                <w:i/>
              </w:rPr>
              <w:tab/>
              <w:t xml:space="preserve">институциите и органите на Съюза имат задължението да прилагат член 15, параграф 3 от Договора за </w:t>
            </w:r>
            <w:r w:rsidRPr="001E7842">
              <w:rPr>
                <w:b/>
                <w:i/>
              </w:rPr>
              <w:t>функционирането на Европейския съюз в съответствие с демократичните принципи, по-специално принципите, посочени в член 10, параграф 3 от Договора за Европейския съюз (ДЕС) и член 42 от Хартата на основните права на Европейския съюз („Хартата“); Поради това</w:t>
            </w:r>
            <w:r w:rsidRPr="001E7842">
              <w:rPr>
                <w:b/>
                <w:i/>
              </w:rPr>
              <w:t xml:space="preserve"> създаването и класифицирането на класифицирана информация на Европейския съюз („КИЕС“) следва да се извършва в съответствие с принципите за свеждане до минимум на използването на класификация и за </w:t>
            </w:r>
            <w:r w:rsidRPr="001E7842">
              <w:rPr>
                <w:b/>
                <w:i/>
              </w:rPr>
              <w:lastRenderedPageBreak/>
              <w:t>ограничаване във времето на продължителността на тази клас</w:t>
            </w:r>
            <w:r w:rsidRPr="001E7842">
              <w:rPr>
                <w:b/>
                <w:i/>
              </w:rPr>
              <w:t>ификация.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3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3 a (ново)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(3а)</w:t>
            </w:r>
            <w:r w:rsidRPr="001E7842">
              <w:rPr>
                <w:b/>
                <w:i/>
              </w:rPr>
              <w:tab/>
              <w:t xml:space="preserve">В контекста на информационната </w:t>
            </w:r>
            <w:r w:rsidRPr="001E7842">
              <w:rPr>
                <w:b/>
                <w:i/>
              </w:rPr>
              <w:t>сигурност институциите и органите на Съюза следва да повишават организационната оперативна съвместимост и да действат заедно, за да гарантират защитата на мрежите, информационните системи, данните, оборудването и материалните активи, използвани за улавянет</w:t>
            </w:r>
            <w:r w:rsidRPr="001E7842">
              <w:rPr>
                <w:b/>
                <w:i/>
              </w:rPr>
              <w:t>о, съхранението, обработването и предаването на информацията.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4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4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(4)</w:t>
            </w:r>
            <w:r w:rsidRPr="001E7842">
              <w:tab/>
            </w:r>
            <w:r w:rsidRPr="001E7842">
              <w:rPr>
                <w:b/>
                <w:i/>
              </w:rPr>
              <w:t>Неотдавнашната пандемия предизвика значителна промяна в работните практики, като средствата за дистанционна комуникация се превръщат в правило. По тази причина</w:t>
            </w:r>
            <w:r w:rsidRPr="001E7842">
              <w:t xml:space="preserve"> много процедури, които бяха поне отчасти на хартиен носител, бързо бяха приспособ</w:t>
            </w:r>
            <w:r w:rsidRPr="001E7842">
              <w:t xml:space="preserve">ени, за да се осигури възможност за електронна обработка и обмен на информация. Тези промени налагат промени в начина на боравене с информацията и в нейната защита. В настоящия регламент са взети </w:t>
            </w:r>
            <w:r w:rsidRPr="001E7842">
              <w:lastRenderedPageBreak/>
              <w:t>предвид новите работни практики.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(4)</w:t>
            </w:r>
            <w:r w:rsidRPr="001E7842">
              <w:tab/>
            </w:r>
            <w:r w:rsidRPr="001E7842">
              <w:rPr>
                <w:b/>
                <w:i/>
              </w:rPr>
              <w:t>През последните години</w:t>
            </w:r>
            <w:r w:rsidRPr="001E7842">
              <w:t xml:space="preserve"> </w:t>
            </w:r>
            <w:r w:rsidRPr="001E7842">
              <w:t>много процедури, които бяха поне отчасти на хартиен носител, бързо бяха приспособени, за да се осигури възможност за електронна обработка и обмен на информация. Тези промени налагат промени в начина на боравене с информацията и в нейната защита. В настоящи</w:t>
            </w:r>
            <w:r w:rsidRPr="001E7842">
              <w:t>я регламент са взети предвид новите работни практики.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5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5 a (ново)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(5а)</w:t>
            </w:r>
            <w:r w:rsidRPr="001E7842">
              <w:rPr>
                <w:b/>
                <w:i/>
              </w:rPr>
              <w:tab/>
              <w:t>Прозрачното и навременно споделяне на КИЕС е от ключово значение за правилното функциониране на институциите и органите на Съюза. При прилагането на настоящия регламент институциите и органите на Съюза следва да се стремят да повишават про</w:t>
            </w:r>
            <w:r w:rsidRPr="001E7842">
              <w:rPr>
                <w:b/>
                <w:i/>
              </w:rPr>
              <w:t>зрачността, да свеждат до минимум и да ограничават във времето използването на поверителни документи, да предоставят гаранции срещу използването на класификация по начин, който би попречил на институциите и органите на Съюза да изпълняват своите функции, и</w:t>
            </w:r>
            <w:r w:rsidRPr="001E7842">
              <w:rPr>
                <w:b/>
                <w:i/>
              </w:rPr>
              <w:t xml:space="preserve"> които следва да гарантират, че лицата, подаващи сигнали за нередности, са адекватно защитени, както и че съществува високо равнище на защита на информацията в съответствие с правото на Съюза и с най-добрите практики.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6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6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(6)</w:t>
            </w:r>
            <w:r w:rsidRPr="001E7842">
              <w:tab/>
              <w:t>Настоящият регламент не засяга Регламент (Евратом) № 3/</w:t>
            </w:r>
            <w:r w:rsidRPr="001E7842">
              <w:rPr>
                <w:b/>
                <w:i/>
              </w:rPr>
              <w:t>1958)</w:t>
            </w:r>
            <w:r w:rsidRPr="001E7842">
              <w:rPr>
                <w:b/>
                <w:i/>
                <w:vertAlign w:val="superscript"/>
              </w:rPr>
              <w:t>17</w:t>
            </w:r>
            <w:r w:rsidRPr="001E7842">
              <w:t xml:space="preserve">, Регламент № 31 (ЕИО), </w:t>
            </w:r>
            <w:r w:rsidRPr="001E7842">
              <w:t xml:space="preserve">11 (Евратом) за определяне на правилника за длъжностните лица и условията за </w:t>
            </w:r>
            <w:r w:rsidRPr="001E7842">
              <w:lastRenderedPageBreak/>
              <w:t>работа на другите служители на Европейската икономическа общност и на Европейската общност за атомна енергия</w:t>
            </w:r>
            <w:r w:rsidRPr="001E7842">
              <w:rPr>
                <w:vertAlign w:val="superscript"/>
              </w:rPr>
              <w:t>18</w:t>
            </w:r>
            <w:r w:rsidRPr="001E7842">
              <w:t>, Регламент (ЕО) 1049/2001 на Европейския парламент и на Съвета</w:t>
            </w:r>
            <w:r w:rsidRPr="001E7842">
              <w:rPr>
                <w:vertAlign w:val="superscript"/>
              </w:rPr>
              <w:t>19</w:t>
            </w:r>
            <w:r w:rsidRPr="001E7842">
              <w:t xml:space="preserve">, </w:t>
            </w:r>
            <w:r w:rsidRPr="001E7842">
              <w:t>Регламент (ЕС) 2018/1725 на Европейския парламент и на Съвета</w:t>
            </w:r>
            <w:r w:rsidRPr="001E7842">
              <w:rPr>
                <w:vertAlign w:val="superscript"/>
              </w:rPr>
              <w:t>20</w:t>
            </w:r>
            <w:r w:rsidRPr="001E7842">
              <w:t>, Регламент (ЕИО, Евратом) № 354/83 на Съвета</w:t>
            </w:r>
            <w:r w:rsidRPr="001E7842">
              <w:rPr>
                <w:vertAlign w:val="superscript"/>
              </w:rPr>
              <w:t>21</w:t>
            </w:r>
            <w:r w:rsidRPr="001E7842">
              <w:t>, Регламент (ЕС, Евратом) 2018/1046 на Европейския парламент и на Съвета</w:t>
            </w:r>
            <w:r w:rsidRPr="001E7842">
              <w:rPr>
                <w:vertAlign w:val="superscript"/>
              </w:rPr>
              <w:t>22</w:t>
            </w:r>
            <w:r w:rsidRPr="001E7842">
              <w:t>, Регламент (ЕС) 2021/697 на Европейския парламент и на Съвета</w:t>
            </w:r>
            <w:r w:rsidRPr="001E7842">
              <w:rPr>
                <w:vertAlign w:val="superscript"/>
              </w:rPr>
              <w:t>23</w:t>
            </w:r>
            <w:r w:rsidRPr="001E7842">
              <w:t>, и Регл</w:t>
            </w:r>
            <w:r w:rsidRPr="001E7842">
              <w:t>амент (ЕС) […] на Европейския парламент и на Съвета</w:t>
            </w:r>
            <w:r w:rsidRPr="001E7842">
              <w:rPr>
                <w:vertAlign w:val="superscript"/>
              </w:rPr>
              <w:t>24</w:t>
            </w:r>
            <w:r w:rsidRPr="001E7842">
              <w:t xml:space="preserve"> за определяне на мерки за високо общо ниво на киберсигурност в институциите, органите, службите и агенциите на Съюза.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(6)</w:t>
            </w:r>
            <w:r w:rsidRPr="001E7842">
              <w:tab/>
              <w:t>Настоящият регламент не засяга Регламент (Евратом) № 3/</w:t>
            </w:r>
            <w:r w:rsidRPr="001E7842">
              <w:rPr>
                <w:b/>
                <w:i/>
              </w:rPr>
              <w:t>1958</w:t>
            </w:r>
            <w:r w:rsidRPr="001E7842">
              <w:rPr>
                <w:b/>
                <w:i/>
                <w:vertAlign w:val="superscript"/>
              </w:rPr>
              <w:t>17</w:t>
            </w:r>
            <w:r w:rsidRPr="001E7842">
              <w:t>, Регламент № 31 (Е</w:t>
            </w:r>
            <w:r w:rsidRPr="001E7842">
              <w:t xml:space="preserve">ИО), 11 (Евратом) за определяне на правилника за длъжностните лица и условията за </w:t>
            </w:r>
            <w:r w:rsidRPr="001E7842">
              <w:lastRenderedPageBreak/>
              <w:t>работа на другите служители на Европейската икономическа общност и на Европейската общност за атомна енергия</w:t>
            </w:r>
            <w:r w:rsidRPr="001E7842">
              <w:rPr>
                <w:vertAlign w:val="superscript"/>
              </w:rPr>
              <w:t>18</w:t>
            </w:r>
            <w:r w:rsidRPr="001E7842">
              <w:t>, Регламент (ЕО) 1049/2001 на Европейския парламент и на Съвета</w:t>
            </w:r>
            <w:r w:rsidRPr="001E7842">
              <w:rPr>
                <w:vertAlign w:val="superscript"/>
              </w:rPr>
              <w:t>1</w:t>
            </w:r>
            <w:r w:rsidRPr="001E7842">
              <w:rPr>
                <w:vertAlign w:val="superscript"/>
              </w:rPr>
              <w:t>9</w:t>
            </w:r>
            <w:r w:rsidRPr="001E7842">
              <w:t>, Регламент (ЕС) 2018/1725 на Европейския парламент и на Съвета</w:t>
            </w:r>
            <w:r w:rsidRPr="001E7842">
              <w:rPr>
                <w:vertAlign w:val="superscript"/>
              </w:rPr>
              <w:t>20</w:t>
            </w:r>
            <w:r w:rsidRPr="001E7842">
              <w:t xml:space="preserve">, </w:t>
            </w:r>
            <w:r w:rsidRPr="001E7842">
              <w:rPr>
                <w:b/>
                <w:i/>
              </w:rPr>
              <w:t xml:space="preserve">включително правилата относно международните трансфери на лични данни, </w:t>
            </w:r>
            <w:r w:rsidRPr="001E7842">
              <w:t>Регламент (ЕИО, Евратом) № 354/83 на Съвета</w:t>
            </w:r>
            <w:r w:rsidRPr="001E7842">
              <w:rPr>
                <w:vertAlign w:val="superscript"/>
              </w:rPr>
              <w:t>21</w:t>
            </w:r>
            <w:r w:rsidRPr="001E7842">
              <w:t>, Регламент (ЕС, Евратом) 2018/1046 на Европейския парламент и на Съвета</w:t>
            </w:r>
            <w:r w:rsidRPr="001E7842">
              <w:rPr>
                <w:vertAlign w:val="superscript"/>
              </w:rPr>
              <w:t>22</w:t>
            </w:r>
            <w:r w:rsidRPr="001E7842">
              <w:t>, Регламент (ЕС) 2021/697 на Европейския парламент и на Съвета</w:t>
            </w:r>
            <w:r w:rsidRPr="001E7842">
              <w:rPr>
                <w:vertAlign w:val="superscript"/>
              </w:rPr>
              <w:t>23</w:t>
            </w:r>
            <w:r w:rsidRPr="001E7842">
              <w:t>, и Регламент (ЕС) [...] на Европейския парламент и на Съвета</w:t>
            </w:r>
            <w:r w:rsidRPr="001E7842">
              <w:rPr>
                <w:vertAlign w:val="superscript"/>
              </w:rPr>
              <w:t>24</w:t>
            </w:r>
            <w:r w:rsidRPr="001E7842">
              <w:t xml:space="preserve"> за определяне на мерки за високо общо ниво на киберсигурност в институциите, органите, службите и агенциите на Съюза.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lastRenderedPageBreak/>
              <w:t>_______</w:t>
            </w:r>
            <w:r w:rsidRPr="001E7842">
              <w:t>___________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__________________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17</w:t>
            </w:r>
            <w:r w:rsidRPr="001E7842">
              <w:t xml:space="preserve"> Регламент (Евратом) № 3/1958 относно прилагането на член 24 от Договора за създаване на Европейската общност за атомна енергия (OВ 17, 6.10.1958 г., стр. 406).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17</w:t>
            </w:r>
            <w:r w:rsidRPr="001E7842">
              <w:t xml:space="preserve"> Регламент (Евратом) № 3/1958 относно прилагането на член 24 от Договора за създаване на Европейската общност за атомна енергия (OВ 17, 6.10.1958 г., стр. 406).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18</w:t>
            </w:r>
            <w:r w:rsidRPr="001E7842">
              <w:t xml:space="preserve"> ОВ 45, 14.6.1962 г., стр. 1385.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18</w:t>
            </w:r>
            <w:r w:rsidRPr="001E7842">
              <w:t xml:space="preserve"> ОВ 45, 14.6.1962 г., стр. 1385.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19</w:t>
            </w:r>
            <w:r w:rsidRPr="001E7842">
              <w:t xml:space="preserve"> Регламент (ЕО) № 104</w:t>
            </w:r>
            <w:r w:rsidRPr="001E7842">
              <w:t>9/2001 на Европейския парламент и на Съвета от 30 май 2001 г. относно публичния достъп до документи на Европейския парламент, на Съвета и на Комисията (ОВ L 145, 31.5.2001 г., стр. 43).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19</w:t>
            </w:r>
            <w:r w:rsidRPr="001E7842">
              <w:t xml:space="preserve"> Регламент (ЕО) № 1049/2001 на Европейския парламент и на Съвета от </w:t>
            </w:r>
            <w:r w:rsidRPr="001E7842">
              <w:t>30 май 2001 г. относно публичния достъп до документи на Европейския парламент, на Съвета и на Комисията (ОВ L 145, 31.5.2001 г., стр. 43).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20</w:t>
            </w:r>
            <w:r w:rsidRPr="001E7842">
              <w:t xml:space="preserve"> Регламент (ЕС) 2018/1725 на Европейския парламент и на Съвета от 23 октомври 2018 г. относно защитата на физическ</w:t>
            </w:r>
            <w:r w:rsidRPr="001E7842">
              <w:t>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 (ЕО) № 45/2001 и Решение № 1247/2002/ЕО (ОВ L 295, 21.11.2018 г., стр. 39).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2</w:t>
            </w:r>
            <w:r w:rsidRPr="001E7842">
              <w:rPr>
                <w:vertAlign w:val="superscript"/>
              </w:rPr>
              <w:t>0</w:t>
            </w:r>
            <w:r w:rsidRPr="001E7842">
              <w:t xml:space="preserve"> Регламент (ЕС) 2018/1725 на Европейския парламент и на Съвета от 23 октомври 2018 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</w:t>
            </w:r>
            <w:r w:rsidRPr="001E7842">
              <w:t>такива данни и за отмяна на Регламент (ЕО) № 45/2001 и Решение № 1247/2002/ЕО (ОВ L 295, 21.11.2018 г., стр. 39).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21</w:t>
            </w:r>
            <w:r w:rsidRPr="001E7842">
              <w:t xml:space="preserve"> Регламент (ЕИО, Евратом) № 354/83 на Съвета от 1 февруари 1983 г. относно </w:t>
            </w:r>
            <w:r w:rsidRPr="001E7842">
              <w:lastRenderedPageBreak/>
              <w:t>отваряне за обществеността на историческите архиви на Европейска</w:t>
            </w:r>
            <w:r w:rsidRPr="001E7842">
              <w:t>та икономическа общност и на Европейската общност за атомна енергия (ОВ L 43, 15.2.1983 г., стр. 1).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lastRenderedPageBreak/>
              <w:t>21</w:t>
            </w:r>
            <w:r w:rsidRPr="001E7842">
              <w:t xml:space="preserve"> Регламент (ЕИО, Евратом) № 354/83 на Съвета от 1 февруари 1983 г. относно </w:t>
            </w:r>
            <w:r w:rsidRPr="001E7842">
              <w:lastRenderedPageBreak/>
              <w:t>отваряне за обществеността на историческите архиви на Европейската икономическ</w:t>
            </w:r>
            <w:r w:rsidRPr="001E7842">
              <w:t>а общност и на Европейската общност за атомна енергия (ОВ L 43, 15.2.1983 г., стр. 1).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lastRenderedPageBreak/>
              <w:t>22</w:t>
            </w:r>
            <w:r w:rsidRPr="001E7842">
              <w:t xml:space="preserve"> Регламент (ЕС, Евратом) 2018/1046 на Европейския парламент и на Съвета от 18 юли 2018 г. за финансовите правила, приложими за общия бюджет на Съюза, за изменение на </w:t>
            </w:r>
            <w:r w:rsidRPr="001E7842">
              <w:t>регламенти (ЕС) № 1296/2013, (ЕС) № 1301/2013, (ЕС) № 1303/2013, (ЕС) № 1304/2013, (ЕС) № 1309/2013, (ЕС) № 1316/2013, (ЕС) № 223/2014 и (ЕС) № 283/2014 и на Решение № 541/2014/ЕС и за отмяна на Регламент (ЕС, Евратом) № 966/2012 (ОВ L 193, 30.7.2018 г., с</w:t>
            </w:r>
            <w:r w:rsidRPr="001E7842">
              <w:t>тр. 1).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22</w:t>
            </w:r>
            <w:r w:rsidRPr="001E7842">
              <w:t xml:space="preserve"> Регламент (ЕС, Евратом) 2018/1046 на Европейския парламент и на Съвета от 18 юли 2018 г. за финансовите правила, приложими за общия бюджет на Съюза, за изменение на регламенти (ЕС) № 1296/2013, (ЕС) № 1301/2013, (ЕС) № 1303/2013, (ЕС) № 1304/201</w:t>
            </w:r>
            <w:r w:rsidRPr="001E7842">
              <w:t>3, (ЕС) № 1309/2013, (ЕС) № 1316/2013, (ЕС) № 223/2014 и (ЕС) № 283/2014 и на Решение № 541/2014/ЕС и за отмяна на Регламент (ЕС, Евратом) № 966/2012 (ОВ L 193, 30.7.2018 г., стр. 1).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23</w:t>
            </w:r>
            <w:r w:rsidRPr="001E7842">
              <w:t xml:space="preserve"> Регламент (ЕС) 2021/697 на Европейския парламент и на Съвета от 29 април 2021 г. за създаване на Европейски фонд за отбрана и за отмяна на Регламент (ЕС) 2018/1092 (OВ L 170, 12.5.2021 г., стр. 149).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23</w:t>
            </w:r>
            <w:r w:rsidRPr="001E7842">
              <w:t xml:space="preserve"> Регламент (ЕС) 2021/697 на Европейския парламент и н</w:t>
            </w:r>
            <w:r w:rsidRPr="001E7842">
              <w:t>а Съвета от 29 април 2021 г. за създаване на Европейски фонд за отбрана и за отмяна на Регламент (ЕС) 2018/1092 (OВ L 170, 12.5.2021 г., стр. 149).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rPr>
                <w:vertAlign w:val="superscript"/>
              </w:rPr>
              <w:t>24</w:t>
            </w:r>
            <w:r w:rsidRPr="001E7842">
              <w:t xml:space="preserve"> Регламент […] на Европейския парламент и на Съвета за определяне на мерки за високо общо ниво на киберсигурност в институциите, органите, службите и агенциите на Съюза, предстои да бъде приет.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vertAlign w:val="superscript"/>
              </w:rPr>
              <w:t>24</w:t>
            </w:r>
            <w:r w:rsidRPr="001E7842">
              <w:t xml:space="preserve"> Регламент […] на Европейския парламент и на Съвета за опред</w:t>
            </w:r>
            <w:r w:rsidRPr="001E7842">
              <w:t>еляне на мерки за високо общо ниво на киберсигурност в институциите, органите, службите и агенциите на Съюза, предстои да бъде приет.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7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8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(8)</w:t>
            </w:r>
            <w:r w:rsidRPr="001E7842">
              <w:tab/>
              <w:t xml:space="preserve">За да се създаде формална структура за сътрудничество между институциите и органите на Съюза в областта на информационната сигурност, е необходимо да се сформира </w:t>
            </w:r>
            <w:r w:rsidRPr="001E7842">
              <w:t xml:space="preserve">междуинституционална координационна група („координационната група“), в която са </w:t>
            </w:r>
            <w:r w:rsidRPr="001E7842">
              <w:lastRenderedPageBreak/>
              <w:t>представени органите по сигурността на всички институции и органи на Съюза. Без да разполага с правомощия за вземане на решения, координационната група следва да подобри съгла</w:t>
            </w:r>
            <w:r w:rsidRPr="001E7842">
              <w:t>суваността на политиките в областта на информационната сигурност и да допринесе за хармонизирането на процедурите и инструментите за информационна сигурност във всички институции и органи на Съюза.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(8)</w:t>
            </w:r>
            <w:r w:rsidRPr="001E7842">
              <w:tab/>
              <w:t xml:space="preserve">За да се създаде формална </w:t>
            </w:r>
            <w:r w:rsidRPr="001E7842">
              <w:rPr>
                <w:b/>
                <w:i/>
              </w:rPr>
              <w:t xml:space="preserve">обща </w:t>
            </w:r>
            <w:r w:rsidRPr="001E7842">
              <w:t>структура за сътрудниче</w:t>
            </w:r>
            <w:r w:rsidRPr="001E7842">
              <w:t xml:space="preserve">ство между институциите и органите на Съюза в областта на информационната сигурност, е необходимо да се сформира междуинституционална координационна група („координационната група“), в която са </w:t>
            </w:r>
            <w:r w:rsidRPr="001E7842">
              <w:lastRenderedPageBreak/>
              <w:t>представени органите по сигурността на всички институции и орг</w:t>
            </w:r>
            <w:r w:rsidRPr="001E7842">
              <w:t>ани на Съюза. Без да разполага с правомощия за вземане на решения, координационната група следва да подобри съгласуваността на политиките в областта на информационната сигурност и да допринесе за хармонизирането на процедурите и инструментите за информацио</w:t>
            </w:r>
            <w:r w:rsidRPr="001E7842">
              <w:t>нна сигурност във всички институции и органи на Съюза.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8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14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(14)</w:t>
            </w:r>
            <w:r w:rsidRPr="001E7842">
              <w:tab/>
              <w:t xml:space="preserve">С цел приспособяване към новите практики за работа от разстояние </w:t>
            </w:r>
            <w:r w:rsidRPr="001E7842">
              <w:rPr>
                <w:b/>
                <w:i/>
              </w:rPr>
              <w:t>мрежите</w:t>
            </w:r>
            <w:r w:rsidRPr="001E7842">
              <w:t>, използвани за свързване с услуги с отдалечен достъп на институцията или на органа на Съюза, следва да са защитени чрез подходящи мерки за сигурност.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(14)</w:t>
            </w:r>
            <w:r w:rsidRPr="001E7842">
              <w:tab/>
              <w:t>С цел приспособяване къ</w:t>
            </w:r>
            <w:r w:rsidRPr="001E7842">
              <w:t xml:space="preserve">м новите практики за работа от разстояние </w:t>
            </w:r>
            <w:r w:rsidRPr="001E7842">
              <w:rPr>
                <w:b/>
                <w:i/>
              </w:rPr>
              <w:t>информационните мрежови системи, цифровата инфраструктура и крайните устройства (терминалите)</w:t>
            </w:r>
            <w:r w:rsidRPr="001E7842">
              <w:t xml:space="preserve">, използвани за свързване с услуги с отдалечен достъп на институцията или на органа на Съюза, следва да са защитени чрез </w:t>
            </w:r>
            <w:r w:rsidRPr="001E7842">
              <w:t>подходящи мерки за сигурност.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9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18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(18)</w:t>
            </w:r>
            <w:r w:rsidRPr="001E7842">
              <w:tab/>
              <w:t xml:space="preserve">Защитата на КИЕС се </w:t>
            </w:r>
            <w:r w:rsidRPr="001E7842">
              <w:t xml:space="preserve">осигурява също чрез технически и организационни мерки, които се прилагат по отношение на помещенията, сградите, стаите, офисите или съоръженията на институциите и органите на Съюза, в които се борави с КИЕС или КИЕС се обсъжда или съхранява. В настоящия </w:t>
            </w:r>
            <w:r w:rsidRPr="001E7842">
              <w:lastRenderedPageBreak/>
              <w:t>ре</w:t>
            </w:r>
            <w:r w:rsidRPr="001E7842">
              <w:t>гламент се предвижда прилагане на процес на управление на информационната сигурност в областта на физическата сигурност, който ще позволи на институциите и органите на Съюза да изберат подходящите мерки за сигурност за своите обекти.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(18)</w:t>
            </w:r>
            <w:r w:rsidRPr="001E7842">
              <w:tab/>
              <w:t xml:space="preserve">Защитата на КИЕС </w:t>
            </w:r>
            <w:r w:rsidRPr="001E7842">
              <w:t>се осигурява също чрез технически и организационни мерки, които се прилагат по отношение на помещенията, сградите, стаите, офисите или съоръженията на институциите и органите на Съюза, в които се борави с КИЕС или КИЕС се обсъжда или съхранява. В настоящия</w:t>
            </w:r>
            <w:r w:rsidRPr="001E7842">
              <w:t xml:space="preserve"> </w:t>
            </w:r>
            <w:r w:rsidRPr="001E7842">
              <w:lastRenderedPageBreak/>
              <w:t xml:space="preserve">регламент се предвижда прилагане на процес на управление на информационната сигурност в областта на физическата сигурност, който ще позволи на институциите и органите на Съюза да изберат подходящите мерки за сигурност за своите обекти. </w:t>
            </w:r>
            <w:r w:rsidRPr="001E7842">
              <w:rPr>
                <w:b/>
                <w:i/>
              </w:rPr>
              <w:t>Следва да се извърш</w:t>
            </w:r>
            <w:r w:rsidRPr="001E7842">
              <w:rPr>
                <w:b/>
                <w:i/>
              </w:rPr>
              <w:t>ва щателна оценка на инфраструктурата за сигурност, включително на услугите. Тази оценка следва да отчита цялата верига на доставки и оперативната среда.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10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</w:t>
      </w:r>
      <w:r w:rsidRPr="001E7842">
        <w:t xml:space="preserve">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21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(21)</w:t>
            </w:r>
            <w:r w:rsidRPr="001E7842">
              <w:tab/>
              <w:t xml:space="preserve">По традиция институциите и органите на Съюза разработват своите комуникационни и информационни системи самостоятелно, като не обръщат достатъчно </w:t>
            </w:r>
            <w:r w:rsidRPr="001E7842">
              <w:t>внимание на тяхната оперативна съвместимост с всички институции и органи на Съюза. По тази причина е необходимо да се постановят минимални изисквания за сигурност относно комуникационните и информационните системи (КИС), които боравят със и съхраняват какт</w:t>
            </w:r>
            <w:r w:rsidRPr="001E7842">
              <w:t>о КИЕС, така и некласифицирана информация, за да се гарантира безпрепятствен обмен на информация със съответните заинтересовани страни.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(21)</w:t>
            </w:r>
            <w:r w:rsidRPr="001E7842">
              <w:tab/>
              <w:t>По традиция институциите и органите на Съюза разработват своите комуникационни и информационни системи самостоятелн</w:t>
            </w:r>
            <w:r w:rsidRPr="001E7842">
              <w:t>о, като не обръщат достатъчно внимание на тяхната оперативна съвместимост с всички институции и органи на Съюза. По тази причина е необходимо да се постановят минимални изисквания за сигурност относно комуникационните и информационните системи (КИС), които</w:t>
            </w:r>
            <w:r w:rsidRPr="001E7842">
              <w:t xml:space="preserve"> боравят със</w:t>
            </w:r>
            <w:r w:rsidRPr="001E7842">
              <w:rPr>
                <w:b/>
                <w:i/>
              </w:rPr>
              <w:t xml:space="preserve">, </w:t>
            </w:r>
            <w:r w:rsidRPr="001E7842">
              <w:t xml:space="preserve">съхраняват и </w:t>
            </w:r>
            <w:r w:rsidRPr="001E7842">
              <w:rPr>
                <w:b/>
                <w:i/>
              </w:rPr>
              <w:t>предават</w:t>
            </w:r>
            <w:r w:rsidRPr="001E7842">
              <w:t xml:space="preserve"> както КИЕС, така и некласифицирана информация, за да се гарантира безпрепятствен обмен на информация със съответните заинтересовани страни.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11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</w:t>
      </w:r>
      <w:r w:rsidRPr="001E7842">
        <w:rPr>
          <w:rStyle w:val="HideTWBExt"/>
          <w:b w:val="0"/>
        </w:rPr>
        <w:t>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21 a (ново)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(21а)</w:t>
            </w:r>
            <w:r w:rsidRPr="001E7842">
              <w:rPr>
                <w:b/>
                <w:i/>
              </w:rPr>
              <w:tab/>
              <w:t xml:space="preserve">Информацията, държана от институциите и органите на Съюза, се обменя също така чрез средата на информационните и </w:t>
            </w:r>
            <w:r w:rsidRPr="001E7842">
              <w:rPr>
                <w:b/>
                <w:i/>
              </w:rPr>
              <w:t>комуникационните технологии (ИКТ), на място или чрез виртуални активи, ИКТ продукти, ИКТ услуги и ИКТ процеси, както и мрежите и информационните системи, независимо дали са собственост на институция или орган на Съюза и биват управлявани от тях или се хост</w:t>
            </w:r>
            <w:r w:rsidRPr="001E7842">
              <w:rPr>
                <w:b/>
                <w:i/>
              </w:rPr>
              <w:t>ват или управляват от трета страна, включително мобилни устройства, корпоративни мрежи и бизнес мрежи, които не са свързани с интернет, и всякакви устройства, свързани с ИКТ средата.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12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Съображение 24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(24)</w:t>
            </w:r>
            <w:r w:rsidRPr="001E7842">
              <w:tab/>
              <w:t xml:space="preserve">Тясното сътрудничество между институциите и органите на Съюза, както и множеството полезни взаимодействия между тях са </w:t>
            </w:r>
            <w:r w:rsidRPr="001E7842">
              <w:t xml:space="preserve">свързани със споделяне на голямо количество информация. В интерес на сигурността на класифицираната информация надеждността на институция или орган на Съюза следва да </w:t>
            </w:r>
            <w:r w:rsidRPr="001E7842">
              <w:rPr>
                <w:b/>
                <w:i/>
              </w:rPr>
              <w:t>се оценява</w:t>
            </w:r>
            <w:r w:rsidRPr="001E7842">
              <w:t>, преди тя/той да борави със и да съхранява определено ниво на КИЕС.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(24)</w:t>
            </w:r>
            <w:r w:rsidRPr="001E7842">
              <w:tab/>
              <w:t>Тясно</w:t>
            </w:r>
            <w:r w:rsidRPr="001E7842">
              <w:t xml:space="preserve">то сътрудничество между институциите и органите на Съюза, както и множеството полезни взаимодействия между тях са свързани със споделяне на голямо количество информация. В интерес на сигурността на класифицираната информация надеждността </w:t>
            </w:r>
            <w:r w:rsidRPr="001E7842">
              <w:rPr>
                <w:b/>
                <w:i/>
              </w:rPr>
              <w:t xml:space="preserve">и способностите </w:t>
            </w:r>
            <w:r w:rsidRPr="001E7842">
              <w:t>на</w:t>
            </w:r>
            <w:r w:rsidRPr="001E7842">
              <w:t xml:space="preserve"> институция или орган на Съюза следва да </w:t>
            </w:r>
            <w:r w:rsidRPr="001E7842">
              <w:rPr>
                <w:b/>
                <w:i/>
              </w:rPr>
              <w:t>бъдат оценявани</w:t>
            </w:r>
            <w:r w:rsidRPr="001E7842">
              <w:t>, преди тя/той да борави със и да съхранява определено ниво на КИЕС.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13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1 – параграф 1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1.</w:t>
            </w:r>
            <w:r w:rsidRPr="001E7842">
              <w:tab/>
              <w:t>С настоящия регламент се определят правила за информационна сигурност за всички институции и органи на Съюза.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1.</w:t>
            </w:r>
            <w:r w:rsidRPr="001E7842">
              <w:tab/>
              <w:t xml:space="preserve">С настоящия регламент се определят </w:t>
            </w:r>
            <w:r w:rsidRPr="001E7842">
              <w:rPr>
                <w:b/>
                <w:i/>
              </w:rPr>
              <w:t xml:space="preserve">общи минимални </w:t>
            </w:r>
            <w:r w:rsidRPr="001E7842">
              <w:t xml:space="preserve">правила </w:t>
            </w:r>
            <w:r w:rsidRPr="001E7842">
              <w:t>за информационна сигурност за всички институции и органи на Съюза.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14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4 – параграф 1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 xml:space="preserve">Текст, предложен от </w:t>
            </w:r>
            <w:r w:rsidRPr="001E7842">
              <w:t>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1.</w:t>
            </w:r>
            <w:r w:rsidRPr="001E7842">
              <w:tab/>
              <w:t>Всяка институция и орган на Съюза носи отговорност за прилагането на разпоредбите на настоящия регламент в рамките на своята организация, като взема под внимание собствения си процес за управление на риска за сигурността на информац</w:t>
            </w:r>
            <w:r w:rsidRPr="001E7842">
              <w:t>ията.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1.</w:t>
            </w:r>
            <w:r w:rsidRPr="001E7842">
              <w:tab/>
              <w:t>Всяка институция и орган на Съюза носи отговорност за прилагането на разпоредбите на настоящия регламент в рамките на своята организация, като взема под внимание собствения си процес за управление на риска за сигурността на информацията.</w:t>
            </w:r>
            <w:r w:rsidRPr="001E7842">
              <w:rPr>
                <w:b/>
                <w:i/>
              </w:rPr>
              <w:t xml:space="preserve"> Когато ра</w:t>
            </w:r>
            <w:r w:rsidRPr="001E7842">
              <w:rPr>
                <w:b/>
                <w:i/>
              </w:rPr>
              <w:t>зработват и прилагат своята рамка за сигурност на документите, институциите и органите на Съюза гарантират целостта на демократичните процеси на Съюза. Те приемат, наред с другото, специални разпоредби в процедурите за възлагане на поръчки, които ограничав</w:t>
            </w:r>
            <w:r w:rsidRPr="001E7842">
              <w:rPr>
                <w:b/>
                <w:i/>
              </w:rPr>
              <w:t>ат риска от външна намеса във функционирането им. Тези разпоредби разглеждат най-малко придобиването и поддръжката на инфраструктура за сигурност, проверката на организации на трети лица и процедурите за разрешаване на достъп, що се отнася до служителите.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15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4 – параграф 6 – алинея 2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Институциите и органите на Съюза, които</w:t>
            </w:r>
            <w:r w:rsidRPr="001E7842">
              <w:t xml:space="preserve"> боравят с КИЕС и съхраняват такава информация, организират задължително обучение най-малко веднъж на всеки пет години за всички лица, които имат право на достъп до КИЕС. Съответните институции и органи на Съюза организират специално обучение за конкретнит</w:t>
            </w:r>
            <w:r w:rsidRPr="001E7842">
              <w:t>е функции, на които са възложени задачи, свързани с информационната сигурност.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Институциите и органите на Съюза, които боравят с КИЕС и съхраняват такава информация, организират задължително обучение най-малко веднъж на всеки пет години за всички лица, кои</w:t>
            </w:r>
            <w:r w:rsidRPr="001E7842">
              <w:t xml:space="preserve">то имат право на достъп до КИЕС. Съответните институции и органи на Съюза организират специално обучение за конкретните функции, на които са възложени задачи, свързани с информационната сигурност. </w:t>
            </w:r>
            <w:r w:rsidRPr="001E7842">
              <w:rPr>
                <w:b/>
                <w:i/>
              </w:rPr>
              <w:t>Не по-късно от... [шест месеца след датата на влизане в сил</w:t>
            </w:r>
            <w:r w:rsidRPr="001E7842">
              <w:rPr>
                <w:b/>
                <w:i/>
              </w:rPr>
              <w:t>а на настоящия регламент] институциите и органите на Съюза разработват и прилагат ефективни и подходящи курсове за обучение, съизмерими с установените в съответствие с член 5 рискове, за всички лица, на които е разрешен достъп до КИЕС.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16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 – параграф 2 – буква д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да)</w:t>
            </w:r>
            <w:r w:rsidRPr="001E7842">
              <w:rPr>
                <w:b/>
                <w:i/>
              </w:rPr>
              <w:tab/>
              <w:t>гарантиране на целостта, наличността и устойч</w:t>
            </w:r>
            <w:r w:rsidRPr="001E7842">
              <w:rPr>
                <w:b/>
                <w:i/>
              </w:rPr>
              <w:t>ивостта на системите и услугите за обработка на данни.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17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 – параграф 3 – буква а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 xml:space="preserve">Текст, предложен </w:t>
            </w:r>
            <w:r w:rsidRPr="001E7842">
              <w:t>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аа)</w:t>
            </w:r>
            <w:r w:rsidRPr="001E7842">
              <w:rPr>
                <w:b/>
                <w:i/>
              </w:rPr>
              <w:tab/>
              <w:t>рисковете за правата и свободите на физическите лица;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18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 – параграф 3 – буква е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е)</w:t>
            </w:r>
            <w:r w:rsidRPr="001E7842">
              <w:tab/>
              <w:t>непрекъснатост на дейността</w:t>
            </w:r>
            <w:r w:rsidRPr="001E7842">
              <w:rPr>
                <w:b/>
                <w:i/>
              </w:rPr>
              <w:t xml:space="preserve"> и</w:t>
            </w:r>
            <w:r w:rsidRPr="001E7842">
              <w:t xml:space="preserve"> възстановяване след бедствия;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е)</w:t>
            </w:r>
            <w:r w:rsidRPr="001E7842">
              <w:tab/>
              <w:t>непрекъснатост на дейността</w:t>
            </w:r>
            <w:r w:rsidRPr="001E7842">
              <w:rPr>
                <w:b/>
                <w:i/>
              </w:rPr>
              <w:t>,</w:t>
            </w:r>
            <w:r w:rsidRPr="001E7842">
              <w:t xml:space="preserve"> възстановяване след бедствия</w:t>
            </w:r>
            <w:r w:rsidRPr="001E7842">
              <w:rPr>
                <w:b/>
                <w:i/>
              </w:rPr>
              <w:t xml:space="preserve"> и управление на кризи</w:t>
            </w:r>
            <w:r w:rsidRPr="001E7842">
              <w:t>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19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6 – параграф 2 – уводна част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2.</w:t>
            </w:r>
            <w:r w:rsidRPr="001E7842">
              <w:tab/>
              <w:t xml:space="preserve">Действайки с </w:t>
            </w:r>
            <w:r w:rsidRPr="001E7842">
              <w:rPr>
                <w:b/>
                <w:i/>
              </w:rPr>
              <w:t>консенсус</w:t>
            </w:r>
            <w:r w:rsidRPr="001E7842">
              <w:t xml:space="preserve"> и в общия интерес на институциите и органите на Съюза, координационната група: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2.</w:t>
            </w:r>
            <w:r w:rsidRPr="001E7842">
              <w:tab/>
              <w:t xml:space="preserve">Действайки с </w:t>
            </w:r>
            <w:r w:rsidRPr="001E7842">
              <w:rPr>
                <w:b/>
                <w:i/>
              </w:rPr>
              <w:t>мнозинство от най-малко две трети от своите членове</w:t>
            </w:r>
            <w:r w:rsidRPr="001E7842">
              <w:t xml:space="preserve"> и в общия интерес на институциите и органите на Съюза, координационната група: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</w:t>
      </w:r>
      <w:r w:rsidRPr="001E7842">
        <w:rPr>
          <w:rStyle w:val="HideTWBExt"/>
        </w:rPr>
        <w:t>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20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6 – параграф 2 – буква д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да)</w:t>
            </w:r>
            <w:r w:rsidRPr="001E7842">
              <w:rPr>
                <w:b/>
                <w:i/>
              </w:rPr>
              <w:tab/>
              <w:t xml:space="preserve">наблюдава спазването от страна на институциите и </w:t>
            </w:r>
            <w:r w:rsidRPr="001E7842">
              <w:rPr>
                <w:b/>
                <w:i/>
              </w:rPr>
              <w:t>органите на Съюза на настоящия регламент, както и на документите с насоки, изготвени съгласно буква в), чрез приемането на годишен доклад за оценка;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lastRenderedPageBreak/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21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</w:t>
      </w:r>
      <w:r w:rsidRPr="001E7842">
        <w:t>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7 – параграф 1 – буква д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да)</w:t>
            </w:r>
            <w:r w:rsidRPr="001E7842">
              <w:rPr>
                <w:b/>
                <w:i/>
              </w:rPr>
              <w:tab/>
              <w:t>подгрупа относно административните договорености с трети държави и международни организации.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22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10 – параграф 1 – буква в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ва)</w:t>
            </w:r>
            <w:r w:rsidRPr="001E7842">
              <w:rPr>
                <w:b/>
                <w:i/>
              </w:rPr>
              <w:tab/>
              <w:t>засилване на сътрудничеството и координацията със CERT-EU.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23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11 – параграф 4 – буква г 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га)</w:t>
            </w:r>
            <w:r w:rsidRPr="001E7842">
              <w:rPr>
                <w:b/>
                <w:i/>
              </w:rPr>
              <w:tab/>
              <w:t xml:space="preserve">криптиране от край до </w:t>
            </w:r>
            <w:r w:rsidRPr="001E7842">
              <w:rPr>
                <w:b/>
                <w:i/>
              </w:rPr>
              <w:t>край, по-специално при обмен на чувствителна некласифицирана информация;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24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18 – параграф 2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 xml:space="preserve">Текст, предложен </w:t>
            </w:r>
            <w:r w:rsidRPr="001E7842">
              <w:t>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2.</w:t>
            </w:r>
            <w:r w:rsidRPr="001E7842">
              <w:tab/>
              <w:t xml:space="preserve">Координационната група приема документи с насоки относно </w:t>
            </w:r>
            <w:r w:rsidRPr="001E7842">
              <w:lastRenderedPageBreak/>
              <w:t>създаването и класифицирането на КИЕС.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2.</w:t>
            </w:r>
            <w:r w:rsidRPr="001E7842">
              <w:tab/>
              <w:t xml:space="preserve">Координационната група приема документи с насоки относно </w:t>
            </w:r>
            <w:r w:rsidRPr="001E7842">
              <w:lastRenderedPageBreak/>
              <w:t xml:space="preserve">създаването и класифицирането на КИЕС. </w:t>
            </w:r>
            <w:r w:rsidRPr="001E7842">
              <w:rPr>
                <w:b/>
                <w:i/>
              </w:rPr>
              <w:t>Тези документи с насоки вземат пре</w:t>
            </w:r>
            <w:r w:rsidRPr="001E7842">
              <w:rPr>
                <w:b/>
                <w:i/>
              </w:rPr>
              <w:t>двид принципа на свеждане до минимум на използването на класифицирана информация, както и риска от свръхкласификация на някои документи. Тези документи, съдържащи насоки, включват правила за оценка и обосновка за класифициране на информация и материали, на</w:t>
            </w:r>
            <w:r w:rsidRPr="001E7842">
              <w:rPr>
                <w:b/>
                <w:i/>
              </w:rPr>
              <w:t>сочени към повишаване на прозрачността и избягване на необосновани ефекти на зависимост.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25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20 – параграф 3 а (нов)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3а.</w:t>
            </w:r>
            <w:r w:rsidRPr="001E7842">
              <w:rPr>
                <w:b/>
                <w:i/>
              </w:rPr>
              <w:tab/>
              <w:t>Настоящият член не засяга Регламент (ЕО) № 1049/2001.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26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 xml:space="preserve">Член 22 – </w:t>
      </w:r>
      <w:r w:rsidRPr="001E7842">
        <w:t>параграф 3 – буква а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а)</w:t>
            </w:r>
            <w:r w:rsidRPr="001E7842">
              <w:tab/>
              <w:t>информиране на създателя на информацията;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а)</w:t>
            </w:r>
            <w:r w:rsidRPr="001E7842">
              <w:tab/>
              <w:t>информиране на създателя на информацията</w:t>
            </w:r>
            <w:r w:rsidRPr="001E7842">
              <w:rPr>
                <w:b/>
                <w:i/>
              </w:rPr>
              <w:t xml:space="preserve"> без ненужно забавяне и във всеки случай не по-късно от една седмица, след като органът по сиг</w:t>
            </w:r>
            <w:r w:rsidRPr="001E7842">
              <w:rPr>
                <w:b/>
                <w:i/>
              </w:rPr>
              <w:t>урността е бил уведомен за нарушението</w:t>
            </w:r>
            <w:r w:rsidRPr="001E7842">
              <w:t xml:space="preserve">; 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27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22 – параграф 3 – буква д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д)</w:t>
            </w:r>
            <w:r w:rsidRPr="001E7842">
              <w:tab/>
              <w:t>уведомяване на компетентните органи за фактическото или предполагаемо излагане на риск и за предприетите действия.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д)</w:t>
            </w:r>
            <w:r w:rsidRPr="001E7842">
              <w:tab/>
              <w:t>уведомяване на компетентните органи за фактическото или предполагаемо излагане на риск и за предприетите действия</w:t>
            </w:r>
            <w:r w:rsidRPr="001E7842">
              <w:rPr>
                <w:b/>
                <w:i/>
              </w:rPr>
              <w:t xml:space="preserve"> без ненужно забавяне и във всеки случай не по-късно от една седмица, след като органът по сигурността е бил уведомен за нарушението</w:t>
            </w:r>
            <w:r w:rsidRPr="001E7842">
              <w:t>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28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23 – параграф 3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3.</w:t>
            </w:r>
            <w:r w:rsidRPr="001E7842">
              <w:tab/>
              <w:t>Институциите и органите на Съюза може да приемат разрешения за достъп, издадени от трети държави и международни организации, с които Съюзът е сключил споразум</w:t>
            </w:r>
            <w:r w:rsidRPr="001E7842">
              <w:t>ение за сигурност на информацията.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t>3.</w:t>
            </w:r>
            <w:r w:rsidRPr="001E7842">
              <w:tab/>
              <w:t xml:space="preserve">Институциите и органите на Съюза може да приемат разрешения за достъп, издадени от трети държави и международни организации, с които Съюзът е сключил споразумение за сигурност на информацията. </w:t>
            </w:r>
            <w:r w:rsidRPr="001E7842">
              <w:rPr>
                <w:b/>
                <w:i/>
              </w:rPr>
              <w:t>При всички случаи те гара</w:t>
            </w:r>
            <w:r w:rsidRPr="001E7842">
              <w:rPr>
                <w:b/>
                <w:i/>
              </w:rPr>
              <w:t>нтират спазването на принципите по параграф 1 и параграф 2.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29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32 – параграф 1 – уводна част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</w:t>
            </w:r>
            <w:r w:rsidRPr="001E7842">
              <w:t xml:space="preserve">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1.</w:t>
            </w:r>
            <w:r w:rsidRPr="001E7842">
              <w:tab/>
              <w:t>Институцията или органът на Съюза, под чието ръководство се създава документ с КИЕС, упражнява върху него „контрол на създателя“. Създателят определя нивото на класификацията на документа и отговаря за неговото първоначално разп</w:t>
            </w:r>
            <w:r w:rsidRPr="001E7842">
              <w:t xml:space="preserve">ространение. Без да се засяга Регламент 1049/2001, е необходимо предварително писмено съгласие на </w:t>
            </w:r>
            <w:r w:rsidRPr="001E7842">
              <w:lastRenderedPageBreak/>
              <w:t>създателя, преди информацията да бъде: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1.</w:t>
            </w:r>
            <w:r w:rsidRPr="001E7842">
              <w:tab/>
              <w:t xml:space="preserve">Институцията или органът на Съюза, под чието ръководство се създава документ с КИЕС, упражнява върху него „контрол </w:t>
            </w:r>
            <w:r w:rsidRPr="001E7842">
              <w:t xml:space="preserve">на създателя“. Създателят определя нивото на класификацията на документа и отговаря за неговото първоначално разпространение. </w:t>
            </w:r>
            <w:r w:rsidRPr="001E7842">
              <w:rPr>
                <w:b/>
                <w:i/>
              </w:rPr>
              <w:t xml:space="preserve">Създателят може да се консултира с предвидените получатели относно нивото на </w:t>
            </w:r>
            <w:r w:rsidRPr="001E7842">
              <w:rPr>
                <w:b/>
                <w:i/>
              </w:rPr>
              <w:lastRenderedPageBreak/>
              <w:t>класификация на документ с КИЕС, по-специално в случа</w:t>
            </w:r>
            <w:r w:rsidRPr="001E7842">
              <w:rPr>
                <w:b/>
                <w:i/>
              </w:rPr>
              <w:t xml:space="preserve">й на съмнение относно поверителния характер на дадена информация и подходящото ѝ ниво на класификация, както и за да се предотврати свръхкласификация на този документ. За целите на първоначалното разпространение на документ с КИЕС създателят взема предвид </w:t>
            </w:r>
            <w:r w:rsidRPr="001E7842">
              <w:rPr>
                <w:b/>
                <w:i/>
              </w:rPr>
              <w:t>правата и задълженията на получателите на информация, произтичащи от Договорите.</w:t>
            </w:r>
            <w:r w:rsidRPr="001E7842">
              <w:t xml:space="preserve"> Без да се засяга Регламент 1049/2001, е необходимо предварително писмено съгласие на създателя, преди информацията да бъде: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</w:t>
      </w:r>
      <w:r w:rsidRPr="001E7842">
        <w:t>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30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1 – параграф 1 – буква e a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еа)</w:t>
            </w:r>
            <w:r w:rsidRPr="001E7842">
              <w:rPr>
                <w:b/>
                <w:i/>
              </w:rPr>
              <w:tab/>
              <w:t xml:space="preserve">собственикът на системата или оперативният орган за осигуреност на </w:t>
            </w:r>
            <w:r w:rsidRPr="001E7842">
              <w:rPr>
                <w:b/>
                <w:i/>
              </w:rPr>
              <w:t>информацията осигуряват наличието на процес на идентифициране и докладване на уязвимости, включително вътрешни и външни възнаграждения за докладване на уязвимости, според случая, което се допълва от редовни одити и тестове за проникване, когато е целесъобр</w:t>
            </w:r>
            <w:r w:rsidRPr="001E7842">
              <w:rPr>
                <w:b/>
                <w:i/>
              </w:rPr>
              <w:t>азно;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31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52 – параграф 2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2.</w:t>
            </w:r>
            <w:r w:rsidRPr="001E7842">
              <w:tab/>
              <w:t xml:space="preserve">Подгрупата по споделянето на КИЕС и </w:t>
            </w:r>
            <w:r w:rsidRPr="001E7842">
              <w:t xml:space="preserve">обмена на класифицирана информация се състои от представители </w:t>
            </w:r>
            <w:r w:rsidRPr="001E7842">
              <w:lastRenderedPageBreak/>
              <w:t>на Комисията, Съвета и Европейската служба за външна дейност и работи с консенсус.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lastRenderedPageBreak/>
              <w:t>2.</w:t>
            </w:r>
            <w:r w:rsidRPr="001E7842">
              <w:tab/>
              <w:t xml:space="preserve">Подгрупата по споделянето на КИЕС и обмена на класифицирана информация се състои от представители </w:t>
            </w:r>
            <w:r w:rsidRPr="001E7842">
              <w:lastRenderedPageBreak/>
              <w:t xml:space="preserve">на </w:t>
            </w:r>
            <w:r w:rsidRPr="001E7842">
              <w:rPr>
                <w:b/>
                <w:i/>
              </w:rPr>
              <w:t>Парламе</w:t>
            </w:r>
            <w:r w:rsidRPr="001E7842">
              <w:rPr>
                <w:b/>
                <w:i/>
              </w:rPr>
              <w:t xml:space="preserve">нта, </w:t>
            </w:r>
            <w:r w:rsidRPr="001E7842">
              <w:t xml:space="preserve">Комисията, Съвета и Европейската служба за външна дейност и работи с консенсус. </w:t>
            </w:r>
            <w:r w:rsidRPr="001E7842">
              <w:rPr>
                <w:b/>
                <w:i/>
              </w:rPr>
              <w:t>Тази подгрупа осигурява полезно взаимодействие между необходимостта от защита на КИЕС и Регламент (ЕО) № 1049/2001 и гарантира, че класификацията сама по себе си не възпре</w:t>
            </w:r>
            <w:r w:rsidRPr="001E7842">
              <w:rPr>
                <w:b/>
                <w:i/>
              </w:rPr>
              <w:t>пятства оповестяването.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lastRenderedPageBreak/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32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54 – параграф 1 – буква -а (нова)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52304F" w:rsidP="0052304F">
            <w:pPr>
              <w:pStyle w:val="Normal6"/>
              <w:rPr>
                <w:szCs w:val="24"/>
              </w:rPr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52304F" w:rsidP="0052304F">
            <w:pPr>
              <w:pStyle w:val="Normal6"/>
            </w:pP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Normal6"/>
              <w:rPr>
                <w:szCs w:val="24"/>
              </w:rPr>
            </w:pPr>
            <w:r w:rsidRPr="001E7842">
              <w:rPr>
                <w:b/>
                <w:i/>
              </w:rPr>
              <w:t>-а)</w:t>
            </w:r>
            <w:r w:rsidRPr="001E7842">
              <w:rPr>
                <w:b/>
                <w:i/>
              </w:rPr>
              <w:tab/>
              <w:t xml:space="preserve">съществува правно задължение по линия на правото на Съюза или междуинституционално споразумение, сключено между институциите на Съюза; 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52304F" w:rsidRPr="001E7842" w:rsidRDefault="00DE20D3" w:rsidP="0052304F">
      <w:r w:rsidRPr="001E7842">
        <w:rPr>
          <w:rStyle w:val="HideTWBExt"/>
        </w:rPr>
        <w:t>&lt;/Amend&gt;</w:t>
      </w:r>
    </w:p>
    <w:p w:rsidR="0052304F" w:rsidRPr="001E7842" w:rsidRDefault="00DE20D3" w:rsidP="0052304F">
      <w:pPr>
        <w:pStyle w:val="AMNumberTabs0"/>
        <w:keepNext/>
      </w:pPr>
      <w:r w:rsidRPr="001E7842">
        <w:rPr>
          <w:rStyle w:val="HideTWBExt"/>
          <w:b w:val="0"/>
        </w:rPr>
        <w:t>&lt;Amend&gt;</w:t>
      </w:r>
      <w:r w:rsidRPr="001E7842">
        <w:t>Изменение</w:t>
      </w:r>
      <w:r w:rsidRPr="001E7842">
        <w:tab/>
      </w:r>
      <w:r w:rsidRPr="001E7842">
        <w:tab/>
      </w:r>
      <w:r w:rsidRPr="001E7842">
        <w:rPr>
          <w:rStyle w:val="HideTWBExt"/>
          <w:b w:val="0"/>
        </w:rPr>
        <w:t>&lt;NumAm&gt;</w:t>
      </w:r>
      <w:r w:rsidRPr="001E7842">
        <w:t>33</w:t>
      </w:r>
      <w:r w:rsidRPr="001E7842">
        <w:rPr>
          <w:rStyle w:val="HideTWBExt"/>
          <w:b w:val="0"/>
        </w:rPr>
        <w:t>&lt;/NumAm&gt;</w:t>
      </w:r>
    </w:p>
    <w:p w:rsidR="0052304F" w:rsidRPr="001E7842" w:rsidRDefault="00DE20D3" w:rsidP="0052304F">
      <w:pPr>
        <w:pStyle w:val="NormalBold12b"/>
        <w:keepNext/>
      </w:pPr>
      <w:r w:rsidRPr="001E7842">
        <w:rPr>
          <w:rStyle w:val="HideTWBExt"/>
          <w:b w:val="0"/>
        </w:rPr>
        <w:t>&lt;DocAmend&gt;</w:t>
      </w:r>
      <w:r w:rsidRPr="001E7842">
        <w:t>Предложение за регламент</w:t>
      </w:r>
      <w:r w:rsidRPr="001E7842">
        <w:rPr>
          <w:rStyle w:val="HideTWBExt"/>
          <w:b w:val="0"/>
        </w:rPr>
        <w:t>&lt;/DocAm</w:t>
      </w:r>
      <w:r w:rsidRPr="001E7842">
        <w:rPr>
          <w:rStyle w:val="HideTWBExt"/>
          <w:b w:val="0"/>
        </w:rPr>
        <w:t>end&gt;</w:t>
      </w:r>
    </w:p>
    <w:p w:rsidR="0052304F" w:rsidRPr="001E7842" w:rsidRDefault="00DE20D3" w:rsidP="0052304F">
      <w:pPr>
        <w:pStyle w:val="NormalBold"/>
      </w:pPr>
      <w:r w:rsidRPr="001E7842">
        <w:rPr>
          <w:rStyle w:val="HideTWBExt"/>
          <w:b w:val="0"/>
        </w:rPr>
        <w:t>&lt;Article&gt;</w:t>
      </w:r>
      <w:r w:rsidRPr="001E7842">
        <w:t>Член 54 – параграф 1 – буква а</w:t>
      </w:r>
      <w:r w:rsidRPr="001E7842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37E12" w:rsidRPr="001E7842" w:rsidTr="0052304F">
        <w:trPr>
          <w:jc w:val="center"/>
        </w:trPr>
        <w:tc>
          <w:tcPr>
            <w:tcW w:w="9752" w:type="dxa"/>
            <w:gridSpan w:val="2"/>
          </w:tcPr>
          <w:p w:rsidR="0052304F" w:rsidRPr="001E7842" w:rsidRDefault="0052304F" w:rsidP="0052304F">
            <w:pPr>
              <w:keepNext/>
            </w:pP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Текст, предложен от Комисията</w:t>
            </w:r>
          </w:p>
        </w:tc>
        <w:tc>
          <w:tcPr>
            <w:tcW w:w="4876" w:type="dxa"/>
          </w:tcPr>
          <w:p w:rsidR="0052304F" w:rsidRPr="001E7842" w:rsidRDefault="00DE20D3" w:rsidP="0052304F">
            <w:pPr>
              <w:pStyle w:val="ColumnHeading"/>
              <w:keepNext/>
            </w:pPr>
            <w:r w:rsidRPr="001E7842">
              <w:t>Изменение</w:t>
            </w:r>
          </w:p>
        </w:tc>
      </w:tr>
      <w:tr w:rsidR="00137E12" w:rsidRPr="001E7842" w:rsidTr="0052304F">
        <w:trPr>
          <w:jc w:val="center"/>
        </w:trPr>
        <w:tc>
          <w:tcPr>
            <w:tcW w:w="4876" w:type="dxa"/>
          </w:tcPr>
          <w:p w:rsidR="0052304F" w:rsidRPr="001E7842" w:rsidRDefault="00DE20D3" w:rsidP="0052304F">
            <w:pPr>
              <w:pStyle w:val="Normal6"/>
            </w:pPr>
            <w:r w:rsidRPr="001E7842">
              <w:t>а)</w:t>
            </w:r>
            <w:r w:rsidRPr="001E7842">
              <w:tab/>
              <w:t>съществува доказана необходимост от споделяне;</w:t>
            </w:r>
          </w:p>
        </w:tc>
        <w:tc>
          <w:tcPr>
            <w:tcW w:w="4876" w:type="dxa"/>
          </w:tcPr>
          <w:p w:rsidR="0052304F" w:rsidRPr="001E7842" w:rsidRDefault="00DE20D3" w:rsidP="00DE20D3">
            <w:pPr>
              <w:pStyle w:val="Normal6"/>
              <w:rPr>
                <w:szCs w:val="24"/>
              </w:rPr>
            </w:pPr>
            <w:r w:rsidRPr="001E7842">
              <w:t>а)</w:t>
            </w:r>
            <w:r w:rsidRPr="001E7842">
              <w:tab/>
              <w:t>съществува доказана необходимост от споделяне</w:t>
            </w:r>
            <w:r w:rsidRPr="001E7842">
              <w:rPr>
                <w:b/>
                <w:i/>
              </w:rPr>
              <w:t>, в</w:t>
            </w:r>
            <w:r>
              <w:rPr>
                <w:b/>
                <w:i/>
              </w:rPr>
              <w:t> </w:t>
            </w:r>
            <w:bookmarkStart w:id="1" w:name="_GoBack"/>
            <w:bookmarkEnd w:id="1"/>
            <w:r w:rsidRPr="001E7842">
              <w:rPr>
                <w:b/>
                <w:i/>
              </w:rPr>
              <w:t>съответствие с принципа „необходимост да се знае“</w:t>
            </w:r>
            <w:r w:rsidRPr="001E7842">
              <w:t>;</w:t>
            </w:r>
          </w:p>
        </w:tc>
      </w:tr>
    </w:tbl>
    <w:p w:rsidR="0052304F" w:rsidRPr="001E7842" w:rsidRDefault="00DE20D3" w:rsidP="0052304F">
      <w:pPr>
        <w:pStyle w:val="Olang"/>
        <w:rPr>
          <w:sz w:val="24"/>
          <w:szCs w:val="24"/>
        </w:rPr>
      </w:pPr>
      <w:r w:rsidRPr="001E7842">
        <w:rPr>
          <w:sz w:val="24"/>
          <w:szCs w:val="24"/>
        </w:rPr>
        <w:t xml:space="preserve">Or. </w:t>
      </w:r>
      <w:r w:rsidRPr="001E7842">
        <w:rPr>
          <w:rStyle w:val="HideTWBExt"/>
        </w:rPr>
        <w:t>&lt;Original&gt;</w:t>
      </w:r>
      <w:r w:rsidRPr="001E7842">
        <w:rPr>
          <w:rStyle w:val="HideTWBInt"/>
          <w:sz w:val="24"/>
          <w:szCs w:val="24"/>
        </w:rPr>
        <w:t>{EN}</w:t>
      </w:r>
      <w:r w:rsidRPr="001E7842">
        <w:rPr>
          <w:sz w:val="24"/>
          <w:szCs w:val="24"/>
        </w:rPr>
        <w:t>en</w:t>
      </w:r>
      <w:r w:rsidRPr="001E7842">
        <w:rPr>
          <w:rStyle w:val="HideTWBExt"/>
        </w:rPr>
        <w:t>&lt;/Original&gt;</w:t>
      </w:r>
    </w:p>
    <w:p w:rsidR="002669B6" w:rsidRPr="001E7842" w:rsidRDefault="00DE20D3" w:rsidP="0052304F">
      <w:r w:rsidRPr="001E7842">
        <w:rPr>
          <w:rStyle w:val="HideTWBExt"/>
        </w:rPr>
        <w:t>&lt;/Amend&gt;&lt;/RepeatBlock-Amend&gt;</w:t>
      </w:r>
    </w:p>
    <w:sectPr w:rsidR="002669B6" w:rsidRPr="001E7842" w:rsidSect="001E78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1E7842" w:rsidRDefault="00DE20D3">
      <w:r w:rsidRPr="001E7842">
        <w:separator/>
      </w:r>
    </w:p>
  </w:endnote>
  <w:endnote w:type="continuationSeparator" w:id="0">
    <w:p w:rsidR="00000000" w:rsidRPr="001E7842" w:rsidRDefault="00DE20D3">
      <w:r w:rsidRPr="001E78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842" w:rsidRPr="001E7842" w:rsidRDefault="001E7842" w:rsidP="001E7842">
    <w:pPr>
      <w:pStyle w:val="EPFooter"/>
    </w:pPr>
    <w:r w:rsidRPr="001E7842">
      <w:t>PE</w:t>
    </w:r>
    <w:r w:rsidRPr="001E7842">
      <w:rPr>
        <w:rStyle w:val="HideTWBExt"/>
      </w:rPr>
      <w:t>&lt;NoPE&gt;</w:t>
    </w:r>
    <w:r w:rsidRPr="001E7842">
      <w:t>776.837</w:t>
    </w:r>
    <w:r w:rsidRPr="001E7842">
      <w:rPr>
        <w:rStyle w:val="HideTWBExt"/>
      </w:rPr>
      <w:t>&lt;/NoPE&gt;&lt;Version&gt;</w:t>
    </w:r>
    <w:r w:rsidRPr="001E7842">
      <w:t>v01-00</w:t>
    </w:r>
    <w:r w:rsidRPr="001E7842">
      <w:rPr>
        <w:rStyle w:val="HideTWBExt"/>
      </w:rPr>
      <w:t>&lt;/Version&gt;</w:t>
    </w:r>
    <w:r w:rsidRPr="001E7842">
      <w:tab/>
    </w:r>
    <w:r w:rsidRPr="001E7842">
      <w:fldChar w:fldCharType="begin"/>
    </w:r>
    <w:r w:rsidRPr="001E7842">
      <w:instrText xml:space="preserve"> PAGE  \* MERGEFORMAT </w:instrText>
    </w:r>
    <w:r w:rsidRPr="001E7842">
      <w:fldChar w:fldCharType="separate"/>
    </w:r>
    <w:r w:rsidR="00DE20D3">
      <w:rPr>
        <w:noProof/>
      </w:rPr>
      <w:t>22</w:t>
    </w:r>
    <w:r w:rsidRPr="001E7842">
      <w:fldChar w:fldCharType="end"/>
    </w:r>
    <w:r w:rsidRPr="001E7842">
      <w:t>/</w:t>
    </w:r>
    <w:fldSimple w:instr=" NUMPAGES  \* MERGEFORMAT ">
      <w:r w:rsidR="00DE20D3">
        <w:rPr>
          <w:noProof/>
        </w:rPr>
        <w:t>22</w:t>
      </w:r>
    </w:fldSimple>
    <w:r w:rsidRPr="001E7842">
      <w:tab/>
    </w:r>
    <w:r w:rsidRPr="001E7842">
      <w:rPr>
        <w:rStyle w:val="HideTWBExt"/>
      </w:rPr>
      <w:t>&lt;PathFdR&gt;</w:t>
    </w:r>
    <w:r w:rsidRPr="001E7842">
      <w:t>PR\1326826BG.docx</w:t>
    </w:r>
    <w:r w:rsidRPr="001E7842">
      <w:rPr>
        <w:rStyle w:val="HideTWBExt"/>
      </w:rPr>
      <w:t>&lt;/PathFdR&gt;</w:t>
    </w:r>
  </w:p>
  <w:p w:rsidR="005852A4" w:rsidRPr="001E7842" w:rsidRDefault="001E7842" w:rsidP="001E7842">
    <w:pPr>
      <w:pStyle w:val="EPFooter2"/>
    </w:pPr>
    <w:r w:rsidRPr="001E7842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842" w:rsidRPr="001E7842" w:rsidRDefault="001E7842" w:rsidP="001E7842">
    <w:pPr>
      <w:pStyle w:val="EPFooter"/>
    </w:pPr>
    <w:r w:rsidRPr="001E7842">
      <w:rPr>
        <w:rStyle w:val="HideTWBExt"/>
      </w:rPr>
      <w:t>&lt;PathFdR&gt;</w:t>
    </w:r>
    <w:r w:rsidRPr="001E7842">
      <w:t>PR\1326826BG.docx</w:t>
    </w:r>
    <w:r w:rsidRPr="001E7842">
      <w:rPr>
        <w:rStyle w:val="HideTWBExt"/>
      </w:rPr>
      <w:t>&lt;/PathFdR&gt;</w:t>
    </w:r>
    <w:r w:rsidRPr="001E7842">
      <w:tab/>
    </w:r>
    <w:r w:rsidRPr="001E7842">
      <w:fldChar w:fldCharType="begin"/>
    </w:r>
    <w:r w:rsidRPr="001E7842">
      <w:instrText xml:space="preserve"> PAGE  \* MERGEFORMAT </w:instrText>
    </w:r>
    <w:r w:rsidRPr="001E7842">
      <w:fldChar w:fldCharType="separate"/>
    </w:r>
    <w:r w:rsidR="00DE20D3">
      <w:rPr>
        <w:noProof/>
      </w:rPr>
      <w:t>21</w:t>
    </w:r>
    <w:r w:rsidRPr="001E7842">
      <w:fldChar w:fldCharType="end"/>
    </w:r>
    <w:r w:rsidRPr="001E7842">
      <w:t>/</w:t>
    </w:r>
    <w:fldSimple w:instr=" NUMPAGES  \* MERGEFORMAT ">
      <w:r w:rsidR="00DE20D3">
        <w:rPr>
          <w:noProof/>
        </w:rPr>
        <w:t>22</w:t>
      </w:r>
    </w:fldSimple>
    <w:r w:rsidRPr="001E7842">
      <w:tab/>
      <w:t>PE</w:t>
    </w:r>
    <w:r w:rsidRPr="001E7842">
      <w:rPr>
        <w:rStyle w:val="HideTWBExt"/>
      </w:rPr>
      <w:t>&lt;NoPE&gt;</w:t>
    </w:r>
    <w:r w:rsidRPr="001E7842">
      <w:t>776.837</w:t>
    </w:r>
    <w:r w:rsidRPr="001E7842">
      <w:rPr>
        <w:rStyle w:val="HideTWBExt"/>
      </w:rPr>
      <w:t>&lt;/NoPE&gt;&lt;Version&gt;</w:t>
    </w:r>
    <w:r w:rsidRPr="001E7842">
      <w:t>v01-00</w:t>
    </w:r>
    <w:r w:rsidRPr="001E7842">
      <w:rPr>
        <w:rStyle w:val="HideTWBExt"/>
      </w:rPr>
      <w:t>&lt;/Version&gt;</w:t>
    </w:r>
  </w:p>
  <w:p w:rsidR="005852A4" w:rsidRPr="001E7842" w:rsidRDefault="001E7842" w:rsidP="001E7842">
    <w:pPr>
      <w:pStyle w:val="EPFooter2"/>
    </w:pPr>
    <w:r w:rsidRPr="001E7842">
      <w:tab/>
    </w:r>
    <w:r w:rsidRPr="001E7842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842" w:rsidRPr="001E7842" w:rsidRDefault="001E7842" w:rsidP="001E7842">
    <w:pPr>
      <w:pStyle w:val="EPFooter"/>
    </w:pPr>
    <w:r w:rsidRPr="001E7842">
      <w:rPr>
        <w:rStyle w:val="HideTWBExt"/>
      </w:rPr>
      <w:t>&lt;PathFdR&gt;</w:t>
    </w:r>
    <w:r w:rsidRPr="001E7842">
      <w:t>PR\1326826BG.docx</w:t>
    </w:r>
    <w:r w:rsidRPr="001E7842">
      <w:rPr>
        <w:rStyle w:val="HideTWBExt"/>
      </w:rPr>
      <w:t>&lt;/PathFdR&gt;</w:t>
    </w:r>
    <w:r w:rsidRPr="001E7842">
      <w:tab/>
    </w:r>
    <w:r w:rsidRPr="001E7842">
      <w:tab/>
      <w:t>PE</w:t>
    </w:r>
    <w:r w:rsidRPr="001E7842">
      <w:rPr>
        <w:rStyle w:val="HideTWBExt"/>
      </w:rPr>
      <w:t>&lt;NoPE&gt;</w:t>
    </w:r>
    <w:r w:rsidRPr="001E7842">
      <w:t>776.837</w:t>
    </w:r>
    <w:r w:rsidRPr="001E7842">
      <w:rPr>
        <w:rStyle w:val="HideTWBExt"/>
      </w:rPr>
      <w:t>&lt;/NoPE&gt;&lt;Version&gt;</w:t>
    </w:r>
    <w:r w:rsidRPr="001E7842">
      <w:t>v01-00</w:t>
    </w:r>
    <w:r w:rsidRPr="001E7842">
      <w:rPr>
        <w:rStyle w:val="HideTWBExt"/>
      </w:rPr>
      <w:t>&lt;/Version&gt;</w:t>
    </w:r>
  </w:p>
  <w:p w:rsidR="005852A4" w:rsidRPr="001E7842" w:rsidRDefault="001E7842" w:rsidP="001E7842">
    <w:pPr>
      <w:pStyle w:val="EPFooter2"/>
    </w:pPr>
    <w:r w:rsidRPr="001E7842">
      <w:t>BG</w:t>
    </w:r>
    <w:r w:rsidRPr="001E7842">
      <w:tab/>
    </w:r>
    <w:r w:rsidRPr="001E7842">
      <w:rPr>
        <w:b w:val="0"/>
        <w:i/>
        <w:color w:val="C0C0C0"/>
        <w:sz w:val="22"/>
      </w:rPr>
      <w:t>Единство в многообразието</w:t>
    </w:r>
    <w:r w:rsidRPr="001E7842">
      <w:tab/>
      <w:t>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1E7842" w:rsidRDefault="00DE20D3">
      <w:r w:rsidRPr="001E7842">
        <w:separator/>
      </w:r>
    </w:p>
  </w:footnote>
  <w:footnote w:type="continuationSeparator" w:id="0">
    <w:p w:rsidR="00000000" w:rsidRPr="001E7842" w:rsidRDefault="00DE20D3">
      <w:r w:rsidRPr="001E78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0D3" w:rsidRDefault="00DE20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0D3" w:rsidRDefault="00DE20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0D3" w:rsidRDefault="00DE20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CopyToNetwork" w:val="-1"/>
    <w:docVar w:name="DOCDT" w:val="02/09/2025"/>
    <w:docVar w:name="DOCMNU" w:val=" 1"/>
    <w:docVar w:name="EPSTATMNU" w:val=" 5"/>
    <w:docVar w:name="EVABUDGMNU" w:val=" 1"/>
    <w:docVar w:name="INSTITUTIONSMNU" w:val=" 1"/>
    <w:docVar w:name="JURI1MNU" w:val=" 1"/>
    <w:docVar w:name="JURI2MNU" w:val=" 1"/>
    <w:docVar w:name="LastEditedSection" w:val=" 1"/>
    <w:docVar w:name="OTHERSTATMNU" w:val=" 4"/>
    <w:docVar w:name="PARLIAMENTSMNU" w:val=" 1"/>
    <w:docVar w:name="PARLMNU" w:val=" 1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038420 HideTWBExt;}{\*\cs18 \additive \v\f1\fs20\cf15 _x000d__x000a_\spriority0 \styrsid15038420 HideTWBInt;}{\s19\ql \li0\ri0\sa120\nowidctlpar\wrapdefault\aspalpha\aspnum\faauto\adjustright\rin0\lin0\itap0 \rtlch\fcs1 \af0\afs20\alang1025 \ltrch\fcs0 \fs24\lang2057\langfe2057\cgrid\langnp2057\langfenp2057 _x000d__x000a_\sbasedon0 \snext19 \spriority0 \styrsid15038420 Normal6a;}{\s20\ql \li0\ri0\nowidctlpar\wrapdefault\aspalpha\aspnum\faauto\adjustright\rin0\lin0\itap0 \rtlch\fcs1 \af0\afs20\alang1025 \ltrch\fcs0 \b\fs24\lang2057\langfe2057\cgrid\langnp2057\langfenp2057 _x000d__x000a_\sbasedon0 \snext20 \spriority0 \styrsid15038420 NormalBold;}{\s21\ql \li0\ri0\sa240\nowidctlpar\wrapdefault\aspalpha\aspnum\faauto\adjustright\rin0\lin0\itap0 \rtlch\fcs1 \af0\afs20\alang1025 \ltrch\fcs0 _x000d__x000a_\i\fs24\lang2057\langfe2057\cgrid\langnp2057\langfenp2057 \sbasedon0 \snext21 \spriority0 \styrsid15038420 AmJustText;}{\s22\qc \li0\ri0\sb240\sa240\nowidctlpar\wrapdefault\aspalpha\aspnum\faauto\adjustright\rin0\lin0\itap0 \rtlch\fcs1 _x000d__x000a_\af0\afs20\alang1025 \ltrch\fcs0 \i\fs24\lang2057\langfe2057\cgrid\langnp2057\langfenp2057 \sbasedon0 \snext22 \spriority0 \styrsid1503842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038420 AmJustTitle;}{\s24\qr \li0\ri0\sb240\sa240\nowidctlpar\wrapdefault\aspalpha\aspnum\faauto\adjustright\rin0\lin0\itap0 \rtlch\fcs1 \af0\afs20\alang1025 \ltrch\fcs0 _x000d__x000a_\fs24\lang2057\langfe2057\cgrid\langnp2057\langfenp2057 \sbasedon0 \snext24 \spriority0 \styrsid15038420 AmOrLang;}{\s25\qc \li0\ri0\sa240\nowidctlpar\wrapdefault\aspalpha\aspnum\faauto\adjustright\rin0\lin0\itap0 \rtlch\fcs1 \af0\afs20\alang1025 _x000d__x000a_\ltrch\fcs0 \i\fs24\lang2057\langfe2057\cgrid\langnp2057\langfenp2057 \sbasedon0 \snext25 \spriority0 \styrsid1503842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038420 AmNumberTabs;}{\s27\ql \li0\ri0\sb240\nowidctlpar\wrapdefault\aspalpha\aspnum\faauto\adjustright\rin0\lin0\itap0 \rtlch\fcs1 _x000d__x000a_\af0\afs20\alang1025 \ltrch\fcs0 \b\fs24\lang2057\langfe2057\cgrid\langnp2057\langfenp2057 \sbasedon0 \snext27 \spriority0 \styrsid15038420 NormalBold12b;}}{\*\rsidtbl \rsid24658\rsid223860\rsid735077\rsid1718133\rsid1905212\rsid2892074\rsid3565327_x000d__x000a_\rsid4666813\rsid6641733\rsid7823322\rsid9636012\rsid10377208\rsid11215221\rsid11549030\rsid12154954\rsid14382809\rsid14424199\rsid15038420\rsid15204470\rsid15285974\rsid15950462\rsid16324206\rsid16662270}{\mmathPr\mmathFont34\mbrkBin0\mbrkBinSub0_x000d__x000a_\msmallFrac0\mdispDef1\mlMargin0\mrMargin0\mdefJc1\mwrapIndent1440\mintLim0\mnaryLim1}{\info{\author LECUYER Katarzyna}{\operator LECUYER Katarzyna}{\creatim\yr2025\mo9\dy1\hr11\min59}{\revtim\yr2025\mo9\dy1\hr11\min59}{\version1}{\edmins0}{\nofpages1}_x000d__x000a_{\nofwords104}{\nofchars596}{\nofcharsws699}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03842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052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052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038420 \rtlch\fcs1 _x000d__x000a_\af0\afs20\alang1025 \ltrch\fcs0 \b\fs24\lang2057\langfe2057\cgrid\langnp2057\langfenp2057 {\rtlch\fcs1 \af0 \ltrch\fcs0 \cs17\b0\v\fs20\cf9\lang1024\langfe1024\loch\af1\hich\af1\dbch\af31501\noproof\insrsid15038420\charrsid16477461 {\*\bkmkstart restart}_x000d__x000a_\hich\af1\dbch\af31501\loch\f1 &lt;Amend&gt;}{\rtlch\fcs1 \af0 \ltrch\fcs0 \insrsid15038420\charrsid16477461 Amendment\tab \tab }{\rtlch\fcs1 \af0 \ltrch\fcs0 _x000d__x000a_\cs17\b0\v\fs20\cf9\lang1024\langfe1024\loch\af1\hich\af1\dbch\af31501\noproof\insrsid15038420\charrsid16477461 \hich\af1\dbch\af31501\loch\f1 &lt;NumAm&gt;}{\rtlch\fcs1 \af0 \ltrch\fcs0 \insrsid15038420\charrsid16477461 #}{\rtlch\fcs1 \af1 \ltrch\fcs0 _x000d__x000a_\cs18\v\f1\fs20\cf15\insrsid15038420\charrsid16477461 ENMIENDA@NRAM@}{\rtlch\fcs1 \af0 \ltrch\fcs0 \insrsid15038420\charrsid16477461 #}{\rtlch\fcs1 \af0 \ltrch\fcs0 _x000d__x000a_\cs17\b0\v\fs20\cf9\lang1024\langfe1024\loch\af1\hich\af1\dbch\af31501\noproof\insrsid15038420\charrsid16477461 \hich\af1\dbch\af31501\loch\f1 &lt;/NumAm&gt;}{\rtlch\fcs1 \af0 \ltrch\fcs0 \insrsid15038420\charrsid16477461 _x000d__x000a_\par }\pard\plain \ltrpar\s27\ql \li0\ri0\sb240\keepn\nowidctlpar\wrapdefault\aspalpha\aspnum\faauto\adjustright\rin0\lin0\itap0\pararsid15038420 \rtlch\fcs1 \af0\afs20\alang1025 \ltrch\fcs0 \b\fs24\lang2057\langfe2057\cgrid\langnp2057\langfenp2057 {_x000d__x000a_\rtlch\fcs1 \af0 \ltrch\fcs0 \cs17\b0\v\fs20\cf9\lang1024\langfe1024\loch\af1\hich\af1\dbch\af31501\noproof\insrsid15038420\charrsid16477461 \hich\af1\dbch\af31501\loch\f1 &lt;DocAmend&gt;}{\rtlch\fcs1 \af0 \ltrch\fcs0 \insrsid15038420\charrsid16477461 _x000d__x000a_Proposal for a #}{\rtlch\fcs1 \af1 \ltrch\fcs0 \cs18\v\f1\fs20\cf15\insrsid15038420\charrsid16477461 MNU[DOC1][DOC2][DOC3]@DOCMSG@DOCMNU}{\rtlch\fcs1 \af0 \ltrch\fcs0 \insrsid15038420\charrsid16477461 ##}{\rtlch\fcs1 \af1 \ltrch\fcs0 _x000d__x000a_\cs18\v\f1\fs20\cf15\insrsid15038420\charrsid16477461 MNU[AMACTYES][NOTAPP]@CHOICE@AMACTMNU}{\rtlch\fcs1 \af0 \ltrch\fcs0 \insrsid15038420\charrsid16477461 #}{\rtlch\fcs1 \af0 \ltrch\fcs0 _x000d__x000a_\cs17\b0\v\fs20\cf9\lang1024\langfe1024\loch\af1\hich\af1\dbch\af31501\noproof\insrsid15038420\charrsid16477461 \hich\af1\dbch\af31501\loch\f1 &lt;/DocAmend&gt;}{\rtlch\fcs1 \af0 \ltrch\fcs0 \insrsid15038420\charrsid16477461 _x000d__x000a_\par }\pard\plain \ltrpar\s20\ql \li0\ri0\keepn\nowidctlpar\wrapdefault\aspalpha\aspnum\faauto\adjustright\rin0\lin0\itap0\pararsid15038420 \rtlch\fcs1 \af0\afs20\alang1025 \ltrch\fcs0 \b\fs24\lang2057\langfe2057\cgrid\langnp2057\langfenp2057 {\rtlch\fcs1 _x000d__x000a_\af0 \ltrch\fcs0 \cs17\b0\v\fs20\cf9\lang1024\langfe1024\loch\af1\hich\af1\dbch\af31501\noproof\insrsid15038420\charrsid16477461 \hich\af1\dbch\af31501\loch\f1 &lt;Article&gt;}{\rtlch\fcs1 \af0 \ltrch\fcs0 \insrsid15038420\charrsid16477461 #}{\rtlch\fcs1 \af1 _x000d__x000a_\ltrch\fcs0 \cs18\v\f1\fs20\cf15\insrsid15038420\charrsid16477461 MNU[AMACTPARTYES][AMACTPARTNO]@CHOICE@AMACTMNU}{\rtlch\fcs1 \af0 \ltrch\fcs0 \insrsid15038420\charrsid16477461 #}{\rtlch\fcs1 \af0 \ltrch\fcs0 _x000d__x000a_\cs17\b0\v\fs20\cf9\lang1024\langfe1024\loch\af1\hich\af1\dbch\af31501\noproof\insrsid15038420\charrsid16477461 \hich\af1\dbch\af31501\loch\f1 &lt;/Article&gt;}{\rtlch\fcs1 \af0 \ltrch\fcs0 \insrsid15038420\charrsid16477461 _x000d__x000a_\par }\pard\plain \ltrpar\ql \li0\ri0\keepn\widctlpar\wrapdefault\aspalpha\aspnum\faauto\adjustright\rin0\lin0\itap0\pararsid15038420 \rtlch\fcs1 \af0\afs20\alang1025 \ltrch\fcs0 \fs24\lang2057\langfe2057\cgrid\langnp2057\langfenp2057 {\rtlch\fcs1 \af0 _x000d__x000a_\ltrch\fcs0 \cs17\v\fs20\cf9\lang1024\langfe1024\loch\af1\hich\af1\dbch\af31501\noproof\insrsid15038420\charrsid16477461 \hich\af1\dbch\af31501\loch\f1 &lt;DocAmend2&gt;&lt;OptDel&gt;}{\rtlch\fcs1 \af0 \ltrch\fcs0 \insrsid15038420\charrsid16477461 #}{\rtlch\fcs1 _x000d__x000a_\af1 \ltrch\fcs0 \cs18\v\f1\fs20\cf15\insrsid15038420\charrsid16477461 MNU[OPTNRACTYES][NOTAPP]@CHOICE@AMACTMNU}{\rtlch\fcs1 \af0 \ltrch\fcs0 \insrsid15038420\charrsid16477461 #}{\rtlch\fcs1 \af0 \ltrch\fcs0 _x000d__x000a_\cs17\v\fs20\cf9\lang1024\langfe1024\loch\af1\hich\af1\dbch\af31501\noproof\insrsid15038420\charrsid16477461 \hich\af1\dbch\af31501\loch\f1 &lt;/OptDel&gt;&lt;/DocAmend2&gt;}{\rtlch\fcs1 \af0 \ltrch\fcs0 \insrsid15038420\charrsid16477461 _x000d__x000a_\par }\pard \ltrpar\ql \li0\ri0\widctlpar\wrapdefault\aspalpha\aspnum\faauto\adjustright\rin0\lin0\itap0\pararsid15038420 {\rtlch\fcs1 \af0 \ltrch\fcs0 _x000d__x000a_\cs17\v\fs20\cf9\lang1024\langfe1024\loch\af1\hich\af1\dbch\af31501\noproof\insrsid15038420\charrsid16477461 \hich\af1\dbch\af31501\loch\f1 &lt;Article2&gt;&lt;OptDel&gt;}{\rtlch\fcs1 \af0 \ltrch\fcs0 \insrsid15038420\charrsid16477461 #}{\rtlch\fcs1 \af1 \ltrch\fcs0 _x000d__x000a_\cs18\v\f1\fs20\cf15\insrsid15038420\charrsid16477461 MNU[OPTACTPARTYES][NOTAPP]@CHOICE@AMACTMNU}{\rtlch\fcs1 \af0 \ltrch\fcs0 \insrsid15038420\charrsid16477461 #}{\rtlch\fcs1 \af0 \ltrch\fcs0 _x000d__x000a_\cs17\v\fs20\cf9\lang1024\langfe1024\loch\af1\hich\af1\dbch\af31501\noproof\insrsid15038420\charrsid16477461 \hich\af1\dbch\af31501\loch\f1 &lt;/OptDel&gt;&lt;/Article2&gt;}{\rtlch\fcs1 \af0 \ltrch\fcs0 \insrsid15038420\charrsid1647746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5038420\charrsid16477461 \cell }\pard\plain \ltrpar\ql \li0\ri0\widctlpar\intbl\wrapdefault\aspalpha\aspnum\faauto\adjustright\rin0\lin0 _x000d__x000a_\rtlch\fcs1 \af0\afs20\alang1025 \ltrch\fcs0 \fs24\lang2057\langfe2057\cgrid\langnp2057\langfenp2057 {\rtlch\fcs1 \af0 \ltrch\fcs0 \insrsid15038420\charrsid1647746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5038420\charrsid16477461 #}{\rtlch\fcs1 \af1 \ltrch\fcs0 \cs18\v\f1\fs20\cf15\insrsid15038420\charrsid16477461 MNU[OPTLEFTAMACT][LEFTPROP]@CHOICE@AMACTMNU}{\rtlch\fcs1 \af0 \ltrch\fcs0 \insrsid15038420\charrsid1647746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5038420\charrsid1647746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5038420\charrsid16477461 ##\cell ##}{\rtlch\fcs1 \af0\afs24 \ltrch\fcs0 \insrsid15038420\charrsid16477461 \cell }\pard\plain \ltrpar\ql \li0\ri0\widctlpar\intbl\wrapdefault\aspalpha\aspnum\faauto\adjustright\rin0\lin0 \rtlch\fcs1 _x000d__x000a_\af0\afs20\alang1025 \ltrch\fcs0 \fs24\lang2057\langfe2057\cgrid\langnp2057\langfenp2057 {\rtlch\fcs1 \af0 \ltrch\fcs0 \insrsid15038420\charrsid1647746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038420 \rtlch\fcs1 \af0\afs20\alang1025 \ltrch\fcs0 \fs24\lang2057\langfe2057\cgrid\langnp2057\langfenp2057 {\rtlch\fcs1 \af0 \ltrch\fcs0 _x000d__x000a_\insrsid15038420\charrsid16477461 Or. }{\rtlch\fcs1 \af0 \ltrch\fcs0 \cs17\v\fs20\cf9\lang1024\langfe1024\loch\af1\hich\af1\dbch\af31501\noproof\insrsid15038420\charrsid16477461 \hich\af1\dbch\af31501\loch\f1 &lt;Original&gt;}{\rtlch\fcs1 \af0 \ltrch\fcs0 _x000d__x000a_\insrsid15038420\charrsid16477461 #}{\rtlch\fcs1 \af1 \ltrch\fcs0 \cs18\v\f1\fs20\cf15\insrsid15038420\charrsid16477461 MNU[ORLANGONE][ORLANGMORE]@CHOICE@ORLANGMNU}{\rtlch\fcs1 \af0 \ltrch\fcs0 \insrsid15038420\charrsid16477461 #}{\rtlch\fcs1 \af0 _x000d__x000a_\ltrch\fcs0 \cs17\v\fs20\cf9\lang1024\langfe1024\loch\af1\hich\af1\dbch\af31501\noproof\insrsid15038420\charrsid16477461 \hich\af1\dbch\af31501\loch\f1 &lt;/Original&gt;}{\rtlch\fcs1 \af0 \ltrch\fcs0 \insrsid15038420\charrsid16477461 _x000d__x000a_\par }\pard\plain \ltrpar\s22\qc \li0\ri0\sb240\sa240\nowidctlpar\wrapdefault\aspalpha\aspnum\faauto\adjustright\rin0\lin0\itap0\pararsid15038420 \rtlch\fcs1 \af0\afs20\alang1025 \ltrch\fcs0 \i\fs24\lang2057\langfe2057\cgrid\langnp2057\langfenp2057 {_x000d__x000a_\rtlch\fcs1 \af0 \ltrch\fcs0 \cs17\i0\v\fs20\cf9\lang1024\langfe1024\loch\af1\hich\af1\dbch\af31501\noproof\insrsid15038420\charrsid16477461 \hich\af1\dbch\af31501\loch\f1 &lt;OptDel&gt;}{\rtlch\fcs1 \af0 \ltrch\fcs0 \insrsid15038420\charrsid16477461 #}{_x000d__x000a_\rtlch\fcs1 \af1 \ltrch\fcs0 \cs18\v\f1\fs20\cf15\insrsid15038420\charrsid16477461 MNU[CROSSREFNO][CROSSREFYES]@CHOICE@}{\rtlch\fcs1 \af0 \ltrch\fcs0 \insrsid15038420\charrsid16477461 #}{\rtlch\fcs1 \af0 \ltrch\fcs0 _x000d__x000a_\cs17\i0\v\fs20\cf9\lang1024\langfe1024\loch\af1\hich\af1\dbch\af31501\noproof\insrsid15038420\charrsid16477461 \hich\af1\dbch\af31501\loch\f1 &lt;/OptDel&gt;}{\rtlch\fcs1 \af0 \ltrch\fcs0 \insrsid15038420\charrsid16477461 _x000d__x000a_\par }\pard\plain \ltrpar\s23\qc \li0\ri0\sb240\sa240\keepn\nowidctlpar\wrapdefault\aspalpha\aspnum\faauto\adjustright\rin0\lin0\itap0\pararsid15038420 \rtlch\fcs1 \af0\afs20\alang1025 \ltrch\fcs0 \i\fs24\lang2057\langfe2057\cgrid\langnp2057\langfenp2057 {_x000d__x000a_\rtlch\fcs1 \af0 \ltrch\fcs0 \cs17\i0\v\fs20\cf9\lang1024\langfe1024\loch\af1\hich\af1\dbch\af31501\noproof\insrsid15038420\charrsid16477461 \hich\af1\dbch\af31501\loch\f1 &lt;TitreJust&gt;}{\rtlch\fcs1 \af0 \ltrch\fcs0 \insrsid15038420\charrsid16477461 _x000d__x000a_Justification}{\rtlch\fcs1 \af0 \ltrch\fcs0 \cs17\i0\v\fs20\cf9\lang1024\langfe1024\loch\af1\hich\af1\dbch\af31501\noproof\insrsid15038420\charrsid16477461 \hich\af1\dbch\af31501\loch\f1 &lt;/TitreJust&gt;}{\rtlch\fcs1 \af0 \ltrch\fcs0 _x000d__x000a_\insrsid15038420\charrsid16477461 _x000d__x000a_\par }\pard\plain \ltrpar\s21\ql \li0\ri0\sa240\nowidctlpar\wrapdefault\aspalpha\aspnum\faauto\adjustright\rin0\lin0\itap0\pararsid15038420 \rtlch\fcs1 \af0\afs20\alang1025 \ltrch\fcs0 \i\fs24\lang2057\langfe2057\cgrid\langnp2057\langfenp2057 {\rtlch\fcs1 _x000d__x000a_\af0 \ltrch\fcs0 \cs17\i0\v\fs20\cf9\lang1024\langfe1024\loch\af1\hich\af1\dbch\af31501\noproof\insrsid15038420\charrsid16477461 \hich\af1\dbch\af31501\loch\f1 &lt;OptDelPrev&gt;}{\rtlch\fcs1 \af0 \ltrch\fcs0 \insrsid15038420\charrsid16477461 #}{\rtlch\fcs1 _x000d__x000a_\af1 \ltrch\fcs0 \cs18\v\f1\fs20\cf15\insrsid15038420\charrsid16477461 MNU[TEXTJUSTYES][TEXTJUSTNO]@CHOICE@}{\rtlch\fcs1 \af0 \ltrch\fcs0 \insrsid15038420\charrsid16477461 #}{\rtlch\fcs1 \af0 \ltrch\fcs0 _x000d__x000a_\cs17\i0\v\fs20\cf9\lang1024\langfe1024\loch\af1\hich\af1\dbch\af31501\noproof\insrsid15038420\charrsid16477461 \hich\af1\dbch\af31501\loch\f1 &lt;/OptDelPrev&gt;}{\rtlch\fcs1 \af0 \ltrch\fcs0 \insrsid15038420\charrsid16477461 _x000d__x000a_\par }\pard\plain \ltrpar\ql \li0\ri0\widctlpar\wrapdefault\aspalpha\aspnum\faauto\adjustright\rin0\lin0\itap0\pararsid15038420 \rtlch\fcs1 \af0\afs20\alang1025 \ltrch\fcs0 \fs24\lang2057\langfe2057\cgrid\langnp2057\langfenp2057 {\rtlch\fcs1 \af0 \ltrch\fcs0 _x000d__x000a_\cs17\v\fs20\cf9\lang1024\langfe1024\loch\af1\hich\af1\dbch\af31501\noproof\insrsid15038420\charrsid1647746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26"/>
    <w:docVar w:name="TXTLANGUE" w:val="EN"/>
    <w:docVar w:name="TXTLANGUEMIN" w:val="en"/>
    <w:docVar w:name="TXTNRC" w:val="0121/2022"/>
    <w:docVar w:name="TXTNRCOD" w:val="2022/0084"/>
    <w:docVar w:name="TXTNRCOM" w:val="(2022)0119"/>
    <w:docVar w:name="TXTNRPE" w:val="776.837"/>
    <w:docVar w:name="TXTPEorAP" w:val="PE"/>
    <w:docVar w:name="TXTROUTE" w:val="PR\1326826EN.docx"/>
    <w:docVar w:name="TXTTITLE" w:val="information security in the institutions, bodies, offices and agencies of the Union"/>
    <w:docVar w:name="TXTVERSION" w:val="01-00"/>
  </w:docVars>
  <w:rsids>
    <w:rsidRoot w:val="00FB6D15"/>
    <w:rsid w:val="00011AAB"/>
    <w:rsid w:val="00012351"/>
    <w:rsid w:val="000139E5"/>
    <w:rsid w:val="00020B21"/>
    <w:rsid w:val="00084DD2"/>
    <w:rsid w:val="00084E89"/>
    <w:rsid w:val="000B62B6"/>
    <w:rsid w:val="000B7489"/>
    <w:rsid w:val="000C69E0"/>
    <w:rsid w:val="000F1096"/>
    <w:rsid w:val="00105485"/>
    <w:rsid w:val="00120948"/>
    <w:rsid w:val="00123DD5"/>
    <w:rsid w:val="001277AE"/>
    <w:rsid w:val="00130143"/>
    <w:rsid w:val="00137E12"/>
    <w:rsid w:val="00142215"/>
    <w:rsid w:val="00157920"/>
    <w:rsid w:val="001767E2"/>
    <w:rsid w:val="00187008"/>
    <w:rsid w:val="001906CD"/>
    <w:rsid w:val="001B3829"/>
    <w:rsid w:val="001C5592"/>
    <w:rsid w:val="001C5B44"/>
    <w:rsid w:val="001C6FFC"/>
    <w:rsid w:val="001E609D"/>
    <w:rsid w:val="001E7842"/>
    <w:rsid w:val="001F7C7C"/>
    <w:rsid w:val="00212B84"/>
    <w:rsid w:val="002346B0"/>
    <w:rsid w:val="00237381"/>
    <w:rsid w:val="00254CB8"/>
    <w:rsid w:val="002667C3"/>
    <w:rsid w:val="002669B6"/>
    <w:rsid w:val="00270611"/>
    <w:rsid w:val="00283C57"/>
    <w:rsid w:val="00290BED"/>
    <w:rsid w:val="002D13EE"/>
    <w:rsid w:val="002E33EE"/>
    <w:rsid w:val="002E51CD"/>
    <w:rsid w:val="002F40BB"/>
    <w:rsid w:val="002F4B02"/>
    <w:rsid w:val="00305CD9"/>
    <w:rsid w:val="00313DB0"/>
    <w:rsid w:val="00323EF8"/>
    <w:rsid w:val="003316DD"/>
    <w:rsid w:val="00363EBC"/>
    <w:rsid w:val="00366A46"/>
    <w:rsid w:val="00370AC3"/>
    <w:rsid w:val="003824EE"/>
    <w:rsid w:val="003A2343"/>
    <w:rsid w:val="003B4689"/>
    <w:rsid w:val="003C2068"/>
    <w:rsid w:val="003C37CF"/>
    <w:rsid w:val="00401196"/>
    <w:rsid w:val="004100B1"/>
    <w:rsid w:val="00426E47"/>
    <w:rsid w:val="00455743"/>
    <w:rsid w:val="00461601"/>
    <w:rsid w:val="0047240C"/>
    <w:rsid w:val="004C0915"/>
    <w:rsid w:val="004D2F9F"/>
    <w:rsid w:val="004D424E"/>
    <w:rsid w:val="004E42C8"/>
    <w:rsid w:val="004E733D"/>
    <w:rsid w:val="004F3FA5"/>
    <w:rsid w:val="0051271F"/>
    <w:rsid w:val="00521F46"/>
    <w:rsid w:val="0052304F"/>
    <w:rsid w:val="00532117"/>
    <w:rsid w:val="00551111"/>
    <w:rsid w:val="00551123"/>
    <w:rsid w:val="00570A6A"/>
    <w:rsid w:val="005852A4"/>
    <w:rsid w:val="00586E50"/>
    <w:rsid w:val="0059395B"/>
    <w:rsid w:val="0059583D"/>
    <w:rsid w:val="005A42D9"/>
    <w:rsid w:val="005C2BEF"/>
    <w:rsid w:val="005D1A99"/>
    <w:rsid w:val="005D7609"/>
    <w:rsid w:val="005D7EE8"/>
    <w:rsid w:val="00642325"/>
    <w:rsid w:val="006A2F5D"/>
    <w:rsid w:val="006C4493"/>
    <w:rsid w:val="006F7907"/>
    <w:rsid w:val="00743189"/>
    <w:rsid w:val="00743D33"/>
    <w:rsid w:val="0077180A"/>
    <w:rsid w:val="007932B3"/>
    <w:rsid w:val="00793EA9"/>
    <w:rsid w:val="007A7C42"/>
    <w:rsid w:val="007D6F68"/>
    <w:rsid w:val="00823E6B"/>
    <w:rsid w:val="00824690"/>
    <w:rsid w:val="00826780"/>
    <w:rsid w:val="00837CCD"/>
    <w:rsid w:val="008403DD"/>
    <w:rsid w:val="00850C6E"/>
    <w:rsid w:val="008573EC"/>
    <w:rsid w:val="00857636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56080"/>
    <w:rsid w:val="0097374F"/>
    <w:rsid w:val="009763DA"/>
    <w:rsid w:val="00982F28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B24BA"/>
    <w:rsid w:val="00AD18C8"/>
    <w:rsid w:val="00AD7FA6"/>
    <w:rsid w:val="00AE4643"/>
    <w:rsid w:val="00AF0416"/>
    <w:rsid w:val="00B10CB4"/>
    <w:rsid w:val="00B13D6F"/>
    <w:rsid w:val="00B144F8"/>
    <w:rsid w:val="00B23B72"/>
    <w:rsid w:val="00B42702"/>
    <w:rsid w:val="00B57B8B"/>
    <w:rsid w:val="00B72A72"/>
    <w:rsid w:val="00B85407"/>
    <w:rsid w:val="00B95702"/>
    <w:rsid w:val="00BC6489"/>
    <w:rsid w:val="00BD480C"/>
    <w:rsid w:val="00C01F86"/>
    <w:rsid w:val="00C20954"/>
    <w:rsid w:val="00C23324"/>
    <w:rsid w:val="00C42A41"/>
    <w:rsid w:val="00C47E74"/>
    <w:rsid w:val="00C57A72"/>
    <w:rsid w:val="00C73602"/>
    <w:rsid w:val="00CC5C33"/>
    <w:rsid w:val="00CF03B1"/>
    <w:rsid w:val="00CF60C8"/>
    <w:rsid w:val="00D20F43"/>
    <w:rsid w:val="00D30DE2"/>
    <w:rsid w:val="00D32924"/>
    <w:rsid w:val="00D503A3"/>
    <w:rsid w:val="00D94538"/>
    <w:rsid w:val="00DA6ED0"/>
    <w:rsid w:val="00DC5011"/>
    <w:rsid w:val="00DE20D3"/>
    <w:rsid w:val="00E102EB"/>
    <w:rsid w:val="00E171B6"/>
    <w:rsid w:val="00E72695"/>
    <w:rsid w:val="00EB1753"/>
    <w:rsid w:val="00EB6CFF"/>
    <w:rsid w:val="00ED0159"/>
    <w:rsid w:val="00EE3996"/>
    <w:rsid w:val="00F07062"/>
    <w:rsid w:val="00F23CFC"/>
    <w:rsid w:val="00F433E2"/>
    <w:rsid w:val="00F619E9"/>
    <w:rsid w:val="00F8591C"/>
    <w:rsid w:val="00F904AE"/>
    <w:rsid w:val="00F934F8"/>
    <w:rsid w:val="00FB52FE"/>
    <w:rsid w:val="00FB6D15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D17CD"/>
  <w15:chartTrackingRefBased/>
  <w15:docId w15:val="{412685A2-CB15-4F92-87CB-C0D6C227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2304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2304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2304F"/>
    <w:rPr>
      <w:sz w:val="18"/>
    </w:rPr>
  </w:style>
  <w:style w:type="paragraph" w:customStyle="1" w:styleId="Normal6">
    <w:name w:val="Normal6"/>
    <w:basedOn w:val="Normal"/>
    <w:link w:val="Normal6Char"/>
    <w:rsid w:val="0052304F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52304F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52304F"/>
    <w:rPr>
      <w:sz w:val="24"/>
      <w:lang w:val="bg-BG"/>
    </w:rPr>
  </w:style>
  <w:style w:type="paragraph" w:customStyle="1" w:styleId="ColumnHeading">
    <w:name w:val="ColumnHeading"/>
    <w:basedOn w:val="Normal"/>
    <w:rsid w:val="0052304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230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2304F"/>
    <w:pPr>
      <w:jc w:val="right"/>
    </w:pPr>
  </w:style>
  <w:style w:type="paragraph" w:styleId="Footer">
    <w:name w:val="footer"/>
    <w:basedOn w:val="Normal"/>
    <w:link w:val="FooterChar"/>
    <w:semiHidden/>
    <w:rsid w:val="00ED01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D0159"/>
    <w:rPr>
      <w:sz w:val="24"/>
    </w:rPr>
  </w:style>
  <w:style w:type="paragraph" w:styleId="Revision">
    <w:name w:val="Revision"/>
    <w:hidden/>
    <w:uiPriority w:val="99"/>
    <w:semiHidden/>
    <w:rsid w:val="00105485"/>
    <w:rPr>
      <w:sz w:val="24"/>
    </w:rPr>
  </w:style>
  <w:style w:type="character" w:styleId="CommentReference">
    <w:name w:val="annotation reference"/>
    <w:basedOn w:val="DefaultParagraphFont"/>
    <w:rsid w:val="00824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46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469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4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4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0A923-92C6-4CF0-9BAF-EF59FED8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4825</Words>
  <Characters>27990</Characters>
  <Application>Microsoft Office Word</Application>
  <DocSecurity>0</DocSecurity>
  <Lines>1216</Lines>
  <Paragraphs>410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IVANOVA STOYCHEVA-FRANCOIS Marina</cp:lastModifiedBy>
  <cp:revision>2</cp:revision>
  <cp:lastPrinted>2004-11-04T09:41:00Z</cp:lastPrinted>
  <dcterms:created xsi:type="dcterms:W3CDTF">2025-09-10T09:39:00Z</dcterms:created>
  <dcterms:modified xsi:type="dcterms:W3CDTF">2025-09-10T09:39:00Z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1326826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10.1.2 Build [20250715]</vt:lpwstr>
  </property>
  <property fmtid="{D5CDD505-2E9C-101B-9397-08002B2CF9AE}" pid="9" name="FooterPath">
    <vt:lpwstr>PR\1326826BG.docx</vt:lpwstr>
  </property>
  <property fmtid="{D5CDD505-2E9C-101B-9397-08002B2CF9AE}" pid="10" name="LastEdited with">
    <vt:lpwstr>10.1.2 Build [20250715]</vt:lpwstr>
  </property>
  <property fmtid="{D5CDD505-2E9C-101B-9397-08002B2CF9AE}" pid="11" name="PE number">
    <vt:lpwstr>776.837</vt:lpwstr>
  </property>
  <property fmtid="{D5CDD505-2E9C-101B-9397-08002B2CF9AE}" pid="12" name="SDLStudio">
    <vt:lpwstr/>
  </property>
  <property fmtid="{D5CDD505-2E9C-101B-9397-08002B2CF9AE}" pid="13" name="SendToEpades">
    <vt:lpwstr>OK - 2025/09/02 16:45</vt:lpwstr>
  </property>
  <property fmtid="{D5CDD505-2E9C-101B-9397-08002B2CF9AE}" pid="14" name="Bookout">
    <vt:lpwstr>OK - 2025/09/10 11:39</vt:lpwstr>
  </property>
</Properties>
</file>