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90677" w:rsidRPr="00B33030" w:rsidTr="0052304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B33030" w:rsidRDefault="00A11D3C" w:rsidP="0052304F">
            <w:pPr>
              <w:pStyle w:val="EPName"/>
            </w:pPr>
            <w:bookmarkStart w:id="0" w:name="_GoBack"/>
            <w:bookmarkEnd w:id="0"/>
            <w:r w:rsidRPr="00B33030">
              <w:t>Európsky parlament</w:t>
            </w:r>
          </w:p>
          <w:p w:rsidR="00B13D6F" w:rsidRPr="00B33030" w:rsidRDefault="00A11D3C" w:rsidP="0052304F">
            <w:pPr>
              <w:pStyle w:val="EPTerm"/>
            </w:pPr>
            <w:r w:rsidRPr="00B33030">
              <w:t>2024-2029</w:t>
            </w:r>
          </w:p>
        </w:tc>
        <w:tc>
          <w:tcPr>
            <w:tcW w:w="2268" w:type="dxa"/>
            <w:shd w:val="clear" w:color="auto" w:fill="auto"/>
          </w:tcPr>
          <w:p w:rsidR="00B13D6F" w:rsidRPr="00B33030" w:rsidRDefault="00A11D3C" w:rsidP="0052304F">
            <w:pPr>
              <w:pStyle w:val="EPLogo"/>
            </w:pPr>
            <w:r w:rsidRPr="00B33030">
              <w:rPr>
                <w:noProof/>
                <w:lang w:eastAsia="sk-SK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B33030" w:rsidRDefault="00461601" w:rsidP="00461601">
      <w:pPr>
        <w:pStyle w:val="LineTop"/>
      </w:pPr>
    </w:p>
    <w:p w:rsidR="00461601" w:rsidRPr="00B33030" w:rsidRDefault="00A11D3C" w:rsidP="00461601">
      <w:pPr>
        <w:pStyle w:val="EPBody"/>
      </w:pPr>
      <w:r w:rsidRPr="00B33030">
        <w:rPr>
          <w:rStyle w:val="HideTWBExt"/>
        </w:rPr>
        <w:t>&lt;</w:t>
      </w:r>
      <w:r w:rsidRPr="00B33030">
        <w:rPr>
          <w:rStyle w:val="HideTWBExt"/>
          <w:i w:val="0"/>
        </w:rPr>
        <w:t>Commission</w:t>
      </w:r>
      <w:r w:rsidRPr="00B33030">
        <w:rPr>
          <w:rStyle w:val="HideTWBExt"/>
        </w:rPr>
        <w:t>&gt;</w:t>
      </w:r>
      <w:r w:rsidRPr="00B33030">
        <w:rPr>
          <w:rStyle w:val="HideTWBInt"/>
          <w:color w:val="auto"/>
        </w:rPr>
        <w:t>{LIBE}</w:t>
      </w:r>
      <w:r w:rsidRPr="00B33030">
        <w:t>Výbor pre občianske slobody, spravodlivosť a vnútorné veci</w:t>
      </w:r>
      <w:r w:rsidRPr="00B33030">
        <w:rPr>
          <w:rStyle w:val="HideTWBExt"/>
        </w:rPr>
        <w:t>&lt;/</w:t>
      </w:r>
      <w:r w:rsidRPr="00B33030">
        <w:rPr>
          <w:rStyle w:val="HideTWBExt"/>
          <w:i w:val="0"/>
        </w:rPr>
        <w:t>Commission</w:t>
      </w:r>
      <w:r w:rsidRPr="00B33030">
        <w:rPr>
          <w:rStyle w:val="HideTWBExt"/>
        </w:rPr>
        <w:t>&gt;</w:t>
      </w:r>
    </w:p>
    <w:p w:rsidR="00461601" w:rsidRPr="00B33030" w:rsidRDefault="00461601" w:rsidP="00461601">
      <w:pPr>
        <w:pStyle w:val="LineBottom"/>
      </w:pPr>
    </w:p>
    <w:p w:rsidR="00793EA9" w:rsidRPr="00B33030" w:rsidRDefault="00A11D3C">
      <w:pPr>
        <w:pStyle w:val="CoverReference"/>
      </w:pPr>
      <w:r w:rsidRPr="00B33030">
        <w:rPr>
          <w:rStyle w:val="HideTWBExt"/>
          <w:b w:val="0"/>
        </w:rPr>
        <w:t>&lt;RefProc&gt;</w:t>
      </w:r>
      <w:r w:rsidRPr="00B33030">
        <w:t>2022/0084</w:t>
      </w:r>
      <w:r w:rsidRPr="00B33030">
        <w:rPr>
          <w:rStyle w:val="HideTWBExt"/>
          <w:b w:val="0"/>
        </w:rPr>
        <w:t>&lt;/RefProc&gt;&lt;RefTypeProc&gt;</w:t>
      </w:r>
      <w:r w:rsidRPr="00B33030">
        <w:t>(COD)</w:t>
      </w:r>
      <w:r w:rsidRPr="00B33030">
        <w:rPr>
          <w:rStyle w:val="HideTWBExt"/>
          <w:b w:val="0"/>
        </w:rPr>
        <w:t>&lt;/RefTypeProc&gt;</w:t>
      </w:r>
    </w:p>
    <w:p w:rsidR="00793EA9" w:rsidRPr="00B33030" w:rsidRDefault="00A11D3C">
      <w:pPr>
        <w:pStyle w:val="CoverDate"/>
      </w:pPr>
      <w:r w:rsidRPr="00B33030">
        <w:rPr>
          <w:rStyle w:val="HideTWBExt"/>
        </w:rPr>
        <w:t>&lt;Date&gt;</w:t>
      </w:r>
      <w:r w:rsidRPr="00B33030">
        <w:rPr>
          <w:rStyle w:val="HideTWBInt"/>
          <w:color w:val="auto"/>
        </w:rPr>
        <w:t>{02/09/2025}</w:t>
      </w:r>
      <w:r w:rsidRPr="00B33030">
        <w:t>2.9.2025</w:t>
      </w:r>
      <w:r w:rsidRPr="00B33030">
        <w:rPr>
          <w:rStyle w:val="HideTWBExt"/>
        </w:rPr>
        <w:t>&lt;/Date&gt;</w:t>
      </w:r>
    </w:p>
    <w:p w:rsidR="00793EA9" w:rsidRPr="00B33030" w:rsidRDefault="00A11D3C">
      <w:pPr>
        <w:pStyle w:val="CoverDocType"/>
      </w:pPr>
      <w:r w:rsidRPr="00B33030">
        <w:rPr>
          <w:rStyle w:val="HideTWBExt"/>
          <w:b w:val="0"/>
        </w:rPr>
        <w:t>&lt;RefProcLect&gt;</w:t>
      </w:r>
      <w:r w:rsidRPr="00B33030">
        <w:t>***I</w:t>
      </w:r>
      <w:r w:rsidRPr="00B33030">
        <w:rPr>
          <w:rStyle w:val="HideTWBExt"/>
          <w:b w:val="0"/>
        </w:rPr>
        <w:t>&lt;/RefProcLect&gt;</w:t>
      </w:r>
    </w:p>
    <w:p w:rsidR="00793EA9" w:rsidRPr="00B33030" w:rsidRDefault="00A11D3C">
      <w:pPr>
        <w:pStyle w:val="CoverDocType24a"/>
      </w:pPr>
      <w:r w:rsidRPr="00B33030">
        <w:rPr>
          <w:rStyle w:val="HideTWBExt"/>
          <w:b w:val="0"/>
        </w:rPr>
        <w:t>&lt;TitreType&gt;</w:t>
      </w:r>
      <w:r w:rsidRPr="00B33030">
        <w:t>NÁVRH SPRÁVY</w:t>
      </w:r>
      <w:r w:rsidRPr="00B33030">
        <w:rPr>
          <w:rStyle w:val="HideTWBExt"/>
          <w:b w:val="0"/>
        </w:rPr>
        <w:t>&lt;/TitreType&gt;</w:t>
      </w:r>
    </w:p>
    <w:p w:rsidR="00793EA9" w:rsidRPr="00B33030" w:rsidRDefault="00A11D3C">
      <w:pPr>
        <w:pStyle w:val="CoverNormal"/>
      </w:pPr>
      <w:r w:rsidRPr="00B33030">
        <w:rPr>
          <w:rStyle w:val="HideTWBExt"/>
        </w:rPr>
        <w:t>&lt;Titre&gt;</w:t>
      </w:r>
      <w:r w:rsidRPr="00B33030">
        <w:t>o návrhu nariadenia Európskeho parlamentu a Rady o bezpečnosti informácií v inštitúciách, orgánoch, úradoch a agentúrach Únie</w:t>
      </w:r>
      <w:r w:rsidRPr="00B33030">
        <w:rPr>
          <w:rStyle w:val="HideTWBExt"/>
        </w:rPr>
        <w:t>&lt;/Titre&gt;</w:t>
      </w:r>
    </w:p>
    <w:p w:rsidR="00793EA9" w:rsidRPr="00B33030" w:rsidRDefault="00A11D3C">
      <w:pPr>
        <w:pStyle w:val="CoverNormal24a"/>
      </w:pPr>
      <w:r w:rsidRPr="00B33030">
        <w:rPr>
          <w:rStyle w:val="HideTWBExt"/>
        </w:rPr>
        <w:t>&lt;DocRef&gt;</w:t>
      </w:r>
      <w:r w:rsidRPr="00B33030">
        <w:t>(COM(2022)0119 – C9</w:t>
      </w:r>
      <w:r w:rsidRPr="00B33030">
        <w:noBreakHyphen/>
        <w:t>0121/2022 – 2022/0084(COD))</w:t>
      </w:r>
      <w:r w:rsidRPr="00B33030">
        <w:rPr>
          <w:rStyle w:val="HideTWBExt"/>
        </w:rPr>
        <w:t>&lt;/DocRef&gt;</w:t>
      </w:r>
    </w:p>
    <w:p w:rsidR="00793EA9" w:rsidRPr="00B33030" w:rsidRDefault="00A11D3C">
      <w:pPr>
        <w:pStyle w:val="CoverNormal24a"/>
      </w:pPr>
      <w:r w:rsidRPr="00B33030">
        <w:rPr>
          <w:rStyle w:val="HideTWBExt"/>
        </w:rPr>
        <w:t>&lt;Commission&gt;</w:t>
      </w:r>
      <w:r w:rsidRPr="00B33030">
        <w:rPr>
          <w:rStyle w:val="HideTWBInt"/>
          <w:color w:val="auto"/>
        </w:rPr>
        <w:t>{L</w:t>
      </w:r>
      <w:r w:rsidRPr="00B33030">
        <w:rPr>
          <w:rStyle w:val="HideTWBInt"/>
          <w:color w:val="auto"/>
        </w:rPr>
        <w:t>IBE}</w:t>
      </w:r>
      <w:r w:rsidRPr="00B33030">
        <w:t>Výbor pre občianske slobody, spravodlivosť a vnútorné veci</w:t>
      </w:r>
      <w:r w:rsidRPr="00B33030">
        <w:rPr>
          <w:rStyle w:val="HideTWBExt"/>
        </w:rPr>
        <w:t>&lt;/Commission&gt;</w:t>
      </w:r>
    </w:p>
    <w:p w:rsidR="008573EC" w:rsidRPr="00B33030" w:rsidRDefault="00A11D3C" w:rsidP="008573EC">
      <w:pPr>
        <w:pStyle w:val="CoverNormal24a"/>
      </w:pPr>
      <w:r w:rsidRPr="00B33030">
        <w:t xml:space="preserve">Spravodajkyňa: </w:t>
      </w:r>
      <w:r w:rsidRPr="00B33030">
        <w:rPr>
          <w:rStyle w:val="HideTWBExt"/>
        </w:rPr>
        <w:t>&lt;Depute&gt;</w:t>
      </w:r>
      <w:r w:rsidRPr="00B33030">
        <w:t>Lena Düpont</w:t>
      </w:r>
      <w:r w:rsidRPr="00B33030">
        <w:rPr>
          <w:rStyle w:val="HideTWBExt"/>
        </w:rPr>
        <w:t>&lt;/Depute&gt;</w:t>
      </w:r>
    </w:p>
    <w:p w:rsidR="001C5B44" w:rsidRPr="00B33030" w:rsidRDefault="001C5B44" w:rsidP="001C5B44">
      <w:pPr>
        <w:pStyle w:val="CoverNormal"/>
      </w:pPr>
    </w:p>
    <w:p w:rsidR="0052304F" w:rsidRPr="00B33030" w:rsidRDefault="00A11D3C" w:rsidP="0052304F">
      <w:r w:rsidRPr="00B33030">
        <w:br w:type="page"/>
      </w:r>
      <w:r w:rsidRPr="00B33030">
        <w:lastRenderedPageBreak/>
        <w:fldChar w:fldCharType="begin"/>
      </w:r>
      <w:r w:rsidRPr="00B33030">
        <w:instrText xml:space="preserve"> TITLE  \* MERGEFORMAT </w:instrText>
      </w:r>
      <w:r w:rsidRPr="00B33030">
        <w:fldChar w:fldCharType="separate"/>
      </w:r>
      <w:r>
        <w:t>PR_COD_1amCom</w:t>
      </w:r>
      <w:r w:rsidRPr="00B33030">
        <w:fldChar w:fldCharType="end"/>
      </w:r>
    </w:p>
    <w:p w:rsidR="0052304F" w:rsidRPr="00B33030" w:rsidRDefault="0052304F" w:rsidP="0052304F"/>
    <w:p w:rsidR="0052304F" w:rsidRPr="00B33030" w:rsidRDefault="0052304F" w:rsidP="0052304F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090677" w:rsidRPr="00B33030">
        <w:tc>
          <w:tcPr>
            <w:tcW w:w="5811" w:type="dxa"/>
          </w:tcPr>
          <w:p w:rsidR="0052304F" w:rsidRPr="00B33030" w:rsidRDefault="00A11D3C" w:rsidP="0052304F">
            <w:pPr>
              <w:pStyle w:val="Lgendetitre"/>
            </w:pPr>
            <w:r w:rsidRPr="00B33030">
              <w:t>Označenie postupov</w:t>
            </w:r>
          </w:p>
        </w:tc>
      </w:tr>
      <w:tr w:rsidR="00090677" w:rsidRPr="00B33030" w:rsidTr="0052304F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52304F" w:rsidRPr="00B33030" w:rsidRDefault="00A11D3C" w:rsidP="0052304F">
            <w:pPr>
              <w:pStyle w:val="Lgendesigne"/>
            </w:pPr>
            <w:r w:rsidRPr="00B33030">
              <w:tab/>
              <w:t>*</w:t>
            </w:r>
            <w:r w:rsidRPr="00B33030">
              <w:tab/>
              <w:t>Konzultácia</w:t>
            </w:r>
          </w:p>
          <w:p w:rsidR="0052304F" w:rsidRPr="00B33030" w:rsidRDefault="00A11D3C" w:rsidP="0052304F">
            <w:pPr>
              <w:pStyle w:val="Lgendesigne"/>
            </w:pPr>
            <w:r w:rsidRPr="00B33030">
              <w:tab/>
              <w:t>***</w:t>
            </w:r>
            <w:r w:rsidRPr="00B33030">
              <w:tab/>
              <w:t>Súhlas</w:t>
            </w:r>
          </w:p>
          <w:p w:rsidR="0052304F" w:rsidRPr="00B33030" w:rsidRDefault="00A11D3C" w:rsidP="0052304F">
            <w:pPr>
              <w:pStyle w:val="Lgendesigne"/>
            </w:pPr>
            <w:r w:rsidRPr="00B33030">
              <w:tab/>
              <w:t>***I</w:t>
            </w:r>
            <w:r w:rsidRPr="00B33030">
              <w:tab/>
              <w:t xml:space="preserve">Riadny legislatívny postup (prvé </w:t>
            </w:r>
            <w:r w:rsidRPr="00B33030">
              <w:t>čítanie)</w:t>
            </w:r>
          </w:p>
          <w:p w:rsidR="0052304F" w:rsidRPr="00B33030" w:rsidRDefault="00A11D3C" w:rsidP="0052304F">
            <w:pPr>
              <w:pStyle w:val="Lgendesigne"/>
            </w:pPr>
            <w:r w:rsidRPr="00B33030">
              <w:tab/>
              <w:t>***II</w:t>
            </w:r>
            <w:r w:rsidRPr="00B33030">
              <w:tab/>
              <w:t>Riadny legislatívny postup (druhé čítanie)</w:t>
            </w:r>
          </w:p>
          <w:p w:rsidR="0052304F" w:rsidRPr="00B33030" w:rsidRDefault="00A11D3C" w:rsidP="0052304F">
            <w:pPr>
              <w:pStyle w:val="Lgendesigne"/>
            </w:pPr>
            <w:r w:rsidRPr="00B33030">
              <w:tab/>
              <w:t>***III</w:t>
            </w:r>
            <w:r w:rsidRPr="00B33030">
              <w:tab/>
              <w:t>Riadny legislatívny postup (tretie čítanie)</w:t>
            </w:r>
          </w:p>
          <w:p w:rsidR="0052304F" w:rsidRPr="00B33030" w:rsidRDefault="0052304F" w:rsidP="0052304F">
            <w:pPr>
              <w:pStyle w:val="Lgendestandard"/>
            </w:pPr>
          </w:p>
          <w:p w:rsidR="0052304F" w:rsidRPr="00B33030" w:rsidRDefault="00A11D3C" w:rsidP="0052304F">
            <w:pPr>
              <w:pStyle w:val="Lgendestandard"/>
            </w:pPr>
            <w:r w:rsidRPr="00B33030">
              <w:t>(Typ postupu závisí od právneho základu navrhnutého v návrhu aktu.)</w:t>
            </w:r>
          </w:p>
          <w:p w:rsidR="0052304F" w:rsidRPr="00B33030" w:rsidRDefault="0052304F" w:rsidP="0052304F">
            <w:pPr>
              <w:pStyle w:val="Lgendestandard"/>
            </w:pPr>
          </w:p>
        </w:tc>
      </w:tr>
    </w:tbl>
    <w:p w:rsidR="0052304F" w:rsidRPr="00B33030" w:rsidRDefault="0052304F" w:rsidP="0052304F"/>
    <w:p w:rsidR="0052304F" w:rsidRPr="00B33030" w:rsidRDefault="0052304F" w:rsidP="0052304F"/>
    <w:p w:rsidR="0052304F" w:rsidRPr="00B33030" w:rsidRDefault="0052304F" w:rsidP="0052304F"/>
    <w:p w:rsidR="0052304F" w:rsidRPr="00B33030" w:rsidRDefault="0052304F" w:rsidP="0052304F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090677" w:rsidRPr="00B33030">
        <w:tc>
          <w:tcPr>
            <w:tcW w:w="5811" w:type="dxa"/>
          </w:tcPr>
          <w:p w:rsidR="0052304F" w:rsidRPr="00B33030" w:rsidRDefault="00A11D3C" w:rsidP="0052304F">
            <w:pPr>
              <w:pStyle w:val="Lgendetitre"/>
            </w:pPr>
            <w:r w:rsidRPr="00B33030">
              <w:t>Pozmeňujúce návrhy k návrhu aktu</w:t>
            </w:r>
          </w:p>
        </w:tc>
      </w:tr>
      <w:tr w:rsidR="00090677" w:rsidRPr="00B33030" w:rsidTr="0052304F">
        <w:trPr>
          <w:trHeight w:val="4496"/>
        </w:trPr>
        <w:tc>
          <w:tcPr>
            <w:tcW w:w="5811" w:type="dxa"/>
          </w:tcPr>
          <w:p w:rsidR="0052304F" w:rsidRPr="00B33030" w:rsidRDefault="00A11D3C" w:rsidP="0052304F">
            <w:pPr>
              <w:pStyle w:val="Lgendestandard"/>
              <w:rPr>
                <w:szCs w:val="24"/>
              </w:rPr>
            </w:pPr>
            <w:r w:rsidRPr="00B33030">
              <w:rPr>
                <w:b/>
              </w:rPr>
              <w:t xml:space="preserve">Pozmeňujúce návrhy Európskeho </w:t>
            </w:r>
            <w:r w:rsidRPr="00B33030">
              <w:rPr>
                <w:b/>
              </w:rPr>
              <w:t>parlamentu v dvoch stĺpcoch</w:t>
            </w:r>
          </w:p>
          <w:p w:rsidR="0052304F" w:rsidRPr="00B33030" w:rsidRDefault="0052304F" w:rsidP="0052304F">
            <w:pPr>
              <w:pStyle w:val="Lgendestandard"/>
              <w:rPr>
                <w:szCs w:val="24"/>
              </w:rPr>
            </w:pPr>
          </w:p>
          <w:p w:rsidR="0052304F" w:rsidRPr="00B33030" w:rsidRDefault="00A11D3C" w:rsidP="0052304F">
            <w:pPr>
              <w:pStyle w:val="Lgendestandard"/>
              <w:rPr>
                <w:szCs w:val="24"/>
              </w:rPr>
            </w:pPr>
            <w:r w:rsidRPr="00B33030">
              <w:t xml:space="preserve">Vypustenia sa označujú </w:t>
            </w:r>
            <w:r w:rsidRPr="00B33030">
              <w:rPr>
                <w:b/>
                <w:i/>
              </w:rPr>
              <w:t>hrubou kurzívou</w:t>
            </w:r>
            <w:r w:rsidRPr="00B33030">
              <w:t xml:space="preserve"> v ľavom stĺpci. Nahradenia sa označujú </w:t>
            </w:r>
            <w:r w:rsidRPr="00B33030">
              <w:rPr>
                <w:b/>
                <w:i/>
              </w:rPr>
              <w:t>hrubou kurzívou</w:t>
            </w:r>
            <w:r w:rsidRPr="00B33030">
              <w:t xml:space="preserve"> v oboch stĺpcoch. Nový text sa označuje </w:t>
            </w:r>
            <w:r w:rsidRPr="00B33030">
              <w:rPr>
                <w:b/>
                <w:i/>
              </w:rPr>
              <w:t>hrubou kurzívou</w:t>
            </w:r>
            <w:r w:rsidRPr="00B33030">
              <w:t xml:space="preserve"> v pravom stĺpci.</w:t>
            </w:r>
          </w:p>
          <w:p w:rsidR="0052304F" w:rsidRPr="00B33030" w:rsidRDefault="0052304F" w:rsidP="0052304F">
            <w:pPr>
              <w:pStyle w:val="Lgendestandard"/>
              <w:rPr>
                <w:szCs w:val="24"/>
              </w:rPr>
            </w:pPr>
          </w:p>
          <w:p w:rsidR="0052304F" w:rsidRPr="00B33030" w:rsidRDefault="00A11D3C" w:rsidP="0052304F">
            <w:pPr>
              <w:pStyle w:val="Lgendestandard"/>
              <w:rPr>
                <w:szCs w:val="24"/>
              </w:rPr>
            </w:pPr>
            <w:r w:rsidRPr="00B33030">
              <w:t xml:space="preserve">Prvý a druhý riadok záhlavia každého pozmeňujúceho návrhu </w:t>
            </w:r>
            <w:r w:rsidRPr="00B33030">
              <w:t>vymedzujú príslušnú časť v návrhu aktu predloženého na prerokovanie. Ak sa pozmeňujúci návrh týka platného aktu, ktorý sa má návrhom aktu zmeniť, záhlavie navyše obsahuje tretí riadok uvádzajúci platný akt a štvrtý riadok uvádzajúci príslušné ustanovenie t</w:t>
            </w:r>
            <w:r w:rsidRPr="00B33030">
              <w:t>ohto aktu.</w:t>
            </w:r>
          </w:p>
          <w:p w:rsidR="0052304F" w:rsidRPr="00B33030" w:rsidRDefault="0052304F" w:rsidP="0052304F">
            <w:pPr>
              <w:pStyle w:val="Lgendestandard"/>
              <w:rPr>
                <w:szCs w:val="24"/>
              </w:rPr>
            </w:pPr>
          </w:p>
          <w:p w:rsidR="0052304F" w:rsidRPr="00B33030" w:rsidRDefault="00A11D3C" w:rsidP="0052304F">
            <w:pPr>
              <w:pStyle w:val="Lgendestandard"/>
              <w:rPr>
                <w:b/>
                <w:szCs w:val="24"/>
              </w:rPr>
            </w:pPr>
            <w:r w:rsidRPr="00B33030">
              <w:rPr>
                <w:b/>
              </w:rPr>
              <w:t>Pozmeňujúce návrhy Európskeho parlamentu v podobe konsolidovaného textu</w:t>
            </w:r>
          </w:p>
          <w:p w:rsidR="0052304F" w:rsidRPr="00B33030" w:rsidRDefault="0052304F" w:rsidP="0052304F">
            <w:pPr>
              <w:pStyle w:val="Lgendestandard"/>
              <w:rPr>
                <w:szCs w:val="24"/>
              </w:rPr>
            </w:pPr>
          </w:p>
          <w:p w:rsidR="0052304F" w:rsidRPr="00B33030" w:rsidRDefault="00A11D3C" w:rsidP="0052304F">
            <w:pPr>
              <w:pStyle w:val="Lgendestandard"/>
              <w:rPr>
                <w:szCs w:val="24"/>
              </w:rPr>
            </w:pPr>
            <w:r w:rsidRPr="00B33030">
              <w:t xml:space="preserve">Nové časti textov sa označujú </w:t>
            </w:r>
            <w:r w:rsidRPr="00B33030">
              <w:rPr>
                <w:b/>
                <w:i/>
              </w:rPr>
              <w:t>hrubou kurzívou</w:t>
            </w:r>
            <w:r w:rsidRPr="00B33030">
              <w:t xml:space="preserve">. Vypustené časti textu sa označujú symbolom ▌ alebo sa prečiarkujú. V prípade nahradenia sa nový text vyznačí </w:t>
            </w:r>
            <w:r w:rsidRPr="00B33030">
              <w:rPr>
                <w:b/>
                <w:i/>
              </w:rPr>
              <w:t>hrubou kurzívou</w:t>
            </w:r>
            <w:r w:rsidRPr="00B33030">
              <w:t xml:space="preserve"> a nahradený text sa vymaže alebo sa prečiarkne. </w:t>
            </w:r>
          </w:p>
          <w:p w:rsidR="0052304F" w:rsidRPr="00B33030" w:rsidRDefault="00A11D3C" w:rsidP="0052304F">
            <w:pPr>
              <w:pStyle w:val="Lgendestandard"/>
            </w:pPr>
            <w:r w:rsidRPr="00B33030">
              <w:t>Čisto technické zmeny, ktoré vykonávajú útvary s cieľom vypracovať konečný text, sa však nevyznačujú.</w:t>
            </w:r>
          </w:p>
          <w:p w:rsidR="0052304F" w:rsidRPr="00B33030" w:rsidRDefault="0052304F" w:rsidP="0052304F">
            <w:pPr>
              <w:pStyle w:val="Lgendestandard"/>
            </w:pPr>
          </w:p>
        </w:tc>
      </w:tr>
    </w:tbl>
    <w:p w:rsidR="0052304F" w:rsidRPr="00B33030" w:rsidRDefault="0052304F" w:rsidP="0052304F"/>
    <w:p w:rsidR="00793EA9" w:rsidRPr="00B33030" w:rsidRDefault="00793EA9" w:rsidP="00012351">
      <w:pPr>
        <w:widowControl/>
        <w:tabs>
          <w:tab w:val="center" w:pos="4677"/>
        </w:tabs>
      </w:pPr>
    </w:p>
    <w:p w:rsidR="00793EA9" w:rsidRPr="00B33030" w:rsidRDefault="00A11D3C">
      <w:pPr>
        <w:pStyle w:val="TOCHeading"/>
      </w:pPr>
      <w:r w:rsidRPr="00B33030">
        <w:br w:type="page"/>
      </w:r>
      <w:r w:rsidRPr="00B33030">
        <w:lastRenderedPageBreak/>
        <w:t>OBSAH</w:t>
      </w:r>
    </w:p>
    <w:p w:rsidR="00793EA9" w:rsidRPr="00B33030" w:rsidRDefault="00A11D3C">
      <w:pPr>
        <w:pStyle w:val="TOCPage"/>
      </w:pPr>
      <w:r w:rsidRPr="00B33030">
        <w:t>strana</w:t>
      </w:r>
    </w:p>
    <w:p w:rsidR="00A11D3C" w:rsidRDefault="00A11D3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 w:rsidRPr="00B33030">
        <w:rPr>
          <w:b/>
        </w:rPr>
        <w:fldChar w:fldCharType="begin"/>
      </w:r>
      <w:r w:rsidRPr="00B33030">
        <w:rPr>
          <w:b/>
        </w:rPr>
        <w:instrText xml:space="preserve"> TOC \t "PageHeading</w:instrText>
      </w:r>
      <w:r w:rsidR="00AB24BA" w:rsidRPr="00B33030">
        <w:rPr>
          <w:b/>
        </w:rPr>
        <w:instrText>;</w:instrText>
      </w:r>
      <w:r w:rsidRPr="00B33030">
        <w:rPr>
          <w:b/>
        </w:rPr>
        <w:instrText xml:space="preserve">1" </w:instrText>
      </w:r>
      <w:r w:rsidRPr="00B33030">
        <w:rPr>
          <w:b/>
        </w:rPr>
        <w:fldChar w:fldCharType="separate"/>
      </w:r>
      <w:r>
        <w:rPr>
          <w:noProof/>
        </w:rPr>
        <w:t>NÁVRH LEGISLATÍVNEHO UZNESENIA EURÓPSKEHO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_Toc208933954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B33030" w:rsidRDefault="00A11D3C" w:rsidP="00C23324">
      <w:r w:rsidRPr="00B33030">
        <w:rPr>
          <w:b/>
        </w:rPr>
        <w:fldChar w:fldCharType="end"/>
      </w:r>
    </w:p>
    <w:p w:rsidR="00793EA9" w:rsidRPr="00B33030" w:rsidRDefault="00A11D3C">
      <w:pPr>
        <w:pStyle w:val="PageHeading"/>
      </w:pPr>
      <w:r w:rsidRPr="00B33030">
        <w:br w:type="page"/>
      </w:r>
      <w:r w:rsidRPr="00B33030">
        <w:lastRenderedPageBreak/>
        <w:br w:type="page"/>
      </w:r>
      <w:bookmarkStart w:id="1" w:name="_Toc208933954"/>
      <w:r w:rsidRPr="00B33030">
        <w:lastRenderedPageBreak/>
        <w:t>NÁVRH LEGISLATÍVNEHO UZNESENIA EURÓPSKEHO PARLAMENTU</w:t>
      </w:r>
      <w:bookmarkEnd w:id="1"/>
    </w:p>
    <w:p w:rsidR="00793EA9" w:rsidRPr="00B33030" w:rsidRDefault="00A11D3C">
      <w:pPr>
        <w:pStyle w:val="NormalBold"/>
      </w:pPr>
      <w:r w:rsidRPr="00B33030">
        <w:t xml:space="preserve">o návrhu nariadenia Európskeho parlamentu a Rady o bezpečnosti informácií v inštitúciách, orgánoch, úradoch a </w:t>
      </w:r>
      <w:r w:rsidRPr="00B33030">
        <w:t>agentúrach Únie</w:t>
      </w:r>
    </w:p>
    <w:p w:rsidR="00793EA9" w:rsidRPr="00B33030" w:rsidRDefault="00A11D3C">
      <w:pPr>
        <w:pStyle w:val="NormalBold12a"/>
      </w:pPr>
      <w:r w:rsidRPr="00B33030">
        <w:t>(COM(2022)0119 – C9</w:t>
      </w:r>
      <w:r w:rsidRPr="00B33030">
        <w:noBreakHyphen/>
        <w:t>0121/2022 – 2022/0084(COD))</w:t>
      </w:r>
    </w:p>
    <w:p w:rsidR="00793EA9" w:rsidRPr="00B33030" w:rsidRDefault="00A11D3C" w:rsidP="00A910C9">
      <w:pPr>
        <w:pStyle w:val="NormalBold"/>
      </w:pPr>
      <w:r w:rsidRPr="00B33030">
        <w:t>(Riadny legislatívny postup: prvé čítanie)</w:t>
      </w:r>
    </w:p>
    <w:p w:rsidR="00793EA9" w:rsidRPr="00B33030" w:rsidRDefault="00A11D3C" w:rsidP="00A910C9">
      <w:pPr>
        <w:pStyle w:val="EPComma"/>
      </w:pPr>
      <w:r w:rsidRPr="00B33030">
        <w:rPr>
          <w:i/>
        </w:rPr>
        <w:t>Európsky parlament</w:t>
      </w:r>
      <w:r w:rsidRPr="00B33030">
        <w:t>,</w:t>
      </w:r>
    </w:p>
    <w:p w:rsidR="00793EA9" w:rsidRPr="00B33030" w:rsidRDefault="00A11D3C">
      <w:pPr>
        <w:pStyle w:val="NormalHanging12a"/>
      </w:pPr>
      <w:r w:rsidRPr="00B33030">
        <w:t>–</w:t>
      </w:r>
      <w:r w:rsidRPr="00B33030">
        <w:tab/>
        <w:t>so zreteľom na návrh Komisie pre Európsky parlament a Radu (COM(2022)0119),</w:t>
      </w:r>
    </w:p>
    <w:p w:rsidR="00401196" w:rsidRPr="00B33030" w:rsidRDefault="00A11D3C" w:rsidP="00A26F46">
      <w:pPr>
        <w:pStyle w:val="NormalHanging12a"/>
      </w:pPr>
      <w:r w:rsidRPr="00B33030">
        <w:t>–</w:t>
      </w:r>
      <w:r w:rsidRPr="00B33030">
        <w:tab/>
        <w:t xml:space="preserve">so zreteľom na článok 294 ods. 2 a článok 298 </w:t>
      </w:r>
      <w:r w:rsidRPr="00B33030">
        <w:t>Zmluvy o fungovaní Európskej únie, ako aj na článok 106a Zmluvy o založení Európskeho spoločenstva pre atómovú energiu, v súlade s ktorými Komisia predložila návrh Európskemu parlamentu (C9-0121/2022),</w:t>
      </w:r>
    </w:p>
    <w:p w:rsidR="00A26F46" w:rsidRPr="00B33030" w:rsidRDefault="00A11D3C" w:rsidP="00A26F46">
      <w:pPr>
        <w:pStyle w:val="NormalHanging12a"/>
      </w:pPr>
      <w:r w:rsidRPr="00B33030">
        <w:t>–</w:t>
      </w:r>
      <w:r w:rsidRPr="00B33030">
        <w:tab/>
        <w:t xml:space="preserve">so zreteľom na článok 294 ods. 3 Zmluvy o fungovaní </w:t>
      </w:r>
      <w:r w:rsidRPr="00B33030">
        <w:t>Európskej únie,</w:t>
      </w:r>
    </w:p>
    <w:p w:rsidR="00401196" w:rsidRPr="00B33030" w:rsidRDefault="00A11D3C" w:rsidP="00401196">
      <w:pPr>
        <w:pStyle w:val="NormalHanging12a"/>
      </w:pPr>
      <w:r w:rsidRPr="00B33030">
        <w:t>–</w:t>
      </w:r>
      <w:r w:rsidRPr="00B33030">
        <w:tab/>
        <w:t>so zreteľom na článok 60 rokovacieho poriadku,</w:t>
      </w:r>
    </w:p>
    <w:p w:rsidR="00401196" w:rsidRPr="00B33030" w:rsidRDefault="00A11D3C" w:rsidP="00401196">
      <w:pPr>
        <w:pStyle w:val="NormalHanging12a"/>
      </w:pPr>
      <w:r w:rsidRPr="00B33030">
        <w:t>–</w:t>
      </w:r>
      <w:r w:rsidRPr="00B33030">
        <w:tab/>
        <w:t>so zreteľom na stanovisko Výboru pre priemysel, výskum a energetiku,</w:t>
      </w:r>
    </w:p>
    <w:p w:rsidR="00401196" w:rsidRPr="00B33030" w:rsidRDefault="00A11D3C" w:rsidP="00401196">
      <w:pPr>
        <w:pStyle w:val="NormalHanging12a"/>
      </w:pPr>
      <w:r w:rsidRPr="00B33030">
        <w:t>–</w:t>
      </w:r>
      <w:r w:rsidRPr="00B33030">
        <w:tab/>
        <w:t>so zreteľom na listy Výboru pre zahraničné veci, Výboru pre medzinárodný obchod a Výboru pre ústavné veci,</w:t>
      </w:r>
    </w:p>
    <w:p w:rsidR="00401196" w:rsidRPr="00B33030" w:rsidRDefault="00A11D3C" w:rsidP="00401196">
      <w:pPr>
        <w:pStyle w:val="NormalHanging12a"/>
      </w:pPr>
      <w:r w:rsidRPr="00B33030">
        <w:t>–</w:t>
      </w:r>
      <w:r w:rsidRPr="00B33030">
        <w:tab/>
        <w:t>so zreteľ</w:t>
      </w:r>
      <w:r w:rsidRPr="00B33030">
        <w:t>om na správu Výboru pre občianske slobody, spravodlivosť a vnútorné veci (A10-0000/2025),</w:t>
      </w:r>
    </w:p>
    <w:p w:rsidR="00401196" w:rsidRPr="00B33030" w:rsidRDefault="00A11D3C" w:rsidP="00401196">
      <w:pPr>
        <w:pStyle w:val="NormalHanging12a"/>
      </w:pPr>
      <w:r w:rsidRPr="00B33030">
        <w:t>1.</w:t>
      </w:r>
      <w:r w:rsidRPr="00B33030">
        <w:tab/>
        <w:t>prijíma nasledujúcu pozíciu v prvom čítaní;</w:t>
      </w:r>
    </w:p>
    <w:p w:rsidR="00401196" w:rsidRPr="00B33030" w:rsidRDefault="00A11D3C" w:rsidP="00401196">
      <w:pPr>
        <w:pStyle w:val="NormalHanging12a"/>
      </w:pPr>
      <w:r w:rsidRPr="00B33030">
        <w:t>2.</w:t>
      </w:r>
      <w:r w:rsidRPr="00B33030">
        <w:tab/>
        <w:t>žiada Komisiu, aby mu vec znovu predložila, ak nahrádza, podstatne mení alebo má v úmysle podstatne zmeniť svoj návr</w:t>
      </w:r>
      <w:r w:rsidRPr="00B33030">
        <w:t>h;</w:t>
      </w:r>
    </w:p>
    <w:p w:rsidR="009F6C2F" w:rsidRPr="00B33030" w:rsidRDefault="00A11D3C" w:rsidP="00401196">
      <w:pPr>
        <w:pStyle w:val="NormalHanging12a"/>
      </w:pPr>
      <w:r w:rsidRPr="00B33030">
        <w:t>3.</w:t>
      </w:r>
      <w:r w:rsidRPr="00B33030">
        <w:tab/>
        <w:t>poveruje svoju predsedníčku, aby postúpila túto pozíciu Rade, Komisii a národným parlamentom.</w:t>
      </w:r>
    </w:p>
    <w:p w:rsidR="00D30DE2" w:rsidRPr="00B33030" w:rsidRDefault="00D30DE2" w:rsidP="00D30DE2"/>
    <w:p w:rsidR="002669B6" w:rsidRPr="00B33030" w:rsidRDefault="002669B6" w:rsidP="002669B6"/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&lt;RepeatBlock-Amend&gt;&lt;Amend&gt;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1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 xml:space="preserve">Text predložený </w:t>
            </w:r>
            <w:r w:rsidRPr="00B33030">
              <w:t>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(1)</w:t>
            </w:r>
            <w:r w:rsidRPr="00B33030">
              <w:tab/>
              <w:t xml:space="preserve">V súčasnosti majú inštitúcie a orgány Únie buď vlastné predpisy v oblasti bezpečnosti informácií vychádzajúce z ich rokovacieho poriadku </w:t>
            </w:r>
            <w:r w:rsidRPr="00B33030">
              <w:lastRenderedPageBreak/>
              <w:t>alebo zakladajúceho aktu, alebo nemajú vôbec žiadne takéto predpisy. V uvedenej súvislo</w:t>
            </w:r>
            <w:r w:rsidRPr="00B33030">
              <w:t xml:space="preserve">sti všetky inštitúcie a orgány Únie vynakladajú značné úsilie na prijatie odlišných prístupov, čo vedie k tomu, že výmena informácií nie je vždy spoľahlivá. Nedostatočný spoločný prístup bráni nasadzovaniu spoločných nástrojov vychádzajúcich z dohodnutého </w:t>
            </w:r>
            <w:r w:rsidRPr="00B33030">
              <w:t>súboru predpisov na základe bezpečnostných potrieb informácií, ktoré sa majú chrániť.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lastRenderedPageBreak/>
              <w:t>(1)</w:t>
            </w:r>
            <w:r w:rsidRPr="00B33030">
              <w:tab/>
              <w:t xml:space="preserve">V súčasnosti majú inštitúcie a orgány Únie buď vlastné predpisy v oblasti bezpečnosti informácií vychádzajúce z ich rokovacieho poriadku </w:t>
            </w:r>
            <w:r w:rsidRPr="00B33030">
              <w:lastRenderedPageBreak/>
              <w:t xml:space="preserve">alebo zakladajúceho aktu, </w:t>
            </w:r>
            <w:r w:rsidRPr="00B33030">
              <w:t>alebo nemajú vôbec žiadne takéto predpisy. V uvedenej súvislosti všetky inštitúcie a orgány Únie vynakladajú značné úsilie na prijatie odlišných prístupov, čo vedie k tomu, že výmena informácií nie je vždy spoľahlivá. Nedostatočný spoločný prístup bráni na</w:t>
            </w:r>
            <w:r w:rsidRPr="00B33030">
              <w:t>sadzovaniu spoločných nástrojov vychádzajúcich z dohodnutého súboru predpisov na základe bezpečnostných potrieb informácií, ktoré sa majú chrániť</w:t>
            </w:r>
            <w:r w:rsidRPr="00B33030">
              <w:rPr>
                <w:b/>
                <w:i/>
              </w:rPr>
              <w:t>, ako aj interoperabilite týchto nástrojov</w:t>
            </w:r>
            <w:r w:rsidRPr="00B33030">
              <w:t>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lastRenderedPageBreak/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1 a 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(1a)</w:t>
            </w:r>
            <w:r w:rsidRPr="00B33030">
              <w:rPr>
                <w:b/>
                <w:i/>
              </w:rPr>
              <w:tab/>
              <w:t xml:space="preserve">Inštitúcie a orgány Únie sú povinné uplatňovať článok 15 ods. 3 Zmluvy o fungovaní Európskej únie (ďalej </w:t>
            </w:r>
            <w:r w:rsidRPr="00B33030">
              <w:rPr>
                <w:b/>
                <w:i/>
              </w:rPr>
              <w:t>len „ZFEÚ“) v súlade s demokratickými zásadami, najmä so zásadami stanovenými v článku 10 ods. 3 Zmluvy o Európskej únii (ďalej len „ZEÚ“) a článku 42 Charty základných práv Európskej únie (ďalej len „charta“). Vytváranie a utajovanie utajovaných skutočnos</w:t>
            </w:r>
            <w:r w:rsidRPr="00B33030">
              <w:rPr>
                <w:b/>
                <w:i/>
              </w:rPr>
              <w:t>tí Európskej únie (EUCI) by sa preto malo uskutočniť v súlade so zásadami minimalizácie používania utajenia a časového obmedzenia takéhoto utajenia.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3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</w:t>
      </w:r>
      <w:r w:rsidRPr="00B33030">
        <w:t>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3 a 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(3a)</w:t>
            </w:r>
            <w:r w:rsidRPr="00B33030">
              <w:rPr>
                <w:b/>
                <w:i/>
              </w:rPr>
              <w:tab/>
              <w:t xml:space="preserve">V súvislosti s bezpečnosťou informácií by inštitúcie a orgány Únie mali zvýšiť organizačnú interoperabilitu a </w:t>
            </w:r>
            <w:r w:rsidRPr="00B33030">
              <w:rPr>
                <w:b/>
                <w:i/>
              </w:rPr>
              <w:lastRenderedPageBreak/>
              <w:t>postupovať spoločne s cieľom zaistiť</w:t>
            </w:r>
            <w:r w:rsidRPr="00B33030">
              <w:rPr>
                <w:b/>
                <w:i/>
              </w:rPr>
              <w:t xml:space="preserve"> ochranu sietí, informačných systémov, údajov, zariadení a hmotných aktív používaných na získavanie, uchovávanie, spracúvanie a prenos informácií.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lastRenderedPageBreak/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4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 xml:space="preserve">Návrh </w:t>
      </w:r>
      <w:r w:rsidRPr="00B33030">
        <w:t>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4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(4)</w:t>
            </w:r>
            <w:r w:rsidRPr="00B33030">
              <w:tab/>
            </w:r>
            <w:r w:rsidRPr="00B33030">
              <w:rPr>
                <w:b/>
                <w:i/>
              </w:rPr>
              <w:t>Nedávna pandémia viedla k významnej zmene pracovných postupov, ktorá spočívala</w:t>
            </w:r>
            <w:r w:rsidRPr="00B33030">
              <w:t xml:space="preserve"> v</w:t>
            </w:r>
            <w:r w:rsidRPr="00B33030">
              <w:rPr>
                <w:b/>
                <w:i/>
              </w:rPr>
              <w:t> tom, že nástroje diaľkovej komunikácie sa stali normou. Preto</w:t>
            </w:r>
            <w:r w:rsidRPr="00B33030">
              <w:t xml:space="preserve"> bolo mno</w:t>
            </w:r>
            <w:r w:rsidRPr="00B33030">
              <w:t xml:space="preserve">žstvo postupov, ktoré boli ešte stále do istej miery papierové, rýchlo upravených tak, aby sa umožnilo elektronické spracovanie a výmena informácií. Tento vývoj si vyžaduje zmeny v oblasti manipulácie s informáciami a ochrany informácií. V tomto nariadení </w:t>
            </w:r>
            <w:r w:rsidRPr="00B33030">
              <w:t>sa nové pracovné postupy zohľadňujú.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(4)</w:t>
            </w:r>
            <w:r w:rsidRPr="00B33030">
              <w:tab/>
              <w:t>V</w:t>
            </w:r>
            <w:r w:rsidRPr="00B33030">
              <w:rPr>
                <w:b/>
                <w:i/>
              </w:rPr>
              <w:t xml:space="preserve"> posledných rokoch</w:t>
            </w:r>
            <w:r w:rsidRPr="00B33030">
              <w:t xml:space="preserve"> bolo množstvo postupov, ktoré boli ešte stále do istej miery papierové, rýchlo upravených tak, aby sa umožnilo elektronické spracovanie a výmena informácií. Tento vývoj si vyžaduje zmeny v oblast</w:t>
            </w:r>
            <w:r w:rsidRPr="00B33030">
              <w:t>i manipulácie s informáciami a ochrany informácií. V tomto nariadení sa nové pracovné postupy zohľadňujú.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5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 xml:space="preserve">Odôvodnenie 5 a </w:t>
      </w:r>
      <w:r w:rsidRPr="00B33030">
        <w:t>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(5a)</w:t>
            </w:r>
            <w:r w:rsidRPr="00B33030">
              <w:rPr>
                <w:b/>
                <w:i/>
              </w:rPr>
              <w:tab/>
              <w:t xml:space="preserve">Transparentná a včasná výmena utajovaných skutočností EÚ má kľúčový význam pre riadne fungovanie inštitúcií a orgánov Únie. Pri vykonávaní tohto nariadenia by sa inštitúcie a orgány Únie </w:t>
            </w:r>
            <w:r w:rsidRPr="00B33030">
              <w:rPr>
                <w:b/>
                <w:i/>
              </w:rPr>
              <w:t>mali usilovať o to, aby zvýšili transparentnosť, minimalizovali a časovo obmedzili používanie dôverných dokumentov a poskytovali záruky proti používaniu utajenia spôsobom, ktorý by inštitúciám a orgánom Únie bránil v plnení ich poslania, pričom by mali zai</w:t>
            </w:r>
            <w:r w:rsidRPr="00B33030">
              <w:rPr>
                <w:b/>
                <w:i/>
              </w:rPr>
              <w:t xml:space="preserve">stiť primeranú ochranu oznamovateľov a </w:t>
            </w:r>
            <w:r w:rsidRPr="00B33030">
              <w:rPr>
                <w:b/>
                <w:i/>
              </w:rPr>
              <w:lastRenderedPageBreak/>
              <w:t>vysokú úroveň ochrany informácií v súlade s právom Únie a najlepšími postupmi.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lastRenderedPageBreak/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6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6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(6)</w:t>
            </w:r>
            <w:r w:rsidRPr="00B33030">
              <w:tab/>
              <w:t>Týmto nariadením nie sú dotknuté nariadenie (Euratom) č.</w:t>
            </w:r>
            <w:r w:rsidRPr="00B33030">
              <w:rPr>
                <w:b/>
                <w:i/>
              </w:rPr>
              <w:t> </w:t>
            </w:r>
            <w:r w:rsidRPr="00B33030">
              <w:t>3/1958</w:t>
            </w:r>
            <w:r w:rsidRPr="00B33030">
              <w:rPr>
                <w:vertAlign w:val="superscript"/>
              </w:rPr>
              <w:t>17</w:t>
            </w:r>
            <w:r w:rsidRPr="00B33030">
              <w:t>, nariadenie (EHS) č.</w:t>
            </w:r>
            <w:r w:rsidRPr="00B33030">
              <w:rPr>
                <w:b/>
                <w:i/>
              </w:rPr>
              <w:t> </w:t>
            </w:r>
            <w:r w:rsidRPr="00B33030">
              <w:t>31, (ESAE) č.</w:t>
            </w:r>
            <w:r w:rsidRPr="00B33030">
              <w:rPr>
                <w:b/>
                <w:i/>
              </w:rPr>
              <w:t> </w:t>
            </w:r>
            <w:r w:rsidRPr="00B33030">
              <w:t>11, ktorým sa ustanovuje Služobný poriadok úradníkov a</w:t>
            </w:r>
            <w:r w:rsidRPr="00B33030">
              <w:rPr>
                <w:b/>
                <w:i/>
              </w:rPr>
              <w:t> </w:t>
            </w:r>
            <w:r w:rsidRPr="00B33030">
              <w:t>Podmienky zamestnávania os</w:t>
            </w:r>
            <w:r w:rsidRPr="00B33030">
              <w:t>tatných zamestnancov Európskeho hospodárskeho spoločenstva a</w:t>
            </w:r>
            <w:r w:rsidRPr="00B33030">
              <w:rPr>
                <w:b/>
                <w:i/>
              </w:rPr>
              <w:t> </w:t>
            </w:r>
            <w:r w:rsidRPr="00B33030">
              <w:t>Európskeho spoločenstva pre atómovú energiu</w:t>
            </w:r>
            <w:r w:rsidRPr="00B33030">
              <w:rPr>
                <w:vertAlign w:val="superscript"/>
              </w:rPr>
              <w:t>18</w:t>
            </w:r>
            <w:r w:rsidRPr="00B33030">
              <w:t>, nariadenie Európskeho parlamentu a</w:t>
            </w:r>
            <w:r w:rsidRPr="00B33030">
              <w:rPr>
                <w:b/>
                <w:i/>
              </w:rPr>
              <w:t> </w:t>
            </w:r>
            <w:r w:rsidRPr="00B33030">
              <w:t>Rady (ES) č.</w:t>
            </w:r>
            <w:r w:rsidRPr="00B33030">
              <w:rPr>
                <w:b/>
                <w:i/>
              </w:rPr>
              <w:t> </w:t>
            </w:r>
            <w:r w:rsidRPr="00B33030">
              <w:t>1049/2001</w:t>
            </w:r>
            <w:r w:rsidRPr="00B33030">
              <w:rPr>
                <w:vertAlign w:val="superscript"/>
              </w:rPr>
              <w:t>19</w:t>
            </w:r>
            <w:r w:rsidRPr="00B33030">
              <w:t>, nariadenie Európskeho parlamentu a</w:t>
            </w:r>
            <w:r w:rsidRPr="00B33030">
              <w:rPr>
                <w:b/>
                <w:i/>
              </w:rPr>
              <w:t> </w:t>
            </w:r>
            <w:r w:rsidRPr="00B33030">
              <w:t>Rady (EÚ) 2018/1725</w:t>
            </w:r>
            <w:r w:rsidRPr="00B33030">
              <w:rPr>
                <w:vertAlign w:val="superscript"/>
              </w:rPr>
              <w:t>20</w:t>
            </w:r>
            <w:r w:rsidRPr="00B33030">
              <w:t xml:space="preserve">, nariadenie Rady (EHS, </w:t>
            </w:r>
            <w:r w:rsidRPr="00B33030">
              <w:t>Euratom) č.</w:t>
            </w:r>
            <w:r w:rsidRPr="00B33030">
              <w:rPr>
                <w:b/>
                <w:i/>
              </w:rPr>
              <w:t> </w:t>
            </w:r>
            <w:r w:rsidRPr="00B33030">
              <w:t>354/83</w:t>
            </w:r>
            <w:r w:rsidRPr="00B33030">
              <w:rPr>
                <w:vertAlign w:val="superscript"/>
              </w:rPr>
              <w:t>21</w:t>
            </w:r>
            <w:r w:rsidRPr="00B33030">
              <w:t>, nariadenie Európskeho parlamentu a</w:t>
            </w:r>
            <w:r w:rsidRPr="00B33030">
              <w:rPr>
                <w:b/>
                <w:i/>
              </w:rPr>
              <w:t> </w:t>
            </w:r>
            <w:r w:rsidRPr="00B33030">
              <w:t>Rady (EÚ, Euratom) 2018/1046</w:t>
            </w:r>
            <w:r w:rsidRPr="00B33030">
              <w:rPr>
                <w:vertAlign w:val="superscript"/>
              </w:rPr>
              <w:t>22</w:t>
            </w:r>
            <w:r w:rsidRPr="00B33030">
              <w:t>, nariadenie Európskeho parlamentu a</w:t>
            </w:r>
            <w:r w:rsidRPr="00B33030">
              <w:rPr>
                <w:b/>
                <w:i/>
              </w:rPr>
              <w:t> </w:t>
            </w:r>
            <w:r w:rsidRPr="00B33030">
              <w:t>Rady (EÚ) 2021/697</w:t>
            </w:r>
            <w:r w:rsidRPr="00B33030">
              <w:rPr>
                <w:vertAlign w:val="superscript"/>
              </w:rPr>
              <w:t>23</w:t>
            </w:r>
            <w:r w:rsidRPr="00B33030">
              <w:t>, nariadenie Európskeho parlamentu a</w:t>
            </w:r>
            <w:r w:rsidRPr="00B33030">
              <w:rPr>
                <w:b/>
                <w:i/>
              </w:rPr>
              <w:t> </w:t>
            </w:r>
            <w:r w:rsidRPr="00B33030">
              <w:t>Rady (EÚ) [...]</w:t>
            </w:r>
            <w:r w:rsidRPr="00B33030">
              <w:rPr>
                <w:vertAlign w:val="superscript"/>
              </w:rPr>
              <w:t>24</w:t>
            </w:r>
            <w:r w:rsidRPr="00B33030">
              <w:t>, ktorým sa stanovujú opatrenia na zabezpečenie vysokej sp</w:t>
            </w:r>
            <w:r w:rsidRPr="00B33030">
              <w:t>oločnej úrovne kybernetickej bezpečnosti v</w:t>
            </w:r>
            <w:r w:rsidRPr="00B33030">
              <w:rPr>
                <w:b/>
                <w:i/>
              </w:rPr>
              <w:t> </w:t>
            </w:r>
            <w:r w:rsidRPr="00B33030">
              <w:t>inštitúciách, orgánoch, úradoch a</w:t>
            </w:r>
            <w:r w:rsidRPr="00B33030">
              <w:rPr>
                <w:b/>
                <w:i/>
              </w:rPr>
              <w:t> </w:t>
            </w:r>
            <w:r w:rsidRPr="00B33030">
              <w:t>agentúrach Únie.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(6)</w:t>
            </w:r>
            <w:r w:rsidRPr="00B33030">
              <w:tab/>
              <w:t>Týmto nariadením nie sú dotknuté nariadenie (Euratom) č.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3/1958</w:t>
            </w:r>
            <w:r w:rsidRPr="00B33030">
              <w:rPr>
                <w:vertAlign w:val="superscript"/>
              </w:rPr>
              <w:t>17</w:t>
            </w:r>
            <w:r w:rsidRPr="00B33030">
              <w:t>, nariadenie (EHS) č.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31, (ESAE) č.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11, ktorým sa ustanovuje Služobný poriadok úradníkov a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Po</w:t>
            </w:r>
            <w:r w:rsidRPr="00B33030">
              <w:t>dmienky zamestnávania ostatných zamestnancov Európskeho hospodárskeho spoločenstva a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Európskeho spoločenstva pre atómovú energiu</w:t>
            </w:r>
            <w:r w:rsidRPr="00B33030">
              <w:rPr>
                <w:vertAlign w:val="superscript"/>
              </w:rPr>
              <w:t>18</w:t>
            </w:r>
            <w:r w:rsidRPr="00B33030">
              <w:t>, nariadenie Európskeho parlamentu a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Rady (ES) č.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1049/2001</w:t>
            </w:r>
            <w:r w:rsidRPr="00B33030">
              <w:rPr>
                <w:vertAlign w:val="superscript"/>
              </w:rPr>
              <w:t>19</w:t>
            </w:r>
            <w:r w:rsidRPr="00B33030">
              <w:t>, nariadenie Európskeho parlamentu a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Rady (EÚ) 2018/1725</w:t>
            </w:r>
            <w:r w:rsidRPr="00B33030">
              <w:rPr>
                <w:vertAlign w:val="superscript"/>
              </w:rPr>
              <w:t>20</w:t>
            </w:r>
            <w:r w:rsidRPr="00B33030">
              <w:rPr>
                <w:b/>
                <w:i/>
              </w:rPr>
              <w:t xml:space="preserve"> vrátan</w:t>
            </w:r>
            <w:r w:rsidRPr="00B33030">
              <w:rPr>
                <w:b/>
                <w:i/>
              </w:rPr>
              <w:t>e pravidiel pre medzinárodné prenosy osobných údajov</w:t>
            </w:r>
            <w:r w:rsidRPr="00B33030">
              <w:t>, nariadenie Rady (EHS, Euratom) č.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354/83</w:t>
            </w:r>
            <w:r w:rsidRPr="00B33030">
              <w:rPr>
                <w:vertAlign w:val="superscript"/>
              </w:rPr>
              <w:t>21</w:t>
            </w:r>
            <w:r w:rsidRPr="00B33030">
              <w:t>, nariadenie Európskeho parlamentu a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Rady (EÚ, Euratom) 2018/1046</w:t>
            </w:r>
            <w:r w:rsidRPr="00B33030">
              <w:rPr>
                <w:vertAlign w:val="superscript"/>
              </w:rPr>
              <w:t>22</w:t>
            </w:r>
            <w:r w:rsidRPr="00B33030">
              <w:t>, nariadenie Európskeho parlamentu a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Rady (EÚ) 2021/697</w:t>
            </w:r>
            <w:r w:rsidRPr="00B33030">
              <w:rPr>
                <w:vertAlign w:val="superscript"/>
              </w:rPr>
              <w:t>23</w:t>
            </w:r>
            <w:r w:rsidRPr="00B33030">
              <w:t>, nariadenie Európskeho parlamentu a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Rady (EÚ) [...]</w:t>
            </w:r>
            <w:r w:rsidRPr="00B33030">
              <w:rPr>
                <w:vertAlign w:val="superscript"/>
              </w:rPr>
              <w:t>24</w:t>
            </w:r>
            <w:r w:rsidRPr="00B33030">
              <w:t>, ktorým sa stanovujú opatrenia na zabezpečenie vysokej spoločnej úrovne kybernetickej bezpečnosti v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inštitúciách, orgánoch, úradoch a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agentúrach Únie.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__________________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__________________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rPr>
                <w:vertAlign w:val="superscript"/>
              </w:rPr>
              <w:t>17</w:t>
            </w:r>
            <w:r w:rsidRPr="00B33030">
              <w:t xml:space="preserve"> Nariadenie (Euratom) č. 3/1958, ktorým sa vykonáva článok 24 Zmluvy o založení Európskeho spoločenstva pre atómovú energiu (Ú. v. ES 17, 6.10.1958, s. 406).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vertAlign w:val="superscript"/>
              </w:rPr>
              <w:t>17</w:t>
            </w:r>
            <w:r w:rsidRPr="00B33030">
              <w:t xml:space="preserve"> Nariadenie (Euratom) č. 3/1958, ktorým sa vykonáva článok 24 Zmluvy o založení Európskeho spolo</w:t>
            </w:r>
            <w:r w:rsidRPr="00B33030">
              <w:t>čenstva pre atómovú energiu (Ú. v. ES 17, 6.10.1958, s. 406).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rPr>
                <w:vertAlign w:val="superscript"/>
              </w:rPr>
              <w:t>18</w:t>
            </w:r>
            <w:r w:rsidRPr="00B33030">
              <w:t xml:space="preserve"> Ú. v. ES L 45, 14.6.1962, s. 1385.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vertAlign w:val="superscript"/>
              </w:rPr>
              <w:t>18</w:t>
            </w:r>
            <w:r w:rsidRPr="00B33030">
              <w:t xml:space="preserve"> Ú. v. ES L 45, 14.6.1962, s. 1385.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rPr>
                <w:vertAlign w:val="superscript"/>
              </w:rPr>
              <w:t>19</w:t>
            </w:r>
            <w:r w:rsidRPr="00B33030">
              <w:t xml:space="preserve"> Nariadenie Európskeho parlamentu a Rady (ES) č. 1049/2001 z 30. mája 2001 o prístupe verejnosti k dokumentom Euró</w:t>
            </w:r>
            <w:r w:rsidRPr="00B33030">
              <w:t>pskeho parlamentu, Rady a Komisie (Ú. v. ES L 145, 31.5.2001, s. 43).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vertAlign w:val="superscript"/>
              </w:rPr>
              <w:t>19</w:t>
            </w:r>
            <w:r w:rsidRPr="00B33030">
              <w:t xml:space="preserve"> Nariadenie Európskeho parlamentu a Rady (ES) č. 1049/2001 z 30. mája 2001 o prístupe verejnosti k dokumentom Európskeho parlamentu, Rady a Komisie (Ú. v. ES L 145, 31.5.2001, s. 43).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rPr>
                <w:vertAlign w:val="superscript"/>
              </w:rPr>
              <w:lastRenderedPageBreak/>
              <w:t>20</w:t>
            </w:r>
            <w:r w:rsidRPr="00B33030">
              <w:t xml:space="preserve"> Nariadenie Európskeho parlamentu a Rady (EÚ) 2018/1725 z 23. októbra 2018 o ochrane fyzických osôb pri spracúvaní osobných údajov inštitúciami, orgánmi, úradmi a agentúrami Únie a o voľnom pohybe takýchto údajov, ktorým sa zrušuje nariadenie (ES) č. 45</w:t>
            </w:r>
            <w:r w:rsidRPr="00B33030">
              <w:t>/2001 a rozhodnutie č. 1247/2002/ES (Ú. v. EÚ L 295, 21.11.2018, s. 39).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vertAlign w:val="superscript"/>
              </w:rPr>
              <w:t>20</w:t>
            </w:r>
            <w:r w:rsidRPr="00B33030">
              <w:t xml:space="preserve"> Nariadenie Európskeho parlamentu a Rady (EÚ) 2018/1725 z 23. októbra 2018 o ochrane fyzických osôb pri spracúvaní osobných údajov inštitúciami, orgánmi, úradmi a agentúrami Únie a </w:t>
            </w:r>
            <w:r w:rsidRPr="00B33030">
              <w:t>o voľnom pohybe takýchto údajov, ktorým sa zrušuje nariadenie (ES) č. 45/2001 a rozhodnutie č. 1247/2002/ES (Ú. v. EÚ L 295, 21.11.2018, s. 39).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rPr>
                <w:vertAlign w:val="superscript"/>
              </w:rPr>
              <w:t>21</w:t>
            </w:r>
            <w:r w:rsidRPr="00B33030">
              <w:t xml:space="preserve"> Nariadenie Rady (EHS/Euratom) č. 354/83 z 1. februára 1983 o otvorení historických archívov Európskeho hosp</w:t>
            </w:r>
            <w:r w:rsidRPr="00B33030">
              <w:t>odárskeho spoločenstva a Európskeho spoločenstva pre atómovú energiu pre verejnosť (Ú. v. ES L 43, 15.2.1983, s. 1).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vertAlign w:val="superscript"/>
              </w:rPr>
              <w:t>21</w:t>
            </w:r>
            <w:r w:rsidRPr="00B33030">
              <w:t xml:space="preserve"> Nariadenie Rady (EHS/Euratom) č. 354/83 z 1. februára 1983 o otvorení historických archívov Európskeho hospodárskeho spoločenstva a Euró</w:t>
            </w:r>
            <w:r w:rsidRPr="00B33030">
              <w:t>pskeho spoločenstva pre atómovú energiu pre verejnosť (Ú. v. ES L 43, 15.2.1983, s. 1).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rPr>
                <w:vertAlign w:val="superscript"/>
              </w:rPr>
              <w:t>22</w:t>
            </w:r>
            <w:r w:rsidRPr="00B33030">
              <w:t xml:space="preserve"> Nariadenie Európskeho parlamentu a Rady (EÚ, Euratom) 2018/1046 z 18. júla 2018 o rozpočtových pravidlách, ktoré sa vzťahujú na všeobecný rozpočet Únie, o zmene nar</w:t>
            </w:r>
            <w:r w:rsidRPr="00B33030">
              <w:t>iadení (EÚ) č. 1296/2013, (EÚ) č. 1301/2013, (EÚ) č. 1303/2013, (EÚ) č. 1304/2013, (EÚ) č. 1309/2013, (EÚ) č. 1316/2013, (EÚ) č. 223/2014, (EÚ) č. 283/2014 a rozhodnutia č. 541/2014/EÚ a o zrušení nariadenia (EÚ, Euratom) č. 966/2012 (Ú. v. EÚ L 193, 30.7.</w:t>
            </w:r>
            <w:r w:rsidRPr="00B33030">
              <w:t>2018, s. 1).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vertAlign w:val="superscript"/>
              </w:rPr>
              <w:t>22</w:t>
            </w:r>
            <w:r w:rsidRPr="00B33030">
              <w:t xml:space="preserve"> Nariadenie Európskeho parlamentu a Rady (EÚ, Euratom) 2018/1046 z 18. júla 2018 o rozpočtových pravidlách, ktoré sa vzťahujú na všeobecný rozpočet Únie, o zmene nariadení (EÚ) č. 1296/2013, (EÚ) č. 1301/2013, (EÚ) č. 1303/2013, (EÚ) č. 1304</w:t>
            </w:r>
            <w:r w:rsidRPr="00B33030">
              <w:t>/2013, (EÚ) č. 1309/2013, (EÚ) č. 1316/2013, (EÚ) č. 223/2014, (EÚ) č. 283/2014 a rozhodnutia č. 541/2014/EÚ a o zrušení nariadenia (EÚ, Euratom) č. 966/2012 (Ú. v. EÚ L 193, 30.7.2018, s. 1).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rPr>
                <w:vertAlign w:val="superscript"/>
              </w:rPr>
              <w:t>23</w:t>
            </w:r>
            <w:r w:rsidRPr="00B33030">
              <w:t xml:space="preserve"> Nariadenie Európskeho parlamentu a Rady (EÚ) 2021/697 z 29.</w:t>
            </w:r>
            <w:r w:rsidRPr="00B33030">
              <w:t> apríla 2021, ktorým sa zriaďuje Európsky obranný fond a zrušuje nariadenie (EÚ) 2018/1092 (Ú. v. EÚ L 170, 12.5.2021, s. 149).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vertAlign w:val="superscript"/>
              </w:rPr>
              <w:t>23</w:t>
            </w:r>
            <w:r w:rsidRPr="00B33030">
              <w:t xml:space="preserve"> Nariadenie Európskeho parlamentu a Rady (EÚ) 2021/697 z 29. apríla 2021, ktorým sa zriaďuje Európsky obranný fond a zrušuje n</w:t>
            </w:r>
            <w:r w:rsidRPr="00B33030">
              <w:t>ariadenie (EÚ) 2018/1092 (Ú. v. EÚ L 170, 12.5.2021, s. 149).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rPr>
                <w:vertAlign w:val="superscript"/>
              </w:rPr>
              <w:t>24</w:t>
            </w:r>
            <w:r w:rsidRPr="00B33030">
              <w:t xml:space="preserve"> Nariadenie Európskeho parlamentu a Rady [...], ktorým sa stanovujú opatrenia na zabezpečenie vysokej spoločnej úrovne kybernetickej bezpečnosti v inštitúciách, orgánoch, úradoch a agentúrach Únie, ktoré sa má prijať.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vertAlign w:val="superscript"/>
              </w:rPr>
              <w:t>24</w:t>
            </w:r>
            <w:r w:rsidRPr="00B33030">
              <w:t xml:space="preserve"> Nariadenie Európskeho parlamentu a </w:t>
            </w:r>
            <w:r w:rsidRPr="00B33030">
              <w:t>Rady [...], ktorým sa stanovujú opatrenia na zabezpečenie vysokej spoločnej úrovne kybernetickej bezpečnosti v inštitúciách, orgánoch, úradoch a agentúrach Únie, ktoré sa má prijať.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</w:t>
      </w:r>
      <w:r w:rsidRPr="00B33030">
        <w:rPr>
          <w:rStyle w:val="HideTWBExt"/>
          <w:b w:val="0"/>
        </w:rPr>
        <w:t>&gt;</w:t>
      </w:r>
      <w:r w:rsidRPr="00B33030">
        <w:t>7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8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(8)</w:t>
            </w:r>
            <w:r w:rsidRPr="00B33030">
              <w:tab/>
              <w:t xml:space="preserve">S cieľom zaviesť formálnu štruktúru spolupráce medzi inštitúciami a orgánmi Únie v oblasti bezpečnosti informácií je </w:t>
            </w:r>
            <w:r w:rsidRPr="00B33030">
              <w:t>potrebné zriadiť medziinštitucionálnu koordinačnú skupinu (ďalej len „koordinačná skupina“), v ktorej budú zastúpené bezpečnostné orgány všetkých inštitúcií a orgánov Únie. Koordinačná skupina nemá rozhodovacie právomoci a mala by zabezpečovať posilňovanie</w:t>
            </w:r>
            <w:r w:rsidRPr="00B33030">
              <w:t xml:space="preserve"> súdržnosti politík v oblasti bezpečnosti informácií a podieľať sa na harmonizácii postupov a nástrojov v rámci informačnej bezpečnosti vo všetkých inštitúciách a orgánoch Únie.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(8)</w:t>
            </w:r>
            <w:r w:rsidRPr="00B33030">
              <w:tab/>
              <w:t xml:space="preserve">S cieľom zaviesť </w:t>
            </w:r>
            <w:r w:rsidRPr="00B33030">
              <w:rPr>
                <w:b/>
                <w:i/>
              </w:rPr>
              <w:t xml:space="preserve">spoločnú </w:t>
            </w:r>
            <w:r w:rsidRPr="00B33030">
              <w:t>formálnu štruktúru spolupráce medzi inštitúciami</w:t>
            </w:r>
            <w:r w:rsidRPr="00B33030">
              <w:t xml:space="preserve"> a orgánmi Únie v oblasti bezpečnosti informácií je potrebné zriadiť medziinštitucionálnu koordinačnú skupinu (ďalej len „koordinačná skupina“), v ktorej budú zastúpené bezpečnostné orgány všetkých inštitúcií a orgánov Únie. Koordinačná skupina nemá rozhod</w:t>
            </w:r>
            <w:r w:rsidRPr="00B33030">
              <w:t>ovacie právomoci a mala by zabezpečovať posilňovanie súdržnosti politík v oblasti bezpečnosti informácií a podieľať sa na harmonizácii postupov a nástrojov v rámci informačnej bezpečnosti vo všetkých inštitúciách a orgánoch Únie.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</w:t>
      </w:r>
      <w:r w:rsidRPr="00B33030">
        <w:rPr>
          <w:rStyle w:val="HideTWBExt"/>
        </w:rPr>
        <w:t>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8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14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(14)</w:t>
            </w:r>
            <w:r w:rsidRPr="00B33030">
              <w:tab/>
              <w:t xml:space="preserve">Na účely prispôsobenia sa novým postupom telepráce by sa mali </w:t>
            </w:r>
            <w:r w:rsidRPr="00B33030">
              <w:rPr>
                <w:b/>
                <w:i/>
              </w:rPr>
              <w:t>siete</w:t>
            </w:r>
            <w:r w:rsidRPr="00B33030">
              <w:t xml:space="preserve"> používané na prepájanie služieb vzdialeného prístupu v rámci inštitúcie alebo orgánu Únie chrániť primeranými bezpečnostnými opatreniami.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(14)</w:t>
            </w:r>
            <w:r w:rsidRPr="00B33030">
              <w:tab/>
              <w:t xml:space="preserve">Na účely prispôsobenia sa novým postupom telepráce by sa mali </w:t>
            </w:r>
            <w:r w:rsidRPr="00B33030">
              <w:rPr>
                <w:b/>
                <w:i/>
              </w:rPr>
              <w:t>sieťové informačné systémy, digitálna infraštruktú</w:t>
            </w:r>
            <w:r w:rsidRPr="00B33030">
              <w:rPr>
                <w:b/>
                <w:i/>
              </w:rPr>
              <w:t>ra a koncové zariadenia</w:t>
            </w:r>
            <w:r w:rsidRPr="00B33030">
              <w:t xml:space="preserve"> používané na prepájanie služieb vzdialeného prístupu v rámci inštitúcie alebo orgánu Únie chrániť primeranými bezpečnostnými opatreniami.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9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18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(18)</w:t>
            </w:r>
            <w:r w:rsidRPr="00B33030">
              <w:tab/>
              <w:t xml:space="preserve">Ochrana utajovaných skutočností EÚ sa zabezpečuje aj technickými a organizačnými opatreniami, ktoré sa uplatňujú na priestory, </w:t>
            </w:r>
            <w:r w:rsidRPr="00B33030">
              <w:t xml:space="preserve">budovy, miestnosti, </w:t>
            </w:r>
            <w:r w:rsidRPr="00B33030">
              <w:lastRenderedPageBreak/>
              <w:t>kancelárie alebo zariadenia inštitúcií a orgánov Únie, v ktorých sa o utajovaných skutočnostiach EÚ diskutuje, s týmito skutočnosťami manipuluje alebo sa tieto skutočnosti uchovávajú. V tomto nariadení sa stanovuje vykonávanie procesu r</w:t>
            </w:r>
            <w:r w:rsidRPr="00B33030">
              <w:t>iadenia rizika bezpečnosti informácií v oblasti fyzickej bezpečnosti, na základe ktorého sa inštitúciám a orgánom Únie umožní vybrať si vhodné bezpečnostné opatrenia pre svoje pracoviská.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lastRenderedPageBreak/>
              <w:t>(18)</w:t>
            </w:r>
            <w:r w:rsidRPr="00B33030">
              <w:tab/>
              <w:t>Ochrana utajovaných skutočností EÚ sa zabezpečuje aj technickým</w:t>
            </w:r>
            <w:r w:rsidRPr="00B33030">
              <w:t xml:space="preserve">i a organizačnými opatreniami, ktoré sa uplatňujú na priestory, budovy, miestnosti, </w:t>
            </w:r>
            <w:r w:rsidRPr="00B33030">
              <w:lastRenderedPageBreak/>
              <w:t xml:space="preserve">kancelárie alebo zariadenia inštitúcií a orgánov Únie, v ktorých sa o utajovaných skutočnostiach EÚ diskutuje, s týmito skutočnosťami manipuluje alebo sa tieto skutočnosti </w:t>
            </w:r>
            <w:r w:rsidRPr="00B33030">
              <w:t xml:space="preserve">uchovávajú. V tomto nariadení sa stanovuje vykonávanie procesu riadenia rizika bezpečnosti informácií v oblasti fyzickej bezpečnosti, na základe ktorého sa inštitúciám a orgánom Únie umožní vybrať si vhodné bezpečnostné opatrenia pre svoje pracoviská. </w:t>
            </w:r>
            <w:r w:rsidRPr="00B33030">
              <w:rPr>
                <w:b/>
                <w:i/>
              </w:rPr>
              <w:t>Malo</w:t>
            </w:r>
            <w:r w:rsidRPr="00B33030">
              <w:rPr>
                <w:b/>
                <w:i/>
              </w:rPr>
              <w:t xml:space="preserve"> by sa vykonať dôkladné hodnotenie bezpečnostnej infraštruktúry vrátane služieb. Pri tomto hodnotení by sa mal zohľadniť celý dodávateľský reťazec a operačné prostredie.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lastRenderedPageBreak/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10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21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(21)</w:t>
            </w:r>
            <w:r w:rsidRPr="00B33030">
              <w:tab/>
              <w:t>Inštitúcie a orgány Únie tradične vyvíjajú svoje komunikačné a informačné systémy nezávisle, pričom nevenujú dostatočnú pozornosť ich</w:t>
            </w:r>
            <w:r w:rsidRPr="00B33030">
              <w:t xml:space="preserve"> interoperabilite medzi všetkými inštitúciami a orgánmi Únie. Preto je potrebné zaviesť minimálne bezpečnostné požiadavky na komunikačné a</w:t>
            </w:r>
            <w:r w:rsidRPr="00B33030">
              <w:rPr>
                <w:b/>
                <w:i/>
              </w:rPr>
              <w:t> </w:t>
            </w:r>
            <w:r w:rsidRPr="00B33030">
              <w:t>informačné systémy, v</w:t>
            </w:r>
            <w:r w:rsidRPr="00B33030">
              <w:rPr>
                <w:b/>
                <w:i/>
              </w:rPr>
              <w:t> </w:t>
            </w:r>
            <w:r w:rsidRPr="00B33030">
              <w:t>ktorých sa manipuluje s</w:t>
            </w:r>
            <w:r w:rsidRPr="00B33030">
              <w:rPr>
                <w:b/>
                <w:i/>
              </w:rPr>
              <w:t> </w:t>
            </w:r>
            <w:r w:rsidRPr="00B33030">
              <w:t>utajovanými skutočnosťami EÚ aj s</w:t>
            </w:r>
            <w:r w:rsidRPr="00B33030">
              <w:rPr>
                <w:b/>
                <w:i/>
              </w:rPr>
              <w:t> </w:t>
            </w:r>
            <w:r w:rsidRPr="00B33030">
              <w:t>neutajovanými skutočnosťami a</w:t>
            </w:r>
            <w:r w:rsidRPr="00B33030">
              <w:rPr>
                <w:b/>
                <w:i/>
              </w:rPr>
              <w:t> </w:t>
            </w:r>
            <w:r w:rsidRPr="00B33030">
              <w:t>v</w:t>
            </w:r>
            <w:r w:rsidRPr="00B33030">
              <w:rPr>
                <w:b/>
                <w:i/>
              </w:rPr>
              <w:t> </w:t>
            </w:r>
            <w:r w:rsidRPr="00B33030">
              <w:t>ktorých sa tieto skutočnosti uchovávajú, aby sa zaručila hladká výmena informácií s</w:t>
            </w:r>
            <w:r w:rsidRPr="00B33030">
              <w:rPr>
                <w:b/>
                <w:i/>
              </w:rPr>
              <w:t> </w:t>
            </w:r>
            <w:r w:rsidRPr="00B33030">
              <w:t>príslušnými zainteresovanými stranami.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(21)</w:t>
            </w:r>
            <w:r w:rsidRPr="00B33030">
              <w:tab/>
              <w:t>Inštitúcie a orgány Únie tradične vyvíjajú svoje komunikačné a informačné systémy nezávisle, pričom nevenujú dostatočnú pozornos</w:t>
            </w:r>
            <w:r w:rsidRPr="00B33030">
              <w:t>ť ich interoperabilite medzi všetkými inštitúciami a orgánmi Únie. Preto je potrebné zaviesť minimálne bezpečnostné požiadavky na komunikačné a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informačné systémy, v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ktorých sa manipuluje s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utajovanými skutočnosťami EÚ aj s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neutajovanými skutočnosťami a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v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ktorých sa tieto skutočnosti uchovávajú</w:t>
            </w:r>
            <w:r w:rsidRPr="00B33030">
              <w:rPr>
                <w:b/>
                <w:i/>
              </w:rPr>
              <w:t xml:space="preserve"> a prenášajú</w:t>
            </w:r>
            <w:r w:rsidRPr="00B33030">
              <w:t>, aby sa zaručila hladká výmena informácií s</w:t>
            </w:r>
            <w:r w:rsidRPr="00B33030">
              <w:rPr>
                <w:b/>
                <w:i/>
              </w:rPr>
              <w:t xml:space="preserve"> </w:t>
            </w:r>
            <w:r w:rsidRPr="00B33030">
              <w:t>príslušnými zainteresovanými stranami.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11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</w:t>
      </w:r>
      <w:r w:rsidRPr="00B33030">
        <w:rPr>
          <w:rStyle w:val="HideTWBExt"/>
          <w:b w:val="0"/>
        </w:rPr>
        <w:t>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21 a 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(21a)</w:t>
            </w:r>
            <w:r w:rsidRPr="00B33030">
              <w:rPr>
                <w:b/>
                <w:i/>
              </w:rPr>
              <w:tab/>
              <w:t xml:space="preserve">Informácie, ktorými disponujú inštitúcie a orgány Únie, sa vymieňajú aj prostredníctvom prostredia informačných a komunikačných technológií (ďalej len </w:t>
            </w:r>
            <w:r w:rsidRPr="00B33030">
              <w:rPr>
                <w:b/>
                <w:i/>
              </w:rPr>
              <w:t>„IKT“), v daných priestoroch alebo pomocou virtuálnych aktív, produktov IKT, služieb IKT a procesov IKT, ako aj sietí a informačných systémov bez ohľadu na to, či ich vlastní a prevádzkuje inštitúcia alebo orgán Únie, alebo im poskytuje hosting či ich prev</w:t>
            </w:r>
            <w:r w:rsidRPr="00B33030">
              <w:rPr>
                <w:b/>
                <w:i/>
              </w:rPr>
              <w:t>ádzkuje tretia strana, vrátane mobilných zariadení, podnikových sietí a obchodných sietí, ktoré nie sú pripojené na internet, a akýchkoľvek zariadení pripojených k prostrediu IKT.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12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Odôvodnenie 24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(24)</w:t>
            </w:r>
            <w:r w:rsidRPr="00B33030">
              <w:tab/>
              <w:t xml:space="preserve">Úzka spolupráca medzi inštitúciami a orgánmi Únie, ako aj množstvo synergií, ktoré medzi nimi vznikli, sa týkajú aj </w:t>
            </w:r>
            <w:r w:rsidRPr="00B33030">
              <w:t>spoločného využívania veľkého objemu informácií. Z dôvodu bezpečnosti utajovaných skutočností by sa mala posúdiť dôveryhodnosť inštitúcií alebo orgánov EÚ, ktoré majú manipulovať s utajovanými skutočnosťami EÚ určeného stupňa utajenia a uchovávať ich.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(24)</w:t>
            </w:r>
            <w:r w:rsidRPr="00B33030">
              <w:tab/>
              <w:t xml:space="preserve">Úzka spolupráca medzi inštitúciami a orgánmi Únie, ako aj množstvo synergií, ktoré medzi nimi vznikli, sa týkajú aj spoločného využívania veľkého objemu informácií. Z dôvodu bezpečnosti utajovaných skutočností by sa mala posúdiť dôveryhodnosť </w:t>
            </w:r>
            <w:r w:rsidRPr="00B33030">
              <w:rPr>
                <w:b/>
                <w:i/>
              </w:rPr>
              <w:t>a spôsobilos</w:t>
            </w:r>
            <w:r w:rsidRPr="00B33030">
              <w:rPr>
                <w:b/>
                <w:i/>
              </w:rPr>
              <w:t xml:space="preserve">ť </w:t>
            </w:r>
            <w:r w:rsidRPr="00B33030">
              <w:t>inštitúcií alebo orgánov EÚ, ktoré majú manipulovať s utajovanými skutočnosťami EÚ určeného stupňa utajenia a uchovávať ich.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13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1 – odsek 1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1.</w:t>
            </w:r>
            <w:r w:rsidRPr="00B33030">
              <w:tab/>
              <w:t>V tomto nariadení sa stanovujú predpisy v oblasti bezpečnosti informácií pre všetky inštitúcie a orgány Únie.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1.</w:t>
            </w:r>
            <w:r w:rsidRPr="00B33030">
              <w:tab/>
              <w:t xml:space="preserve">V tomto nariadení sa stanovujú </w:t>
            </w:r>
            <w:r w:rsidRPr="00B33030">
              <w:rPr>
                <w:b/>
                <w:i/>
              </w:rPr>
              <w:t xml:space="preserve">spoločné minimálne </w:t>
            </w:r>
            <w:r w:rsidRPr="00B33030">
              <w:t>predpisy v oblasti bezpečnosti informácií pre všetky inštitúcie a orgány Únie.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14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4 – odsek 1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 xml:space="preserve">Text </w:t>
            </w:r>
            <w:r w:rsidRPr="00B33030">
              <w:t>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1.</w:t>
            </w:r>
            <w:r w:rsidRPr="00B33030">
              <w:tab/>
              <w:t>Všetky inštitúcie a orgány Únie zodpovedajú za vykonávanie ustanovení tohto nariadenia v rámci svojej organizácie s prihliadnutím na vlastný proces riadenia rizika v oblasti bezpečnosti informácií.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1.</w:t>
            </w:r>
            <w:r w:rsidRPr="00B33030">
              <w:tab/>
              <w:t>Všetky inštit</w:t>
            </w:r>
            <w:r w:rsidRPr="00B33030">
              <w:t>úcie a orgány Únie zodpovedajú za vykonávanie ustanovení tohto nariadenia v rámci svojej organizácie s prihliadnutím na vlastný proces riadenia rizika v oblasti bezpečnosti informácií.</w:t>
            </w:r>
            <w:r w:rsidRPr="00B33030">
              <w:rPr>
                <w:b/>
                <w:i/>
              </w:rPr>
              <w:t xml:space="preserve"> Pri vypracúvaní a vykonávaní svojho rámca bezpečnosti dokumentov zachov</w:t>
            </w:r>
            <w:r w:rsidRPr="00B33030">
              <w:rPr>
                <w:b/>
                <w:i/>
              </w:rPr>
              <w:t>ávajú inštitúcie a orgány Únie integritu demokratických procesov Únie. Okrem iného vo výberových postupoch prijmú osobitné ustanovenia na obmedzenie rizika zahraničného zasahovania do svojho fungovania. Tieto ustanovenia sa vzťahujú prinajmenšom na nadobúd</w:t>
            </w:r>
            <w:r w:rsidRPr="00B33030">
              <w:rPr>
                <w:b/>
                <w:i/>
              </w:rPr>
              <w:t>anie a údržbu bezpečnostnej infraštruktúry, preverovanie organizácií tretích strán a postupy bezpečnostnej previerky zamestnancov.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15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4 – odsek 6 – pododsek 2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 xml:space="preserve">Inštitúcie a orgány Únie, ktoré manipulujú s utajovanými skutočnosťami EÚ a uchovávajú ich, organizujú pre všetkých jednotlivcov oprávnených na prístup </w:t>
            </w:r>
            <w:r w:rsidRPr="00B33030">
              <w:t xml:space="preserve">k utajovaným skutočnostiam EÚ povinnú </w:t>
            </w:r>
            <w:r w:rsidRPr="00B33030">
              <w:lastRenderedPageBreak/>
              <w:t>odbornú prípravu aspoň každých päť rokov. Príslušné inštitúcie a orgány Únie organizujú osobitnú odbornú prípravu týkajúcu sa špecifických funkcií vykonávaných v rámci úloh v oblasti bezpečnosti informácií.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lastRenderedPageBreak/>
              <w:t xml:space="preserve">Inštitúcie </w:t>
            </w:r>
            <w:r w:rsidRPr="00B33030">
              <w:t xml:space="preserve">a orgány Únie, ktoré manipulujú s utajovanými skutočnosťami EÚ a uchovávajú ich, organizujú pre všetkých jednotlivcov oprávnených na prístup k utajovaným skutočnostiam EÚ povinnú </w:t>
            </w:r>
            <w:r w:rsidRPr="00B33030">
              <w:lastRenderedPageBreak/>
              <w:t xml:space="preserve">odbornú prípravu aspoň každých päť rokov. Príslušné inštitúcie a orgány Únie </w:t>
            </w:r>
            <w:r w:rsidRPr="00B33030">
              <w:t xml:space="preserve">organizujú osobitnú odbornú prípravu týkajúcu sa špecifických funkcií vykonávaných v rámci úloh v oblasti bezpečnosti informácií. </w:t>
            </w:r>
            <w:r w:rsidRPr="00B33030">
              <w:rPr>
                <w:b/>
                <w:i/>
              </w:rPr>
              <w:t>Inštitúcie a orgány Únie najneskôr do... [šesť mesiacov odo dňa nadobudnutia účinnosti tohto nariadenia] vytvoria a zavedú úči</w:t>
            </w:r>
            <w:r w:rsidRPr="00B33030">
              <w:rPr>
                <w:b/>
                <w:i/>
              </w:rPr>
              <w:t>nné a primerané kurzy odbornej prípravy zodpovedajúce rizikám identifikovaným v súlade s článkom 5 pre všetky osoby oprávnené na prístup k utajovaným skutočnostiam EÚ.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lastRenderedPageBreak/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16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5 – odsek 2 – písmeno e a 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ea)</w:t>
            </w:r>
            <w:r w:rsidRPr="00B33030">
              <w:rPr>
                <w:b/>
                <w:i/>
              </w:rPr>
              <w:tab/>
              <w:t>zabezpečenie integrity, dostupnosti a odolnosti systémov a služieb spracúvania.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17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5 – odsek 3 – písmeno a a 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aa)</w:t>
            </w:r>
            <w:r w:rsidRPr="00B33030">
              <w:rPr>
                <w:b/>
                <w:i/>
              </w:rPr>
              <w:tab/>
              <w:t>riziká pre práva a slobody fyzických osôb;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18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5 – odsek 3 – písmeno f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f)</w:t>
            </w:r>
            <w:r w:rsidRPr="00B33030">
              <w:tab/>
              <w:t xml:space="preserve">kontinuitu </w:t>
            </w:r>
            <w:r w:rsidRPr="00B33030">
              <w:rPr>
                <w:b/>
                <w:i/>
              </w:rPr>
              <w:t>prevádzky a </w:t>
            </w:r>
            <w:r w:rsidRPr="00B33030">
              <w:t xml:space="preserve">obnovu </w:t>
            </w:r>
            <w:r w:rsidRPr="00B33030">
              <w:lastRenderedPageBreak/>
              <w:t>systému po havárii;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lastRenderedPageBreak/>
              <w:t>f)</w:t>
            </w:r>
            <w:r w:rsidRPr="00B33030">
              <w:tab/>
              <w:t xml:space="preserve">kontinuitu </w:t>
            </w:r>
            <w:r w:rsidRPr="00B33030">
              <w:rPr>
                <w:b/>
                <w:i/>
              </w:rPr>
              <w:t xml:space="preserve">činností, </w:t>
            </w:r>
            <w:r w:rsidRPr="00B33030">
              <w:t xml:space="preserve">obnovu </w:t>
            </w:r>
            <w:r w:rsidRPr="00B33030">
              <w:lastRenderedPageBreak/>
              <w:t>systému po havárii</w:t>
            </w:r>
            <w:r w:rsidRPr="00B33030">
              <w:rPr>
                <w:b/>
                <w:i/>
              </w:rPr>
              <w:t xml:space="preserve"> a krízové riadenie</w:t>
            </w:r>
            <w:r w:rsidRPr="00B33030">
              <w:t>;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lastRenderedPageBreak/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19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6 – odsek 2 – úvodná časť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2.</w:t>
            </w:r>
            <w:r w:rsidRPr="00B33030">
              <w:tab/>
              <w:t xml:space="preserve">Koordinačná skupina na základe </w:t>
            </w:r>
            <w:r w:rsidRPr="00B33030">
              <w:rPr>
                <w:b/>
                <w:i/>
              </w:rPr>
              <w:t>konsenzu</w:t>
            </w:r>
            <w:r w:rsidRPr="00B33030">
              <w:t xml:space="preserve"> a v spoločnom záujme všetkých inštitúcií a orgánov Únie: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2.</w:t>
            </w:r>
            <w:r w:rsidRPr="00B33030">
              <w:tab/>
              <w:t xml:space="preserve">Koordinačná skupina na základe </w:t>
            </w:r>
            <w:r w:rsidRPr="00B33030">
              <w:rPr>
                <w:b/>
                <w:i/>
              </w:rPr>
              <w:t>najmenej dvojtretinovej väčšiny svojich členov</w:t>
            </w:r>
            <w:r w:rsidRPr="00B33030">
              <w:t xml:space="preserve"> a v spoločnom záujme všetkých inštitúcií a orgánov Únie: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20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6 – odsek 2 – písmeno e a 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</w:t>
            </w:r>
            <w:r w:rsidRPr="00B33030">
              <w:t>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ea)</w:t>
            </w:r>
            <w:r w:rsidRPr="00B33030">
              <w:rPr>
                <w:b/>
                <w:i/>
              </w:rPr>
              <w:tab/>
              <w:t>monitoruje súlad inštitúcií a orgánov Únie s týmto nariadením, ako aj s usmerňovacími dokumentmi vypracovanými podľa písmena c) a na tento účel prijme výročnú hodnotiacu správu;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21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7 – odsek 1 – písmeno e a 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ea)</w:t>
            </w:r>
            <w:r w:rsidRPr="00B33030">
              <w:rPr>
                <w:b/>
                <w:i/>
              </w:rPr>
              <w:tab/>
              <w:t xml:space="preserve">podskupina pre správne dojednania s tretími krajinami a </w:t>
            </w:r>
            <w:r w:rsidRPr="00B33030">
              <w:rPr>
                <w:b/>
                <w:i/>
              </w:rPr>
              <w:t>medzinárodnými organizáciami.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lastRenderedPageBreak/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22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10 – odsek 1 – písmeno c a 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 xml:space="preserve">Pozmeňujúci </w:t>
            </w:r>
            <w:r w:rsidRPr="00B33030">
              <w:t>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ca)</w:t>
            </w:r>
            <w:r w:rsidRPr="00B33030">
              <w:rPr>
                <w:b/>
                <w:i/>
              </w:rPr>
              <w:tab/>
              <w:t>posilnenie spolupráce a koordinácie s centrom CERT-EU.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23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11 – odsek 4 – písmeno d a 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da)</w:t>
            </w:r>
            <w:r w:rsidRPr="00B33030">
              <w:rPr>
                <w:b/>
                <w:i/>
              </w:rPr>
              <w:tab/>
              <w:t>šifrovanie medzi koncovými zariadeniami, najmä pri výmene citlivých neutajovaných skutočností;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24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18 – odsek 2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2.</w:t>
            </w:r>
            <w:r w:rsidRPr="00B33030">
              <w:tab/>
              <w:t>Koordinačná skupina prijme usmerňovacie dokumenty o vytváraní a utajovaní utajovaných skutočností EÚ.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2.</w:t>
            </w:r>
            <w:r w:rsidRPr="00B33030">
              <w:tab/>
              <w:t xml:space="preserve">Koordinačná skupina prijme usmerňovacie dokumenty </w:t>
            </w:r>
            <w:r w:rsidRPr="00B33030">
              <w:t xml:space="preserve">o vytváraní a utajovaní utajovaných skutočností EÚ. </w:t>
            </w:r>
            <w:r w:rsidRPr="00B33030">
              <w:rPr>
                <w:b/>
                <w:i/>
              </w:rPr>
              <w:t>V takýchto usmerňovacích dokumentoch sa zohľadní zásada minimalizácie používania utajovaných skutočností, ako aj riziko nadmerného utajenia určitých dokumentov. Usmerňovacie dokumenty obsahujú pravidlá pr</w:t>
            </w:r>
            <w:r w:rsidRPr="00B33030">
              <w:rPr>
                <w:b/>
                <w:i/>
              </w:rPr>
              <w:t>e posudzovanie a odôvodňovanie utajovania informácií a materiálu, ktorých cieľom je zvýšiť transparentnosť a zabrániť neodôvodneným účinkom uzamknutia.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lastRenderedPageBreak/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25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 xml:space="preserve">Návrh </w:t>
      </w:r>
      <w:r w:rsidRPr="00B33030">
        <w:t>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20 – odsek 3 a (nový)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3a.</w:t>
            </w:r>
            <w:r w:rsidRPr="00B33030">
              <w:rPr>
                <w:b/>
                <w:i/>
              </w:rPr>
              <w:tab/>
              <w:t>Týmto článkom nie je dotknuté nariadenie (ES) č. 1049/2001.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26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22 – odsek 3 – písmeno a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a)</w:t>
            </w:r>
            <w:r w:rsidRPr="00B33030">
              <w:tab/>
              <w:t>informuje pôvodcu;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a)</w:t>
            </w:r>
            <w:r w:rsidRPr="00B33030">
              <w:tab/>
              <w:t>informuje pôvodcu</w:t>
            </w:r>
            <w:r w:rsidRPr="00B33030">
              <w:rPr>
                <w:b/>
                <w:i/>
              </w:rPr>
              <w:t xml:space="preserve"> bez zbytočného odkladu a v každom prípade najneskôr do jedného týžd</w:t>
            </w:r>
            <w:r w:rsidRPr="00B33030">
              <w:rPr>
                <w:b/>
                <w:i/>
              </w:rPr>
              <w:t>ňa po tom, ako bol o porušení informovaný bezpečnostný orgán</w:t>
            </w:r>
            <w:r w:rsidRPr="00B33030">
              <w:t xml:space="preserve">; 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27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22 – odsek 3 – písmeno e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 xml:space="preserve">Text predložený </w:t>
            </w:r>
            <w:r w:rsidRPr="00B33030">
              <w:t>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e)</w:t>
            </w:r>
            <w:r w:rsidRPr="00B33030">
              <w:tab/>
              <w:t>informuje príslušné orgány o skutočnom vyzradení alebo podozrení z vyzradenia a prijatých opatreniach.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e)</w:t>
            </w:r>
            <w:r w:rsidRPr="00B33030">
              <w:tab/>
              <w:t>informuje príslušné orgány o skutočnom vyzradení alebo podozrení z vyzradenia a prijatých opatreniach</w:t>
            </w:r>
            <w:r w:rsidRPr="00B33030">
              <w:rPr>
                <w:b/>
                <w:i/>
              </w:rPr>
              <w:t xml:space="preserve"> bez zbytočného od</w:t>
            </w:r>
            <w:r w:rsidRPr="00B33030">
              <w:rPr>
                <w:b/>
                <w:i/>
              </w:rPr>
              <w:t>kladu a v každom prípade najneskôr do jedného týždňa po tom, ako bol o porušení informovaný bezpečnostný orgán</w:t>
            </w:r>
            <w:r w:rsidRPr="00B33030">
              <w:t>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28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23 –</w:t>
      </w:r>
      <w:r w:rsidRPr="00B33030">
        <w:t xml:space="preserve"> odsek 3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3.</w:t>
            </w:r>
            <w:r w:rsidRPr="00B33030">
              <w:tab/>
              <w:t>Inštitúcie a orgány Únie môžu akceptovať bezpečnostné previerky tretích krajín a medzinárodných organizácií, s ktorými má Únia uzatvorenú dohodu o bezpečnosti utajovaných skutočností.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3.</w:t>
            </w:r>
            <w:r w:rsidRPr="00B33030">
              <w:tab/>
              <w:t>I</w:t>
            </w:r>
            <w:r w:rsidRPr="00B33030">
              <w:t xml:space="preserve">nštitúcie a orgány Únie môžu akceptovať bezpečnostné previerky tretích krajín a medzinárodných organizácií, s ktorými má Únia uzatvorenú dohodu o bezpečnosti utajovaných skutočností. </w:t>
            </w:r>
            <w:r w:rsidRPr="00B33030">
              <w:rPr>
                <w:b/>
                <w:i/>
              </w:rPr>
              <w:t>V každom prípade zabezpečia dodržiavanie zásad uvedených v odsekoch 1 a 2</w:t>
            </w:r>
            <w:r w:rsidRPr="00B33030">
              <w:rPr>
                <w:b/>
                <w:i/>
              </w:rPr>
              <w:t>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29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32 – odsek 1 – úvodná časť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1.</w:t>
            </w:r>
            <w:r w:rsidRPr="00B33030">
              <w:tab/>
              <w:t>Inštitúcia alebo orgán Únie,</w:t>
            </w:r>
            <w:r w:rsidRPr="00B33030">
              <w:t xml:space="preserve"> v ktorej právomoci sa dokument s utajovanými skutočnosťami EÚ vytvára, má pôvodcovskú kontrolu nad týmto dokumentom. Pôvodca určí stupeň utajenia dokumentu a je zodpovedný za jeho počiatočnú distribúciu. Bez toho, aby bolo dotknuté nariadenie 1049/2001, j</w:t>
            </w:r>
            <w:r w:rsidRPr="00B33030">
              <w:t>e potrebné získať predchádzajúci písomný súhlas pôvodcu predtým, ako sa skutočnosti: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1.</w:t>
            </w:r>
            <w:r w:rsidRPr="00B33030">
              <w:tab/>
              <w:t xml:space="preserve">Inštitúcia alebo orgán Únie, v ktorej právomoci sa dokument s utajovanými skutočnosťami EÚ vytvára, má pôvodcovskú kontrolu nad týmto dokumentom. Pôvodca určí stupeň </w:t>
            </w:r>
            <w:r w:rsidRPr="00B33030">
              <w:t xml:space="preserve">utajenia dokumentu a je zodpovedný za jeho počiatočnú distribúciu. </w:t>
            </w:r>
            <w:r w:rsidRPr="00B33030">
              <w:rPr>
                <w:b/>
                <w:i/>
              </w:rPr>
              <w:t xml:space="preserve">Pôvodca sa môže o stupni utajenia dokumentu s utajovanými skutočnosťami EÚ poradiť s určenými príjemcami, najmä v prípade akýchkoľvek pochybností o dôvernej povahe určitej informácie a jej </w:t>
            </w:r>
            <w:r w:rsidRPr="00B33030">
              <w:rPr>
                <w:b/>
                <w:i/>
              </w:rPr>
              <w:t>primeranom stupni utajenia, aby sa tak zabránilo nadmernému utajeniu takéhoto dokumentu. Na účely počiatočnej distribúcie dokumentu s utajovanými skutočnosťami EÚ pôvodca zohľadní práva a povinnosti príjemcov informácií vyplývajúce zo zmlúv.</w:t>
            </w:r>
            <w:r w:rsidRPr="00B33030">
              <w:t xml:space="preserve"> Bez toho, aby </w:t>
            </w:r>
            <w:r w:rsidRPr="00B33030">
              <w:t>bolo dotknuté nariadenie 1049/2001, je potrebné získať predchádzajúci písomný súhlas pôvodcu predtým, ako sa skutočnosti: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30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</w:t>
      </w:r>
      <w:r w:rsidRPr="00B33030">
        <w:t>lánok 41 – odsek 1 – písmeno f a 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fa)</w:t>
            </w:r>
            <w:r w:rsidRPr="00B33030">
              <w:rPr>
                <w:b/>
                <w:i/>
              </w:rPr>
              <w:tab/>
              <w:t xml:space="preserve">vlastník systému alebo operačný orgán pre informačnú bezpečnosť zabezpečí, aby bol zavedený proces identifikácie a ohlasovania zraniteľností vrátane </w:t>
            </w:r>
            <w:r w:rsidRPr="00B33030">
              <w:rPr>
                <w:b/>
                <w:i/>
              </w:rPr>
              <w:t>prípadných interných a externých odmien za ohlásenie zraniteľnosti, čo by malo byť vo vhodných prípadoch doplnené pravidelnými auditmi a penetračnými testami.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31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</w:t>
      </w:r>
      <w:r w:rsidRPr="00B33030">
        <w:t>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52 – odsek 2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2.</w:t>
            </w:r>
            <w:r w:rsidRPr="00B33030">
              <w:tab/>
              <w:t xml:space="preserve">Podskupina pre zdieľanie a výmenu utajovaných skutočností EÚ sa skladá zo zástupcov Komisie, Rady a Európskej služby pre vonkajšiu činnosť </w:t>
            </w:r>
            <w:r w:rsidRPr="00B33030">
              <w:t>a pracuje na základe konsenzu.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2.</w:t>
            </w:r>
            <w:r w:rsidRPr="00B33030">
              <w:tab/>
              <w:t xml:space="preserve">Podskupina pre zdieľanie a výmenu utajovaných skutočností EÚ sa skladá zo zástupcov </w:t>
            </w:r>
            <w:r w:rsidRPr="00B33030">
              <w:rPr>
                <w:b/>
                <w:i/>
              </w:rPr>
              <w:t xml:space="preserve">Parlamentu, </w:t>
            </w:r>
            <w:r w:rsidRPr="00B33030">
              <w:t xml:space="preserve">Komisie, Rady a Európskej služby pre vonkajšiu činnosť a pracuje na základe konsenzu. </w:t>
            </w:r>
            <w:r w:rsidRPr="00B33030">
              <w:rPr>
                <w:b/>
                <w:i/>
              </w:rPr>
              <w:t>Táto podskupina zabezpečí súčinnosť medz</w:t>
            </w:r>
            <w:r w:rsidRPr="00B33030">
              <w:rPr>
                <w:b/>
                <w:i/>
              </w:rPr>
              <w:t>i potrebou chrániť utajované skutočnosti EÚ a nariadením (ES) č. 1049/2001 a zaistí, aby utajenie samé osebe nebránilo zverejneniu.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32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54 – odsek 1 – písmeno -a (nové)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52304F" w:rsidP="0052304F">
            <w:pPr>
              <w:pStyle w:val="Normal6"/>
              <w:rPr>
                <w:szCs w:val="24"/>
              </w:rPr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rPr>
                <w:b/>
                <w:i/>
              </w:rPr>
              <w:t>-a)</w:t>
            </w:r>
            <w:r w:rsidRPr="00B33030">
              <w:rPr>
                <w:b/>
                <w:i/>
              </w:rPr>
              <w:tab/>
              <w:t xml:space="preserve">existuje právna povinnosť podľa práva Únie alebo medziinštitucionálnej dohody uzavretej medzi inštitúciami Únie; 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52304F" w:rsidRPr="00B33030" w:rsidRDefault="00A11D3C" w:rsidP="0052304F">
      <w:r w:rsidRPr="00B33030">
        <w:rPr>
          <w:rStyle w:val="HideTWBExt"/>
        </w:rPr>
        <w:t>&lt;/Amend&gt;</w:t>
      </w:r>
    </w:p>
    <w:p w:rsidR="0052304F" w:rsidRPr="00B33030" w:rsidRDefault="00A11D3C" w:rsidP="0052304F">
      <w:pPr>
        <w:pStyle w:val="AMNumberTabs0"/>
        <w:keepNext/>
      </w:pPr>
      <w:r w:rsidRPr="00B33030">
        <w:rPr>
          <w:rStyle w:val="HideTWBExt"/>
          <w:b w:val="0"/>
        </w:rPr>
        <w:lastRenderedPageBreak/>
        <w:t>&lt;Amend&gt;</w:t>
      </w:r>
      <w:r w:rsidRPr="00B33030">
        <w:t>Pozmeňujúci návrh</w:t>
      </w:r>
      <w:r w:rsidRPr="00B33030">
        <w:tab/>
      </w:r>
      <w:r w:rsidRPr="00B33030">
        <w:tab/>
      </w:r>
      <w:r w:rsidRPr="00B33030">
        <w:rPr>
          <w:rStyle w:val="HideTWBExt"/>
          <w:b w:val="0"/>
        </w:rPr>
        <w:t>&lt;NumAm&gt;</w:t>
      </w:r>
      <w:r w:rsidRPr="00B33030">
        <w:t>33</w:t>
      </w:r>
      <w:r w:rsidRPr="00B33030">
        <w:rPr>
          <w:rStyle w:val="HideTWBExt"/>
          <w:b w:val="0"/>
        </w:rPr>
        <w:t>&lt;/NumAm&gt;</w:t>
      </w:r>
    </w:p>
    <w:p w:rsidR="0052304F" w:rsidRPr="00B33030" w:rsidRDefault="00A11D3C" w:rsidP="0052304F">
      <w:pPr>
        <w:pStyle w:val="NormalBold12b"/>
        <w:keepNext/>
      </w:pPr>
      <w:r w:rsidRPr="00B33030">
        <w:rPr>
          <w:rStyle w:val="HideTWBExt"/>
          <w:b w:val="0"/>
        </w:rPr>
        <w:t>&lt;DocAmend&gt;</w:t>
      </w:r>
      <w:r w:rsidRPr="00B33030">
        <w:t>Návrh nariadenia</w:t>
      </w:r>
      <w:r w:rsidRPr="00B33030">
        <w:rPr>
          <w:rStyle w:val="HideTWBExt"/>
          <w:b w:val="0"/>
        </w:rPr>
        <w:t>&lt;/DocAmend&gt;</w:t>
      </w:r>
    </w:p>
    <w:p w:rsidR="0052304F" w:rsidRPr="00B33030" w:rsidRDefault="00A11D3C" w:rsidP="0052304F">
      <w:pPr>
        <w:pStyle w:val="NormalBold"/>
      </w:pPr>
      <w:r w:rsidRPr="00B33030">
        <w:rPr>
          <w:rStyle w:val="HideTWBExt"/>
          <w:b w:val="0"/>
        </w:rPr>
        <w:t>&lt;Article&gt;</w:t>
      </w:r>
      <w:r w:rsidRPr="00B33030">
        <w:t>Článok 54 – odsek 1 – písmeno a</w:t>
      </w:r>
      <w:r w:rsidRPr="00B330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0677" w:rsidRPr="00B33030" w:rsidTr="0052304F">
        <w:trPr>
          <w:jc w:val="center"/>
        </w:trPr>
        <w:tc>
          <w:tcPr>
            <w:tcW w:w="9752" w:type="dxa"/>
            <w:gridSpan w:val="2"/>
          </w:tcPr>
          <w:p w:rsidR="0052304F" w:rsidRPr="00B33030" w:rsidRDefault="0052304F" w:rsidP="0052304F">
            <w:pPr>
              <w:keepNext/>
            </w:pP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Text predložený Komisiou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ColumnHeading"/>
              <w:keepNext/>
            </w:pPr>
            <w:r w:rsidRPr="00B33030">
              <w:t>Pozmeňujúci návrh</w:t>
            </w:r>
          </w:p>
        </w:tc>
      </w:tr>
      <w:tr w:rsidR="00090677" w:rsidRPr="00B33030" w:rsidTr="0052304F">
        <w:trPr>
          <w:jc w:val="center"/>
        </w:trPr>
        <w:tc>
          <w:tcPr>
            <w:tcW w:w="4876" w:type="dxa"/>
          </w:tcPr>
          <w:p w:rsidR="0052304F" w:rsidRPr="00B33030" w:rsidRDefault="00A11D3C" w:rsidP="0052304F">
            <w:pPr>
              <w:pStyle w:val="Normal6"/>
            </w:pPr>
            <w:r w:rsidRPr="00B33030">
              <w:t>a)</w:t>
            </w:r>
            <w:r w:rsidRPr="00B33030">
              <w:tab/>
              <w:t>je preukázaná potreba výmeny;</w:t>
            </w:r>
          </w:p>
        </w:tc>
        <w:tc>
          <w:tcPr>
            <w:tcW w:w="4876" w:type="dxa"/>
          </w:tcPr>
          <w:p w:rsidR="0052304F" w:rsidRPr="00B33030" w:rsidRDefault="00A11D3C" w:rsidP="0052304F">
            <w:pPr>
              <w:pStyle w:val="Normal6"/>
              <w:rPr>
                <w:szCs w:val="24"/>
              </w:rPr>
            </w:pPr>
            <w:r w:rsidRPr="00B33030">
              <w:t>a)</w:t>
            </w:r>
            <w:r w:rsidRPr="00B33030">
              <w:tab/>
              <w:t xml:space="preserve">je preukázaná </w:t>
            </w:r>
            <w:r w:rsidRPr="00B33030">
              <w:t>potreba výmeny</w:t>
            </w:r>
            <w:r w:rsidRPr="00B33030">
              <w:rPr>
                <w:b/>
                <w:i/>
              </w:rPr>
              <w:t xml:space="preserve"> v súlade s potrebou poznať</w:t>
            </w:r>
            <w:r w:rsidRPr="00B33030">
              <w:t>;</w:t>
            </w:r>
          </w:p>
        </w:tc>
      </w:tr>
    </w:tbl>
    <w:p w:rsidR="0052304F" w:rsidRPr="00B33030" w:rsidRDefault="00A11D3C" w:rsidP="0052304F">
      <w:pPr>
        <w:pStyle w:val="Olang"/>
        <w:rPr>
          <w:sz w:val="24"/>
          <w:szCs w:val="24"/>
        </w:rPr>
      </w:pPr>
      <w:r w:rsidRPr="00B33030">
        <w:rPr>
          <w:sz w:val="24"/>
          <w:szCs w:val="24"/>
        </w:rPr>
        <w:t xml:space="preserve">Or. </w:t>
      </w:r>
      <w:r w:rsidRPr="00B33030">
        <w:rPr>
          <w:rStyle w:val="HideTWBExt"/>
        </w:rPr>
        <w:t>&lt;Original&gt;</w:t>
      </w:r>
      <w:r w:rsidRPr="00B33030">
        <w:rPr>
          <w:rStyle w:val="HideTWBInt"/>
          <w:sz w:val="24"/>
          <w:szCs w:val="24"/>
        </w:rPr>
        <w:t>{EN}</w:t>
      </w:r>
      <w:r w:rsidRPr="00B33030">
        <w:rPr>
          <w:sz w:val="24"/>
          <w:szCs w:val="24"/>
        </w:rPr>
        <w:t>en</w:t>
      </w:r>
      <w:r w:rsidRPr="00B33030">
        <w:rPr>
          <w:rStyle w:val="HideTWBExt"/>
        </w:rPr>
        <w:t>&lt;/Original&gt;</w:t>
      </w:r>
    </w:p>
    <w:p w:rsidR="002669B6" w:rsidRPr="00B33030" w:rsidRDefault="00A11D3C" w:rsidP="0052304F">
      <w:r w:rsidRPr="00B33030">
        <w:rPr>
          <w:rStyle w:val="HideTWBExt"/>
        </w:rPr>
        <w:t>&lt;/Amend&gt;&lt;/RepeatBlock-Amend&gt;</w:t>
      </w:r>
    </w:p>
    <w:sectPr w:rsidR="002669B6" w:rsidRPr="00B33030" w:rsidSect="00B330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B33030" w:rsidRDefault="00A11D3C">
      <w:r w:rsidRPr="00B33030">
        <w:separator/>
      </w:r>
    </w:p>
  </w:endnote>
  <w:endnote w:type="continuationSeparator" w:id="0">
    <w:p w:rsidR="00000000" w:rsidRPr="00B33030" w:rsidRDefault="00A11D3C">
      <w:r w:rsidRPr="00B330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030" w:rsidRPr="00B33030" w:rsidRDefault="00B33030" w:rsidP="00B33030">
    <w:pPr>
      <w:pStyle w:val="EPFooter"/>
    </w:pPr>
    <w:r w:rsidRPr="00B33030">
      <w:t>PE</w:t>
    </w:r>
    <w:r w:rsidRPr="00B33030">
      <w:rPr>
        <w:rStyle w:val="HideTWBExt"/>
      </w:rPr>
      <w:t>&lt;NoPE&gt;</w:t>
    </w:r>
    <w:r w:rsidRPr="00B33030">
      <w:t>776.837</w:t>
    </w:r>
    <w:r w:rsidRPr="00B33030">
      <w:rPr>
        <w:rStyle w:val="HideTWBExt"/>
      </w:rPr>
      <w:t>&lt;/NoPE&gt;&lt;Version&gt;</w:t>
    </w:r>
    <w:r w:rsidRPr="00B33030">
      <w:t>v01-00</w:t>
    </w:r>
    <w:r w:rsidRPr="00B33030">
      <w:rPr>
        <w:rStyle w:val="HideTWBExt"/>
      </w:rPr>
      <w:t>&lt;/Version&gt;</w:t>
    </w:r>
    <w:r w:rsidRPr="00B33030">
      <w:tab/>
    </w:r>
    <w:r w:rsidRPr="00B33030">
      <w:fldChar w:fldCharType="begin"/>
    </w:r>
    <w:r w:rsidRPr="00B33030">
      <w:instrText xml:space="preserve"> PAGE  \* MERGEFORMAT </w:instrText>
    </w:r>
    <w:r w:rsidRPr="00B33030">
      <w:fldChar w:fldCharType="separate"/>
    </w:r>
    <w:r w:rsidR="00A11D3C">
      <w:rPr>
        <w:noProof/>
      </w:rPr>
      <w:t>2</w:t>
    </w:r>
    <w:r w:rsidRPr="00B33030">
      <w:fldChar w:fldCharType="end"/>
    </w:r>
    <w:r w:rsidRPr="00B33030">
      <w:t>/</w:t>
    </w:r>
    <w:fldSimple w:instr=" NUMPAGES  \* MERGEFORMAT ">
      <w:r w:rsidR="00A11D3C">
        <w:rPr>
          <w:noProof/>
        </w:rPr>
        <w:t>20</w:t>
      </w:r>
    </w:fldSimple>
    <w:r w:rsidRPr="00B33030">
      <w:tab/>
    </w:r>
    <w:r w:rsidRPr="00B33030">
      <w:rPr>
        <w:rStyle w:val="HideTWBExt"/>
      </w:rPr>
      <w:t>&lt;PathFdR&gt;</w:t>
    </w:r>
    <w:r w:rsidRPr="00B33030">
      <w:t>PR\1326826SK.docx</w:t>
    </w:r>
    <w:r w:rsidRPr="00B33030">
      <w:rPr>
        <w:rStyle w:val="HideTWBExt"/>
      </w:rPr>
      <w:t>&lt;/PathFdR&gt;</w:t>
    </w:r>
  </w:p>
  <w:p w:rsidR="005852A4" w:rsidRPr="00B33030" w:rsidRDefault="00B33030" w:rsidP="00B33030">
    <w:pPr>
      <w:pStyle w:val="EPFooter2"/>
    </w:pPr>
    <w:r w:rsidRPr="00B33030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030" w:rsidRPr="00B33030" w:rsidRDefault="00B33030" w:rsidP="00B33030">
    <w:pPr>
      <w:pStyle w:val="EPFooter"/>
    </w:pPr>
    <w:r w:rsidRPr="00B33030">
      <w:rPr>
        <w:rStyle w:val="HideTWBExt"/>
      </w:rPr>
      <w:t>&lt;PathFdR&gt;</w:t>
    </w:r>
    <w:r w:rsidRPr="00B33030">
      <w:t>PR\1326826SK.docx</w:t>
    </w:r>
    <w:r w:rsidRPr="00B33030">
      <w:rPr>
        <w:rStyle w:val="HideTWBExt"/>
      </w:rPr>
      <w:t>&lt;/PathFdR&gt;</w:t>
    </w:r>
    <w:r w:rsidRPr="00B33030">
      <w:tab/>
    </w:r>
    <w:r w:rsidRPr="00B33030">
      <w:fldChar w:fldCharType="begin"/>
    </w:r>
    <w:r w:rsidRPr="00B33030">
      <w:instrText xml:space="preserve"> PAGE  \* MERGEFORMAT </w:instrText>
    </w:r>
    <w:r w:rsidRPr="00B33030">
      <w:fldChar w:fldCharType="separate"/>
    </w:r>
    <w:r w:rsidR="00A11D3C">
      <w:rPr>
        <w:noProof/>
      </w:rPr>
      <w:t>19</w:t>
    </w:r>
    <w:r w:rsidRPr="00B33030">
      <w:fldChar w:fldCharType="end"/>
    </w:r>
    <w:r w:rsidRPr="00B33030">
      <w:t>/</w:t>
    </w:r>
    <w:fldSimple w:instr=" NUMPAGES  \* MERGEFORMAT ">
      <w:r w:rsidR="00A11D3C">
        <w:rPr>
          <w:noProof/>
        </w:rPr>
        <w:t>20</w:t>
      </w:r>
    </w:fldSimple>
    <w:r w:rsidRPr="00B33030">
      <w:tab/>
      <w:t>PE</w:t>
    </w:r>
    <w:r w:rsidRPr="00B33030">
      <w:rPr>
        <w:rStyle w:val="HideTWBExt"/>
      </w:rPr>
      <w:t>&lt;NoPE&gt;</w:t>
    </w:r>
    <w:r w:rsidRPr="00B33030">
      <w:t>776.837</w:t>
    </w:r>
    <w:r w:rsidRPr="00B33030">
      <w:rPr>
        <w:rStyle w:val="HideTWBExt"/>
      </w:rPr>
      <w:t>&lt;/NoPE&gt;&lt;Version&gt;</w:t>
    </w:r>
    <w:r w:rsidRPr="00B33030">
      <w:t>v01-00</w:t>
    </w:r>
    <w:r w:rsidRPr="00B33030">
      <w:rPr>
        <w:rStyle w:val="HideTWBExt"/>
      </w:rPr>
      <w:t>&lt;/Version&gt;</w:t>
    </w:r>
  </w:p>
  <w:p w:rsidR="005852A4" w:rsidRPr="00B33030" w:rsidRDefault="00B33030" w:rsidP="00B33030">
    <w:pPr>
      <w:pStyle w:val="EPFooter2"/>
    </w:pPr>
    <w:r w:rsidRPr="00B33030">
      <w:tab/>
    </w:r>
    <w:r w:rsidRPr="00B33030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030" w:rsidRPr="00B33030" w:rsidRDefault="00B33030" w:rsidP="00B33030">
    <w:pPr>
      <w:pStyle w:val="EPFooter"/>
    </w:pPr>
    <w:r w:rsidRPr="00B33030">
      <w:rPr>
        <w:rStyle w:val="HideTWBExt"/>
      </w:rPr>
      <w:t>&lt;PathFdR&gt;</w:t>
    </w:r>
    <w:r w:rsidRPr="00B33030">
      <w:t>PR\1326826SK.docx</w:t>
    </w:r>
    <w:r w:rsidRPr="00B33030">
      <w:rPr>
        <w:rStyle w:val="HideTWBExt"/>
      </w:rPr>
      <w:t>&lt;/PathFdR&gt;</w:t>
    </w:r>
    <w:r w:rsidRPr="00B33030">
      <w:tab/>
    </w:r>
    <w:r w:rsidRPr="00B33030">
      <w:tab/>
      <w:t>PE</w:t>
    </w:r>
    <w:r w:rsidRPr="00B33030">
      <w:rPr>
        <w:rStyle w:val="HideTWBExt"/>
      </w:rPr>
      <w:t>&lt;NoPE&gt;</w:t>
    </w:r>
    <w:r w:rsidRPr="00B33030">
      <w:t>776.837</w:t>
    </w:r>
    <w:r w:rsidRPr="00B33030">
      <w:rPr>
        <w:rStyle w:val="HideTWBExt"/>
      </w:rPr>
      <w:t>&lt;/NoPE&gt;&lt;Version&gt;</w:t>
    </w:r>
    <w:r w:rsidRPr="00B33030">
      <w:t>v01-00</w:t>
    </w:r>
    <w:r w:rsidRPr="00B33030">
      <w:rPr>
        <w:rStyle w:val="HideTWBExt"/>
      </w:rPr>
      <w:t>&lt;/Version&gt;</w:t>
    </w:r>
  </w:p>
  <w:p w:rsidR="005852A4" w:rsidRPr="00B33030" w:rsidRDefault="00B33030" w:rsidP="00B33030">
    <w:pPr>
      <w:pStyle w:val="EPFooter2"/>
    </w:pPr>
    <w:r w:rsidRPr="00B33030">
      <w:t>SK</w:t>
    </w:r>
    <w:r w:rsidRPr="00B33030">
      <w:tab/>
    </w:r>
    <w:r w:rsidRPr="00B33030">
      <w:rPr>
        <w:b w:val="0"/>
        <w:i/>
        <w:color w:val="C0C0C0"/>
        <w:sz w:val="22"/>
      </w:rPr>
      <w:t>Zjednotení v rozmanitosti</w:t>
    </w:r>
    <w:r w:rsidRPr="00B33030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B33030" w:rsidRDefault="00A11D3C">
      <w:r w:rsidRPr="00B33030">
        <w:separator/>
      </w:r>
    </w:p>
  </w:footnote>
  <w:footnote w:type="continuationSeparator" w:id="0">
    <w:p w:rsidR="00000000" w:rsidRPr="00B33030" w:rsidRDefault="00A11D3C">
      <w:r w:rsidRPr="00B330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3C" w:rsidRDefault="00A11D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3C" w:rsidRDefault="00A11D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3C" w:rsidRDefault="00A11D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MKEY" w:val="LIBE"/>
    <w:docVar w:name="CopyToNetwork" w:val="-1"/>
    <w:docVar w:name="DOCDT" w:val="02/09/2025"/>
    <w:docVar w:name="DOCMNU" w:val=" 1"/>
    <w:docVar w:name="EPSTATMNU" w:val=" 5"/>
    <w:docVar w:name="EVABUDGMNU" w:val=" 1"/>
    <w:docVar w:name="INSTITUTIONSMNU" w:val=" 1"/>
    <w:docVar w:name="JURI1MNU" w:val=" 1"/>
    <w:docVar w:name="JURI2MNU" w:val=" 1"/>
    <w:docVar w:name="LastEditedSection" w:val=" 1"/>
    <w:docVar w:name="OTHERSTATMNU" w:val=" 4"/>
    <w:docVar w:name="PARLIAMENTSMNU" w:val=" 1"/>
    <w:docVar w:name="PARLMNU" w:val=" 1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673\fbidi \froman\fcharset238\fprq2 Cambria Math CE;}{\f674\fbidi \froman\fcharset204\fprq2 Cambria Math Cyr;}_x000d__x000a_{\f676\fbidi \froman\fcharset161\fprq2 Cambria Math Greek;}{\f677\fbidi \froman\fcharset162\fprq2 Cambria Math Tur;}{\f680\fbidi \froman\fcharset186\fprq2 Cambria Math Baltic;}{\f68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038420 HideTWBExt;}{\*\cs18 \additive \v\f1\fs20\cf15 _x000d__x000a_\spriority0 \styrsid15038420 HideTWBInt;}{\s19\ql \li0\ri0\sa120\nowidctlpar\wrapdefault\aspalpha\aspnum\faauto\adjustright\rin0\lin0\itap0 \rtlch\fcs1 \af0\afs20\alang1025 \ltrch\fcs0 \fs24\lang2057\langfe2057\cgrid\langnp2057\langfenp2057 _x000d__x000a_\sbasedon0 \snext19 \spriority0 \styrsid15038420 Normal6a;}{\s20\ql \li0\ri0\nowidctlpar\wrapdefault\aspalpha\aspnum\faauto\adjustright\rin0\lin0\itap0 \rtlch\fcs1 \af0\afs20\alang1025 \ltrch\fcs0 \b\fs24\lang2057\langfe2057\cgrid\langnp2057\langfenp2057 _x000d__x000a_\sbasedon0 \snext20 \spriority0 \styrsid15038420 NormalBold;}{\s21\ql \li0\ri0\sa240\nowidctlpar\wrapdefault\aspalpha\aspnum\faauto\adjustright\rin0\lin0\itap0 \rtlch\fcs1 \af0\afs20\alang1025 \ltrch\fcs0 _x000d__x000a_\i\fs24\lang2057\langfe2057\cgrid\langnp2057\langfenp2057 \sbasedon0 \snext21 \spriority0 \styrsid15038420 AmJustText;}{\s22\qc \li0\ri0\sb240\sa240\nowidctlpar\wrapdefault\aspalpha\aspnum\faauto\adjustright\rin0\lin0\itap0 \rtlch\fcs1 _x000d__x000a_\af0\afs20\alang1025 \ltrch\fcs0 \i\fs24\lang2057\langfe2057\cgrid\langnp2057\langfenp2057 \sbasedon0 \snext22 \spriority0 \styrsid1503842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5038420 AmJustTitle;}{\s24\qr \li0\ri0\sb240\sa240\nowidctlpar\wrapdefault\aspalpha\aspnum\faauto\adjustright\rin0\lin0\itap0 \rtlch\fcs1 \af0\afs20\alang1025 \ltrch\fcs0 _x000d__x000a_\fs24\lang2057\langfe2057\cgrid\langnp2057\langfenp2057 \sbasedon0 \snext24 \spriority0 \styrsid15038420 AmOrLang;}{\s25\qc \li0\ri0\sa240\nowidctlpar\wrapdefault\aspalpha\aspnum\faauto\adjustright\rin0\lin0\itap0 \rtlch\fcs1 \af0\afs20\alang1025 _x000d__x000a_\ltrch\fcs0 \i\fs24\lang2057\langfe2057\cgrid\langnp2057\langfenp2057 \sbasedon0 \snext25 \spriority0 \styrsid1503842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5038420 AmNumberTabs;}{\s27\ql \li0\ri0\sb240\nowidctlpar\wrapdefault\aspalpha\aspnum\faauto\adjustright\rin0\lin0\itap0 \rtlch\fcs1 _x000d__x000a_\af0\afs20\alang1025 \ltrch\fcs0 \b\fs24\lang2057\langfe2057\cgrid\langnp2057\langfenp2057 \sbasedon0 \snext27 \spriority0 \styrsid15038420 NormalBold12b;}}{\*\rsidtbl \rsid24658\rsid223860\rsid735077\rsid1718133\rsid1905212\rsid2892074\rsid3565327_x000d__x000a_\rsid4666813\rsid6641733\rsid7823322\rsid9636012\rsid10377208\rsid11215221\rsid11549030\rsid12154954\rsid14382809\rsid14424199\rsid15038420\rsid15204470\rsid15285974\rsid15950462\rsid16324206\rsid16662270}{\mmathPr\mmathFont34\mbrkBin0\mbrkBinSub0_x000d__x000a_\msmallFrac0\mdispDef1\mlMargin0\mrMargin0\mdefJc1\mwrapIndent1440\mintLim0\mnaryLim1}{\info{\author LECUYER Katarzyna}{\operator LECUYER Katarzyna}{\creatim\yr2025\mo9\dy1\hr11\min59}{\revtim\yr2025\mo9\dy1\hr11\min59}{\version1}{\edmins0}{\nofpages1}_x000d__x000a_{\nofwords104}{\nofchars596}{\nofcharsws699}{\vern11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03842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9052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9052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9052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9052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5038420 \rtlch\fcs1 _x000d__x000a_\af0\afs20\alang1025 \ltrch\fcs0 \b\fs24\lang2057\langfe2057\cgrid\langnp2057\langfenp2057 {\rtlch\fcs1 \af0 \ltrch\fcs0 \cs17\b0\v\fs20\cf9\lang1024\langfe1024\loch\af1\hich\af1\dbch\af31501\noproof\insrsid15038420\charrsid16477461 {\*\bkmkstart restart}_x000d__x000a_\hich\af1\dbch\af31501\loch\f1 &lt;Amend&gt;}{\rtlch\fcs1 \af0 \ltrch\fcs0 \insrsid15038420\charrsid16477461 Amendment\tab \tab }{\rtlch\fcs1 \af0 \ltrch\fcs0 _x000d__x000a_\cs17\b0\v\fs20\cf9\lang1024\langfe1024\loch\af1\hich\af1\dbch\af31501\noproof\insrsid15038420\charrsid16477461 \hich\af1\dbch\af31501\loch\f1 &lt;NumAm&gt;}{\rtlch\fcs1 \af0 \ltrch\fcs0 \insrsid15038420\charrsid16477461 #}{\rtlch\fcs1 \af1 \ltrch\fcs0 _x000d__x000a_\cs18\v\f1\fs20\cf15\insrsid15038420\charrsid16477461 ENMIENDA@NRAM@}{\rtlch\fcs1 \af0 \ltrch\fcs0 \insrsid15038420\charrsid16477461 #}{\rtlch\fcs1 \af0 \ltrch\fcs0 _x000d__x000a_\cs17\b0\v\fs20\cf9\lang1024\langfe1024\loch\af1\hich\af1\dbch\af31501\noproof\insrsid15038420\charrsid16477461 \hich\af1\dbch\af31501\loch\f1 &lt;/NumAm&gt;}{\rtlch\fcs1 \af0 \ltrch\fcs0 \insrsid15038420\charrsid16477461 _x000d__x000a_\par }\pard\plain \ltrpar\s27\ql \li0\ri0\sb240\keepn\nowidctlpar\wrapdefault\aspalpha\aspnum\faauto\adjustright\rin0\lin0\itap0\pararsid15038420 \rtlch\fcs1 \af0\afs20\alang1025 \ltrch\fcs0 \b\fs24\lang2057\langfe2057\cgrid\langnp2057\langfenp2057 {_x000d__x000a_\rtlch\fcs1 \af0 \ltrch\fcs0 \cs17\b0\v\fs20\cf9\lang1024\langfe1024\loch\af1\hich\af1\dbch\af31501\noproof\insrsid15038420\charrsid16477461 \hich\af1\dbch\af31501\loch\f1 &lt;DocAmend&gt;}{\rtlch\fcs1 \af0 \ltrch\fcs0 \insrsid15038420\charrsid16477461 _x000d__x000a_Proposal for a #}{\rtlch\fcs1 \af1 \ltrch\fcs0 \cs18\v\f1\fs20\cf15\insrsid15038420\charrsid16477461 MNU[DOC1][DOC2][DOC3]@DOCMSG@DOCMNU}{\rtlch\fcs1 \af0 \ltrch\fcs0 \insrsid15038420\charrsid16477461 ##}{\rtlch\fcs1 \af1 \ltrch\fcs0 _x000d__x000a_\cs18\v\f1\fs20\cf15\insrsid15038420\charrsid16477461 MNU[AMACTYES][NOTAPP]@CHOICE@AMACTMNU}{\rtlch\fcs1 \af0 \ltrch\fcs0 \insrsid15038420\charrsid16477461 #}{\rtlch\fcs1 \af0 \ltrch\fcs0 _x000d__x000a_\cs17\b0\v\fs20\cf9\lang1024\langfe1024\loch\af1\hich\af1\dbch\af31501\noproof\insrsid15038420\charrsid16477461 \hich\af1\dbch\af31501\loch\f1 &lt;/DocAmend&gt;}{\rtlch\fcs1 \af0 \ltrch\fcs0 \insrsid15038420\charrsid16477461 _x000d__x000a_\par }\pard\plain \ltrpar\s20\ql \li0\ri0\keepn\nowidctlpar\wrapdefault\aspalpha\aspnum\faauto\adjustright\rin0\lin0\itap0\pararsid15038420 \rtlch\fcs1 \af0\afs20\alang1025 \ltrch\fcs0 \b\fs24\lang2057\langfe2057\cgrid\langnp2057\langfenp2057 {\rtlch\fcs1 _x000d__x000a_\af0 \ltrch\fcs0 \cs17\b0\v\fs20\cf9\lang1024\langfe1024\loch\af1\hich\af1\dbch\af31501\noproof\insrsid15038420\charrsid16477461 \hich\af1\dbch\af31501\loch\f1 &lt;Article&gt;}{\rtlch\fcs1 \af0 \ltrch\fcs0 \insrsid15038420\charrsid16477461 #}{\rtlch\fcs1 \af1 _x000d__x000a_\ltrch\fcs0 \cs18\v\f1\fs20\cf15\insrsid15038420\charrsid16477461 MNU[AMACTPARTYES][AMACTPARTNO]@CHOICE@AMACTMNU}{\rtlch\fcs1 \af0 \ltrch\fcs0 \insrsid15038420\charrsid16477461 #}{\rtlch\fcs1 \af0 \ltrch\fcs0 _x000d__x000a_\cs17\b0\v\fs20\cf9\lang1024\langfe1024\loch\af1\hich\af1\dbch\af31501\noproof\insrsid15038420\charrsid16477461 \hich\af1\dbch\af31501\loch\f1 &lt;/Article&gt;}{\rtlch\fcs1 \af0 \ltrch\fcs0 \insrsid15038420\charrsid16477461 _x000d__x000a_\par }\pard\plain \ltrpar\ql \li0\ri0\keepn\widctlpar\wrapdefault\aspalpha\aspnum\faauto\adjustright\rin0\lin0\itap0\pararsid15038420 \rtlch\fcs1 \af0\afs20\alang1025 \ltrch\fcs0 \fs24\lang2057\langfe2057\cgrid\langnp2057\langfenp2057 {\rtlch\fcs1 \af0 _x000d__x000a_\ltrch\fcs0 \cs17\v\fs20\cf9\lang1024\langfe1024\loch\af1\hich\af1\dbch\af31501\noproof\insrsid15038420\charrsid16477461 \hich\af1\dbch\af31501\loch\f1 &lt;DocAmend2&gt;&lt;OptDel&gt;}{\rtlch\fcs1 \af0 \ltrch\fcs0 \insrsid15038420\charrsid16477461 #}{\rtlch\fcs1 _x000d__x000a_\af1 \ltrch\fcs0 \cs18\v\f1\fs20\cf15\insrsid15038420\charrsid16477461 MNU[OPTNRACTYES][NOTAPP]@CHOICE@AMACTMNU}{\rtlch\fcs1 \af0 \ltrch\fcs0 \insrsid15038420\charrsid16477461 #}{\rtlch\fcs1 \af0 \ltrch\fcs0 _x000d__x000a_\cs17\v\fs20\cf9\lang1024\langfe1024\loch\af1\hich\af1\dbch\af31501\noproof\insrsid15038420\charrsid16477461 \hich\af1\dbch\af31501\loch\f1 &lt;/OptDel&gt;&lt;/DocAmend2&gt;}{\rtlch\fcs1 \af0 \ltrch\fcs0 \insrsid15038420\charrsid16477461 _x000d__x000a_\par }\pard \ltrpar\ql \li0\ri0\widctlpar\wrapdefault\aspalpha\aspnum\faauto\adjustright\rin0\lin0\itap0\pararsid15038420 {\rtlch\fcs1 \af0 \ltrch\fcs0 _x000d__x000a_\cs17\v\fs20\cf9\lang1024\langfe1024\loch\af1\hich\af1\dbch\af31501\noproof\insrsid15038420\charrsid16477461 \hich\af1\dbch\af31501\loch\f1 &lt;Article2&gt;&lt;OptDel&gt;}{\rtlch\fcs1 \af0 \ltrch\fcs0 \insrsid15038420\charrsid16477461 #}{\rtlch\fcs1 \af1 \ltrch\fcs0 _x000d__x000a_\cs18\v\f1\fs20\cf15\insrsid15038420\charrsid16477461 MNU[OPTACTPARTYES][NOTAPP]@CHOICE@AMACTMNU}{\rtlch\fcs1 \af0 \ltrch\fcs0 \insrsid15038420\charrsid16477461 #}{\rtlch\fcs1 \af0 \ltrch\fcs0 _x000d__x000a_\cs17\v\fs20\cf9\lang1024\langfe1024\loch\af1\hich\af1\dbch\af31501\noproof\insrsid15038420\charrsid16477461 \hich\af1\dbch\af31501\loch\f1 &lt;/OptDel&gt;&lt;/Article2&gt;}{\rtlch\fcs1 \af0 \ltrch\fcs0 \insrsid15038420\charrsid16477461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15038420\charrsid16477461 \cell }\pard\plain \ltrpar\ql \li0\ri0\widctlpar\intbl\wrapdefault\aspalpha\aspnum\faauto\adjustright\rin0\lin0 _x000d__x000a_\rtlch\fcs1 \af0\afs20\alang1025 \ltrch\fcs0 \fs24\lang2057\langfe2057\cgrid\langnp2057\langfenp2057 {\rtlch\fcs1 \af0 \ltrch\fcs0 \insrsid15038420\charrsid16477461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15038420\charrsid16477461 #}{\rtlch\fcs1 \af1 \ltrch\fcs0 \cs18\v\f1\fs20\cf15\insrsid15038420\charrsid16477461 MNU[OPTLEFTAMACT][LEFTPROP]@CHOICE@AMACTMNU}{\rtlch\fcs1 \af0 \ltrch\fcs0 \insrsid15038420\charrsid16477461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5038420\charrsid16477461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15038420\charrsid16477461 ##\cell ##}{\rtlch\fcs1 \af0\afs24 \ltrch\fcs0 \insrsid15038420\charrsid16477461 \cell }\pard\plain \ltrpar\ql \li0\ri0\widctlpar\intbl\wrapdefault\aspalpha\aspnum\faauto\adjustright\rin0\lin0 \rtlch\fcs1 _x000d__x000a_\af0\afs20\alang1025 \ltrch\fcs0 \fs24\lang2057\langfe2057\cgrid\langnp2057\langfenp2057 {\rtlch\fcs1 \af0 \ltrch\fcs0 \insrsid15038420\charrsid16477461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5038420 \rtlch\fcs1 \af0\afs20\alang1025 \ltrch\fcs0 \fs24\lang2057\langfe2057\cgrid\langnp2057\langfenp2057 {\rtlch\fcs1 \af0 \ltrch\fcs0 _x000d__x000a_\insrsid15038420\charrsid16477461 Or. }{\rtlch\fcs1 \af0 \ltrch\fcs0 \cs17\v\fs20\cf9\lang1024\langfe1024\loch\af1\hich\af1\dbch\af31501\noproof\insrsid15038420\charrsid16477461 \hich\af1\dbch\af31501\loch\f1 &lt;Original&gt;}{\rtlch\fcs1 \af0 \ltrch\fcs0 _x000d__x000a_\insrsid15038420\charrsid16477461 #}{\rtlch\fcs1 \af1 \ltrch\fcs0 \cs18\v\f1\fs20\cf15\insrsid15038420\charrsid16477461 MNU[ORLANGONE][ORLANGMORE]@CHOICE@ORLANGMNU}{\rtlch\fcs1 \af0 \ltrch\fcs0 \insrsid15038420\charrsid16477461 #}{\rtlch\fcs1 \af0 _x000d__x000a_\ltrch\fcs0 \cs17\v\fs20\cf9\lang1024\langfe1024\loch\af1\hich\af1\dbch\af31501\noproof\insrsid15038420\charrsid16477461 \hich\af1\dbch\af31501\loch\f1 &lt;/Original&gt;}{\rtlch\fcs1 \af0 \ltrch\fcs0 \insrsid15038420\charrsid16477461 _x000d__x000a_\par }\pard\plain \ltrpar\s22\qc \li0\ri0\sb240\sa240\nowidctlpar\wrapdefault\aspalpha\aspnum\faauto\adjustright\rin0\lin0\itap0\pararsid15038420 \rtlch\fcs1 \af0\afs20\alang1025 \ltrch\fcs0 \i\fs24\lang2057\langfe2057\cgrid\langnp2057\langfenp2057 {_x000d__x000a_\rtlch\fcs1 \af0 \ltrch\fcs0 \cs17\i0\v\fs20\cf9\lang1024\langfe1024\loch\af1\hich\af1\dbch\af31501\noproof\insrsid15038420\charrsid16477461 \hich\af1\dbch\af31501\loch\f1 &lt;OptDel&gt;}{\rtlch\fcs1 \af0 \ltrch\fcs0 \insrsid15038420\charrsid16477461 #}{_x000d__x000a_\rtlch\fcs1 \af1 \ltrch\fcs0 \cs18\v\f1\fs20\cf15\insrsid15038420\charrsid16477461 MNU[CROSSREFNO][CROSSREFYES]@CHOICE@}{\rtlch\fcs1 \af0 \ltrch\fcs0 \insrsid15038420\charrsid16477461 #}{\rtlch\fcs1 \af0 \ltrch\fcs0 _x000d__x000a_\cs17\i0\v\fs20\cf9\lang1024\langfe1024\loch\af1\hich\af1\dbch\af31501\noproof\insrsid15038420\charrsid16477461 \hich\af1\dbch\af31501\loch\f1 &lt;/OptDel&gt;}{\rtlch\fcs1 \af0 \ltrch\fcs0 \insrsid15038420\charrsid16477461 _x000d__x000a_\par }\pard\plain \ltrpar\s23\qc \li0\ri0\sb240\sa240\keepn\nowidctlpar\wrapdefault\aspalpha\aspnum\faauto\adjustright\rin0\lin0\itap0\pararsid15038420 \rtlch\fcs1 \af0\afs20\alang1025 \ltrch\fcs0 \i\fs24\lang2057\langfe2057\cgrid\langnp2057\langfenp2057 {_x000d__x000a_\rtlch\fcs1 \af0 \ltrch\fcs0 \cs17\i0\v\fs20\cf9\lang1024\langfe1024\loch\af1\hich\af1\dbch\af31501\noproof\insrsid15038420\charrsid16477461 \hich\af1\dbch\af31501\loch\f1 &lt;TitreJust&gt;}{\rtlch\fcs1 \af0 \ltrch\fcs0 \insrsid15038420\charrsid16477461 _x000d__x000a_Justification}{\rtlch\fcs1 \af0 \ltrch\fcs0 \cs17\i0\v\fs20\cf9\lang1024\langfe1024\loch\af1\hich\af1\dbch\af31501\noproof\insrsid15038420\charrsid16477461 \hich\af1\dbch\af31501\loch\f1 &lt;/TitreJust&gt;}{\rtlch\fcs1 \af0 \ltrch\fcs0 _x000d__x000a_\insrsid15038420\charrsid16477461 _x000d__x000a_\par }\pard\plain \ltrpar\s21\ql \li0\ri0\sa240\nowidctlpar\wrapdefault\aspalpha\aspnum\faauto\adjustright\rin0\lin0\itap0\pararsid15038420 \rtlch\fcs1 \af0\afs20\alang1025 \ltrch\fcs0 \i\fs24\lang2057\langfe2057\cgrid\langnp2057\langfenp2057 {\rtlch\fcs1 _x000d__x000a_\af0 \ltrch\fcs0 \cs17\i0\v\fs20\cf9\lang1024\langfe1024\loch\af1\hich\af1\dbch\af31501\noproof\insrsid15038420\charrsid16477461 \hich\af1\dbch\af31501\loch\f1 &lt;OptDelPrev&gt;}{\rtlch\fcs1 \af0 \ltrch\fcs0 \insrsid15038420\charrsid16477461 #}{\rtlch\fcs1 _x000d__x000a_\af1 \ltrch\fcs0 \cs18\v\f1\fs20\cf15\insrsid15038420\charrsid16477461 MNU[TEXTJUSTYES][TEXTJUSTNO]@CHOICE@}{\rtlch\fcs1 \af0 \ltrch\fcs0 \insrsid15038420\charrsid16477461 #}{\rtlch\fcs1 \af0 \ltrch\fcs0 _x000d__x000a_\cs17\i0\v\fs20\cf9\lang1024\langfe1024\loch\af1\hich\af1\dbch\af31501\noproof\insrsid15038420\charrsid16477461 \hich\af1\dbch\af31501\loch\f1 &lt;/OptDelPrev&gt;}{\rtlch\fcs1 \af0 \ltrch\fcs0 \insrsid15038420\charrsid16477461 _x000d__x000a_\par }\pard\plain \ltrpar\ql \li0\ri0\widctlpar\wrapdefault\aspalpha\aspnum\faauto\adjustright\rin0\lin0\itap0\pararsid15038420 \rtlch\fcs1 \af0\afs20\alang1025 \ltrch\fcs0 \fs24\lang2057\langfe2057\cgrid\langnp2057\langfenp2057 {\rtlch\fcs1 \af0 \ltrch\fcs0 _x000d__x000a_\cs17\v\fs20\cf9\lang1024\langfe1024\loch\af1\hich\af1\dbch\af31501\noproof\insrsid15038420\charrsid1647746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7_x000d__x000a_cc24271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26"/>
    <w:docVar w:name="TXTLANGUE" w:val="EN"/>
    <w:docVar w:name="TXTLANGUEMIN" w:val="en"/>
    <w:docVar w:name="TXTNRC" w:val="0121/2022"/>
    <w:docVar w:name="TXTNRCOD" w:val="2022/0084"/>
    <w:docVar w:name="TXTNRCOM" w:val="(2022)0119"/>
    <w:docVar w:name="TXTNRPE" w:val="776.837"/>
    <w:docVar w:name="TXTPEorAP" w:val="PE"/>
    <w:docVar w:name="TXTROUTE" w:val="PR\1326826EN.docx"/>
    <w:docVar w:name="TXTTITLE" w:val="information security in the institutions, bodies, offices and agencies of the Union"/>
    <w:docVar w:name="TXTVERSION" w:val="01-00"/>
  </w:docVars>
  <w:rsids>
    <w:rsidRoot w:val="00FB6D15"/>
    <w:rsid w:val="00011AAB"/>
    <w:rsid w:val="00012351"/>
    <w:rsid w:val="000139E5"/>
    <w:rsid w:val="00020B21"/>
    <w:rsid w:val="00084DD2"/>
    <w:rsid w:val="00084E89"/>
    <w:rsid w:val="00090677"/>
    <w:rsid w:val="000B62B6"/>
    <w:rsid w:val="000B7489"/>
    <w:rsid w:val="000C69E0"/>
    <w:rsid w:val="000F1096"/>
    <w:rsid w:val="00105485"/>
    <w:rsid w:val="00120948"/>
    <w:rsid w:val="00123DD5"/>
    <w:rsid w:val="001277AE"/>
    <w:rsid w:val="00130143"/>
    <w:rsid w:val="00142215"/>
    <w:rsid w:val="00157920"/>
    <w:rsid w:val="001767E2"/>
    <w:rsid w:val="00187008"/>
    <w:rsid w:val="001906CD"/>
    <w:rsid w:val="001B3829"/>
    <w:rsid w:val="001C5592"/>
    <w:rsid w:val="001C5B44"/>
    <w:rsid w:val="001C6FFC"/>
    <w:rsid w:val="001E609D"/>
    <w:rsid w:val="001F7C7C"/>
    <w:rsid w:val="00212B84"/>
    <w:rsid w:val="002346B0"/>
    <w:rsid w:val="00237381"/>
    <w:rsid w:val="00254CB8"/>
    <w:rsid w:val="002667C3"/>
    <w:rsid w:val="002669B6"/>
    <w:rsid w:val="00270611"/>
    <w:rsid w:val="00283C57"/>
    <w:rsid w:val="00290BED"/>
    <w:rsid w:val="002D13EE"/>
    <w:rsid w:val="002E33EE"/>
    <w:rsid w:val="002E51CD"/>
    <w:rsid w:val="002F40BB"/>
    <w:rsid w:val="002F4B02"/>
    <w:rsid w:val="00305CD9"/>
    <w:rsid w:val="00313DB0"/>
    <w:rsid w:val="00323EF8"/>
    <w:rsid w:val="003316DD"/>
    <w:rsid w:val="00363EBC"/>
    <w:rsid w:val="00366A46"/>
    <w:rsid w:val="00370AC3"/>
    <w:rsid w:val="003824EE"/>
    <w:rsid w:val="003A2343"/>
    <w:rsid w:val="003B4689"/>
    <w:rsid w:val="003C2068"/>
    <w:rsid w:val="003C37CF"/>
    <w:rsid w:val="00401196"/>
    <w:rsid w:val="004100B1"/>
    <w:rsid w:val="00426E47"/>
    <w:rsid w:val="00455743"/>
    <w:rsid w:val="00461601"/>
    <w:rsid w:val="0047240C"/>
    <w:rsid w:val="004C0915"/>
    <w:rsid w:val="004D2F9F"/>
    <w:rsid w:val="004D424E"/>
    <w:rsid w:val="004E42C8"/>
    <w:rsid w:val="004E733D"/>
    <w:rsid w:val="004F3FA5"/>
    <w:rsid w:val="0051271F"/>
    <w:rsid w:val="00521F46"/>
    <w:rsid w:val="0052304F"/>
    <w:rsid w:val="00532117"/>
    <w:rsid w:val="00551111"/>
    <w:rsid w:val="00551123"/>
    <w:rsid w:val="00570A6A"/>
    <w:rsid w:val="005852A4"/>
    <w:rsid w:val="00586E50"/>
    <w:rsid w:val="0059395B"/>
    <w:rsid w:val="0059583D"/>
    <w:rsid w:val="005A42D9"/>
    <w:rsid w:val="005C2BEF"/>
    <w:rsid w:val="005D1A99"/>
    <w:rsid w:val="005D7609"/>
    <w:rsid w:val="005D7EE8"/>
    <w:rsid w:val="00642325"/>
    <w:rsid w:val="006A2F5D"/>
    <w:rsid w:val="006C4493"/>
    <w:rsid w:val="006F7907"/>
    <w:rsid w:val="00743189"/>
    <w:rsid w:val="00743D33"/>
    <w:rsid w:val="0077180A"/>
    <w:rsid w:val="007932B3"/>
    <w:rsid w:val="00793EA9"/>
    <w:rsid w:val="007A7C42"/>
    <w:rsid w:val="007D6F68"/>
    <w:rsid w:val="00823E6B"/>
    <w:rsid w:val="00824690"/>
    <w:rsid w:val="00826780"/>
    <w:rsid w:val="00837CCD"/>
    <w:rsid w:val="008403DD"/>
    <w:rsid w:val="00850C6E"/>
    <w:rsid w:val="008573EC"/>
    <w:rsid w:val="00857636"/>
    <w:rsid w:val="008633CC"/>
    <w:rsid w:val="00865190"/>
    <w:rsid w:val="008719B9"/>
    <w:rsid w:val="00894ECE"/>
    <w:rsid w:val="00896BB4"/>
    <w:rsid w:val="008A7FB8"/>
    <w:rsid w:val="009022B8"/>
    <w:rsid w:val="00914537"/>
    <w:rsid w:val="00917CC4"/>
    <w:rsid w:val="00956080"/>
    <w:rsid w:val="0097374F"/>
    <w:rsid w:val="009763DA"/>
    <w:rsid w:val="00982F28"/>
    <w:rsid w:val="009975B3"/>
    <w:rsid w:val="009A216D"/>
    <w:rsid w:val="009B4B93"/>
    <w:rsid w:val="009F24BE"/>
    <w:rsid w:val="009F6C2F"/>
    <w:rsid w:val="009F767A"/>
    <w:rsid w:val="00A11D3C"/>
    <w:rsid w:val="00A22533"/>
    <w:rsid w:val="00A26F46"/>
    <w:rsid w:val="00A34FD3"/>
    <w:rsid w:val="00A36929"/>
    <w:rsid w:val="00A50548"/>
    <w:rsid w:val="00A60EE7"/>
    <w:rsid w:val="00A910C9"/>
    <w:rsid w:val="00AA35B0"/>
    <w:rsid w:val="00AB24BA"/>
    <w:rsid w:val="00AD18C8"/>
    <w:rsid w:val="00AD7FA6"/>
    <w:rsid w:val="00AE4643"/>
    <w:rsid w:val="00AF0416"/>
    <w:rsid w:val="00B10CB4"/>
    <w:rsid w:val="00B13D6F"/>
    <w:rsid w:val="00B144F8"/>
    <w:rsid w:val="00B23B72"/>
    <w:rsid w:val="00B33030"/>
    <w:rsid w:val="00B42702"/>
    <w:rsid w:val="00B57B8B"/>
    <w:rsid w:val="00B72A72"/>
    <w:rsid w:val="00B85407"/>
    <w:rsid w:val="00B95702"/>
    <w:rsid w:val="00BC6489"/>
    <w:rsid w:val="00BD480C"/>
    <w:rsid w:val="00C01F86"/>
    <w:rsid w:val="00C20954"/>
    <w:rsid w:val="00C23324"/>
    <w:rsid w:val="00C42A41"/>
    <w:rsid w:val="00C47E74"/>
    <w:rsid w:val="00C57A72"/>
    <w:rsid w:val="00C73602"/>
    <w:rsid w:val="00CC5C33"/>
    <w:rsid w:val="00CF03B1"/>
    <w:rsid w:val="00CF60C8"/>
    <w:rsid w:val="00D20F43"/>
    <w:rsid w:val="00D30DE2"/>
    <w:rsid w:val="00D32924"/>
    <w:rsid w:val="00D503A3"/>
    <w:rsid w:val="00D94538"/>
    <w:rsid w:val="00DA6ED0"/>
    <w:rsid w:val="00DC5011"/>
    <w:rsid w:val="00E102EB"/>
    <w:rsid w:val="00E171B6"/>
    <w:rsid w:val="00E72695"/>
    <w:rsid w:val="00EB1753"/>
    <w:rsid w:val="00EB6CFF"/>
    <w:rsid w:val="00ED0159"/>
    <w:rsid w:val="00EE3996"/>
    <w:rsid w:val="00F07062"/>
    <w:rsid w:val="00F23CFC"/>
    <w:rsid w:val="00F433E2"/>
    <w:rsid w:val="00F619E9"/>
    <w:rsid w:val="00F8591C"/>
    <w:rsid w:val="00F904AE"/>
    <w:rsid w:val="00F934F8"/>
    <w:rsid w:val="00FB52FE"/>
    <w:rsid w:val="00FB6D15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0A6B51"/>
  <w15:chartTrackingRefBased/>
  <w15:docId w15:val="{412685A2-CB15-4F92-87CB-C0D6C227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52304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2304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2304F"/>
    <w:rPr>
      <w:sz w:val="18"/>
    </w:rPr>
  </w:style>
  <w:style w:type="paragraph" w:customStyle="1" w:styleId="Normal6">
    <w:name w:val="Normal6"/>
    <w:basedOn w:val="Normal"/>
    <w:link w:val="Normal6Char"/>
    <w:rsid w:val="0052304F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52304F"/>
    <w:rPr>
      <w:b/>
      <w:sz w:val="24"/>
    </w:rPr>
  </w:style>
  <w:style w:type="character" w:customStyle="1" w:styleId="Normal6Char">
    <w:name w:val="Normal6 Char"/>
    <w:basedOn w:val="DefaultParagraphFont"/>
    <w:link w:val="Normal6"/>
    <w:rsid w:val="0052304F"/>
    <w:rPr>
      <w:sz w:val="24"/>
      <w:lang w:val="sk-SK"/>
    </w:rPr>
  </w:style>
  <w:style w:type="paragraph" w:customStyle="1" w:styleId="ColumnHeading">
    <w:name w:val="ColumnHeading"/>
    <w:basedOn w:val="Normal"/>
    <w:rsid w:val="0052304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2304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52304F"/>
    <w:pPr>
      <w:jc w:val="right"/>
    </w:pPr>
  </w:style>
  <w:style w:type="paragraph" w:styleId="Footer">
    <w:name w:val="footer"/>
    <w:basedOn w:val="Normal"/>
    <w:link w:val="FooterChar"/>
    <w:semiHidden/>
    <w:rsid w:val="00ED01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D0159"/>
    <w:rPr>
      <w:sz w:val="24"/>
    </w:rPr>
  </w:style>
  <w:style w:type="paragraph" w:styleId="Revision">
    <w:name w:val="Revision"/>
    <w:hidden/>
    <w:uiPriority w:val="99"/>
    <w:semiHidden/>
    <w:rsid w:val="00105485"/>
    <w:rPr>
      <w:sz w:val="24"/>
    </w:rPr>
  </w:style>
  <w:style w:type="character" w:styleId="CommentReference">
    <w:name w:val="annotation reference"/>
    <w:basedOn w:val="DefaultParagraphFont"/>
    <w:rsid w:val="008246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469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469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24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24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8F305-9500-451B-8405-F58991DC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4354</Words>
  <Characters>26998</Characters>
  <Application>Microsoft Office Word</Application>
  <DocSecurity>0</DocSecurity>
  <Lines>1079</Lines>
  <Paragraphs>412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LECUYER Katarzyna</dc:creator>
  <cp:lastModifiedBy>TURZAKOVA Gabriela</cp:lastModifiedBy>
  <cp:revision>2</cp:revision>
  <cp:lastPrinted>2004-11-04T09:41:00Z</cp:lastPrinted>
  <dcterms:created xsi:type="dcterms:W3CDTF">2025-09-16T14:52:00Z</dcterms:created>
  <dcterms:modified xsi:type="dcterms:W3CDTF">2025-09-16T14:52:00Z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1326826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09:42:01)</vt:lpwstr>
  </property>
  <property fmtid="{D5CDD505-2E9C-101B-9397-08002B2CF9AE}" pid="6" name="&lt;ModelTra&gt;">
    <vt:lpwstr>\\eiciBRUpr1\pdocep$\DocEP\TRANSFIL\EN\PR_COD_1amCom.EN(30/09/2024 12:47:01)</vt:lpwstr>
  </property>
  <property fmtid="{D5CDD505-2E9C-101B-9397-08002B2CF9AE}" pid="7" name="&lt;Type&gt;">
    <vt:lpwstr>PR</vt:lpwstr>
  </property>
  <property fmtid="{D5CDD505-2E9C-101B-9397-08002B2CF9AE}" pid="8" name="Created with">
    <vt:lpwstr>10.1.2 Build [20250715]</vt:lpwstr>
  </property>
  <property fmtid="{D5CDD505-2E9C-101B-9397-08002B2CF9AE}" pid="9" name="FooterPath">
    <vt:lpwstr>PR\1326826SK.docx</vt:lpwstr>
  </property>
  <property fmtid="{D5CDD505-2E9C-101B-9397-08002B2CF9AE}" pid="10" name="LastEdited with">
    <vt:lpwstr>10.1.2 Build [20250715]</vt:lpwstr>
  </property>
  <property fmtid="{D5CDD505-2E9C-101B-9397-08002B2CF9AE}" pid="11" name="PE number">
    <vt:lpwstr>776.837</vt:lpwstr>
  </property>
  <property fmtid="{D5CDD505-2E9C-101B-9397-08002B2CF9AE}" pid="12" name="SDLStudio">
    <vt:lpwstr/>
  </property>
  <property fmtid="{D5CDD505-2E9C-101B-9397-08002B2CF9AE}" pid="13" name="SendToEpades">
    <vt:lpwstr>OK - 2025/09/02 16:45</vt:lpwstr>
  </property>
  <property fmtid="{D5CDD505-2E9C-101B-9397-08002B2CF9AE}" pid="14" name="Bookout">
    <vt:lpwstr>OK - 2025/09/16 16:52</vt:lpwstr>
  </property>
</Properties>
</file>