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F70818" w14:paraId="7841AD95" w14:textId="77777777" w:rsidTr="00C85D0F">
        <w:trPr>
          <w:trHeight w:hRule="exact" w:val="1418"/>
        </w:trPr>
        <w:tc>
          <w:tcPr>
            <w:tcW w:w="6804" w:type="dxa"/>
            <w:shd w:val="clear" w:color="auto" w:fill="auto"/>
            <w:vAlign w:val="center"/>
          </w:tcPr>
          <w:p w14:paraId="213F26F4" w14:textId="77777777" w:rsidR="00E0465F" w:rsidRPr="00F70818" w:rsidRDefault="00702918" w:rsidP="00C85D0F">
            <w:pPr>
              <w:pStyle w:val="EPName"/>
            </w:pPr>
            <w:r w:rsidRPr="00F70818">
              <w:t>European Parliament</w:t>
            </w:r>
          </w:p>
          <w:p w14:paraId="0EC61411" w14:textId="77777777" w:rsidR="00E0465F" w:rsidRPr="00F70818" w:rsidRDefault="00DF03BF" w:rsidP="00DF03BF">
            <w:pPr>
              <w:pStyle w:val="EPTerm"/>
            </w:pPr>
            <w:r w:rsidRPr="00F70818">
              <w:t>2024-2029</w:t>
            </w:r>
          </w:p>
        </w:tc>
        <w:tc>
          <w:tcPr>
            <w:tcW w:w="2268" w:type="dxa"/>
            <w:shd w:val="clear" w:color="auto" w:fill="auto"/>
          </w:tcPr>
          <w:p w14:paraId="5FFC9735" w14:textId="77777777" w:rsidR="00E0465F" w:rsidRPr="00F70818" w:rsidRDefault="00E0465F" w:rsidP="00C85D0F">
            <w:pPr>
              <w:pStyle w:val="EPLogo"/>
            </w:pPr>
            <w:r w:rsidRPr="00F70818">
              <w:rPr>
                <w:noProof/>
              </w:rPr>
              <w:drawing>
                <wp:inline distT="0" distB="0" distL="0" distR="0" wp14:anchorId="22E384C2" wp14:editId="0D68DE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AD2B76" w14:textId="77777777" w:rsidR="00404059" w:rsidRPr="00F70818" w:rsidRDefault="00404059" w:rsidP="00404059">
      <w:pPr>
        <w:pStyle w:val="LineTop"/>
      </w:pPr>
    </w:p>
    <w:p w14:paraId="30690AEF" w14:textId="77777777" w:rsidR="00404059" w:rsidRPr="00F70818" w:rsidRDefault="00404059" w:rsidP="00404059">
      <w:pPr>
        <w:pStyle w:val="EPBody"/>
      </w:pPr>
      <w:r w:rsidRPr="00F70818">
        <w:rPr>
          <w:rStyle w:val="HideTWBExt"/>
        </w:rPr>
        <w:t>&lt;</w:t>
      </w:r>
      <w:r w:rsidRPr="00F70818">
        <w:rPr>
          <w:rStyle w:val="HideTWBExt"/>
          <w:i w:val="0"/>
        </w:rPr>
        <w:t>Commission</w:t>
      </w:r>
      <w:r w:rsidRPr="00F70818">
        <w:rPr>
          <w:rStyle w:val="HideTWBExt"/>
        </w:rPr>
        <w:t>&gt;</w:t>
      </w:r>
      <w:r w:rsidR="00DF03BF" w:rsidRPr="00F70818">
        <w:rPr>
          <w:rStyle w:val="HideTWBInt"/>
        </w:rPr>
        <w:t>{LIBE}</w:t>
      </w:r>
      <w:r w:rsidR="00DF03BF" w:rsidRPr="00F70818">
        <w:t>Committee on Civil Liberties, Justice and Home Affairs</w:t>
      </w:r>
      <w:r w:rsidRPr="00F70818">
        <w:rPr>
          <w:rStyle w:val="HideTWBExt"/>
        </w:rPr>
        <w:t>&lt;/</w:t>
      </w:r>
      <w:r w:rsidRPr="00F70818">
        <w:rPr>
          <w:rStyle w:val="HideTWBExt"/>
          <w:i w:val="0"/>
        </w:rPr>
        <w:t>Commission</w:t>
      </w:r>
      <w:r w:rsidRPr="00F70818">
        <w:rPr>
          <w:rStyle w:val="HideTWBExt"/>
        </w:rPr>
        <w:t>&gt;</w:t>
      </w:r>
    </w:p>
    <w:p w14:paraId="48D54E16" w14:textId="77777777" w:rsidR="00404059" w:rsidRPr="00F70818" w:rsidRDefault="00404059" w:rsidP="00404059">
      <w:pPr>
        <w:pStyle w:val="LineBottom"/>
      </w:pPr>
    </w:p>
    <w:p w14:paraId="3A2184F9" w14:textId="77777777" w:rsidR="00C70FF0" w:rsidRPr="00F70818" w:rsidRDefault="00C70FF0">
      <w:pPr>
        <w:pStyle w:val="CoverReference"/>
      </w:pPr>
      <w:r w:rsidRPr="00F70818">
        <w:rPr>
          <w:rStyle w:val="HideTWBExt"/>
          <w:b w:val="0"/>
        </w:rPr>
        <w:t>&lt;RefProc&gt;</w:t>
      </w:r>
      <w:r w:rsidR="00DF03BF" w:rsidRPr="00F70818">
        <w:t>2018/0902R</w:t>
      </w:r>
      <w:r w:rsidRPr="00F70818">
        <w:rPr>
          <w:rStyle w:val="HideTWBExt"/>
          <w:b w:val="0"/>
        </w:rPr>
        <w:t>&lt;/RefProc&gt;&lt;RefTypeProc&gt;</w:t>
      </w:r>
      <w:r w:rsidR="00702918" w:rsidRPr="00F70818">
        <w:t>(</w:t>
      </w:r>
      <w:r w:rsidR="00DF03BF" w:rsidRPr="00F70818">
        <w:t>NLE</w:t>
      </w:r>
      <w:r w:rsidR="00702918" w:rsidRPr="00F70818">
        <w:t>)</w:t>
      </w:r>
      <w:r w:rsidRPr="00F70818">
        <w:rPr>
          <w:rStyle w:val="HideTWBExt"/>
          <w:b w:val="0"/>
        </w:rPr>
        <w:t>&lt;/RefTypeProc&gt;</w:t>
      </w:r>
    </w:p>
    <w:p w14:paraId="32F71C46" w14:textId="77777777" w:rsidR="00C70FF0" w:rsidRPr="00F70818" w:rsidRDefault="00C70FF0">
      <w:pPr>
        <w:pStyle w:val="CoverDate"/>
      </w:pPr>
      <w:r w:rsidRPr="00F70818">
        <w:rPr>
          <w:rStyle w:val="HideTWBExt"/>
        </w:rPr>
        <w:t>&lt;Date&gt;</w:t>
      </w:r>
      <w:r w:rsidR="00DF03BF" w:rsidRPr="00F70818">
        <w:rPr>
          <w:rStyle w:val="HideTWBInt"/>
        </w:rPr>
        <w:t>{15/09/2025}</w:t>
      </w:r>
      <w:r w:rsidR="00DF03BF" w:rsidRPr="00F70818">
        <w:t>15.9.2025</w:t>
      </w:r>
      <w:r w:rsidRPr="00F70818">
        <w:rPr>
          <w:rStyle w:val="HideTWBExt"/>
        </w:rPr>
        <w:t>&lt;/Date&gt;</w:t>
      </w:r>
    </w:p>
    <w:p w14:paraId="4D047EC6" w14:textId="77777777" w:rsidR="00C70FF0" w:rsidRPr="00F70818" w:rsidRDefault="00C70FF0">
      <w:pPr>
        <w:pStyle w:val="CoverDocType24a"/>
      </w:pPr>
      <w:r w:rsidRPr="00F70818">
        <w:rPr>
          <w:rStyle w:val="HideTWBExt"/>
          <w:b w:val="0"/>
        </w:rPr>
        <w:t>&lt;TitreType&gt;</w:t>
      </w:r>
      <w:r w:rsidR="00702918" w:rsidRPr="00F70818">
        <w:t>DRAFT INTERIM REPORT</w:t>
      </w:r>
      <w:r w:rsidRPr="00F70818">
        <w:rPr>
          <w:rStyle w:val="HideTWBExt"/>
          <w:b w:val="0"/>
        </w:rPr>
        <w:t>&lt;/TitreType&gt;</w:t>
      </w:r>
    </w:p>
    <w:p w14:paraId="40804780" w14:textId="77777777" w:rsidR="00C70FF0" w:rsidRPr="00F70818" w:rsidRDefault="00C70FF0">
      <w:pPr>
        <w:pStyle w:val="CoverNormal"/>
      </w:pPr>
      <w:r w:rsidRPr="00F70818">
        <w:rPr>
          <w:rStyle w:val="HideTWBExt"/>
        </w:rPr>
        <w:t>&lt;Titre&gt;</w:t>
      </w:r>
      <w:r w:rsidR="00702918" w:rsidRPr="00F70818">
        <w:t xml:space="preserve">on the </w:t>
      </w:r>
      <w:r w:rsidR="00303492" w:rsidRPr="00F70818">
        <w:t>proposal</w:t>
      </w:r>
      <w:r w:rsidR="00702918" w:rsidRPr="00F70818">
        <w:t xml:space="preserve"> </w:t>
      </w:r>
      <w:r w:rsidR="00DF03BF" w:rsidRPr="00F70818">
        <w:t xml:space="preserve">for a Council decision determining, pursuant to Article 7(1) of the Treaty on European Union, the existence of a clear risk of a serious breach by Hungary of the values on which the Union is founded </w:t>
      </w:r>
      <w:r w:rsidRPr="00F70818">
        <w:rPr>
          <w:rStyle w:val="HideTWBExt"/>
        </w:rPr>
        <w:t>&lt;/Titre&gt;</w:t>
      </w:r>
    </w:p>
    <w:p w14:paraId="1443BD9D" w14:textId="2AD46480" w:rsidR="00C70FF0" w:rsidRPr="00F70818" w:rsidRDefault="00C70FF0">
      <w:pPr>
        <w:pStyle w:val="CoverNormal24a"/>
      </w:pPr>
      <w:r w:rsidRPr="00F70818">
        <w:rPr>
          <w:rStyle w:val="HideTWBExt"/>
        </w:rPr>
        <w:t>&lt;DocRef&gt;</w:t>
      </w:r>
      <w:r w:rsidR="00702918" w:rsidRPr="00F70818">
        <w:t>(</w:t>
      </w:r>
      <w:r w:rsidR="00303492" w:rsidRPr="00F70818">
        <w:t>C9-0000</w:t>
      </w:r>
      <w:r w:rsidR="00DF03BF" w:rsidRPr="00F70818">
        <w:t>/202</w:t>
      </w:r>
      <w:r w:rsidR="00303492" w:rsidRPr="00F70818">
        <w:t>2</w:t>
      </w:r>
      <w:r w:rsidR="00702918" w:rsidRPr="00F70818">
        <w:t xml:space="preserve"> </w:t>
      </w:r>
      <w:r w:rsidR="00DF03BF" w:rsidRPr="00F70818">
        <w:t>–</w:t>
      </w:r>
      <w:r w:rsidR="00702918" w:rsidRPr="00F70818">
        <w:t xml:space="preserve"> </w:t>
      </w:r>
      <w:r w:rsidR="00DF03BF" w:rsidRPr="00F70818">
        <w:t>2018/0902R</w:t>
      </w:r>
      <w:r w:rsidR="00702918" w:rsidRPr="00F70818">
        <w:t>(</w:t>
      </w:r>
      <w:r w:rsidR="00DF03BF" w:rsidRPr="00F70818">
        <w:t>NLE</w:t>
      </w:r>
      <w:r w:rsidR="00702918" w:rsidRPr="00F70818">
        <w:t>))</w:t>
      </w:r>
      <w:r w:rsidR="00AF1AB9" w:rsidRPr="00F70818">
        <w:t xml:space="preserve"> </w:t>
      </w:r>
      <w:r w:rsidRPr="00F70818">
        <w:rPr>
          <w:rStyle w:val="HideTWBExt"/>
        </w:rPr>
        <w:t>&lt;/DocRef&gt;</w:t>
      </w:r>
    </w:p>
    <w:p w14:paraId="05CDE7C9" w14:textId="77777777" w:rsidR="00C70FF0" w:rsidRPr="00F70818" w:rsidRDefault="00C70FF0">
      <w:pPr>
        <w:pStyle w:val="CoverNormal24a"/>
      </w:pPr>
      <w:r w:rsidRPr="00F70818">
        <w:rPr>
          <w:rStyle w:val="HideTWBExt"/>
        </w:rPr>
        <w:t>&lt;Commission&gt;</w:t>
      </w:r>
      <w:r w:rsidR="00DF03BF" w:rsidRPr="00F70818">
        <w:rPr>
          <w:rStyle w:val="HideTWBInt"/>
        </w:rPr>
        <w:t>{LIBE}</w:t>
      </w:r>
      <w:r w:rsidR="00DF03BF" w:rsidRPr="00F70818">
        <w:t>Committee on Civil Liberties, Justice and Home Affairs</w:t>
      </w:r>
      <w:r w:rsidRPr="00F70818">
        <w:rPr>
          <w:rStyle w:val="HideTWBExt"/>
        </w:rPr>
        <w:t>&lt;/Commission&gt;</w:t>
      </w:r>
    </w:p>
    <w:p w14:paraId="4741C2E4" w14:textId="77777777" w:rsidR="00C70FF0" w:rsidRPr="00F70818" w:rsidRDefault="00702918">
      <w:pPr>
        <w:pStyle w:val="CoverNormal24a"/>
        <w:rPr>
          <w:lang w:val="fr-BE"/>
        </w:rPr>
      </w:pPr>
      <w:r w:rsidRPr="00F70818">
        <w:rPr>
          <w:lang w:val="fr-BE"/>
        </w:rPr>
        <w:t>Rapporteur:</w:t>
      </w:r>
      <w:r w:rsidR="00C70FF0" w:rsidRPr="00F70818">
        <w:rPr>
          <w:lang w:val="fr-BE"/>
        </w:rPr>
        <w:t xml:space="preserve"> </w:t>
      </w:r>
      <w:r w:rsidR="00C70FF0" w:rsidRPr="00F70818">
        <w:rPr>
          <w:rStyle w:val="HideTWBExt"/>
          <w:lang w:val="fr-BE"/>
        </w:rPr>
        <w:t>&lt;Depute&gt;</w:t>
      </w:r>
      <w:r w:rsidR="00DF03BF" w:rsidRPr="00F70818">
        <w:rPr>
          <w:lang w:val="fr-BE"/>
        </w:rPr>
        <w:t>Tineke Strik</w:t>
      </w:r>
      <w:r w:rsidR="00C70FF0" w:rsidRPr="00F70818">
        <w:rPr>
          <w:rStyle w:val="HideTWBExt"/>
          <w:lang w:val="fr-BE"/>
        </w:rPr>
        <w:t>&lt;/Depute&gt;</w:t>
      </w:r>
    </w:p>
    <w:p w14:paraId="40DE797F" w14:textId="77777777" w:rsidR="00A67729" w:rsidRPr="00F70818" w:rsidRDefault="00A67729" w:rsidP="00A67729">
      <w:pPr>
        <w:pStyle w:val="CoverNormal"/>
        <w:rPr>
          <w:lang w:val="fr-BE"/>
        </w:rPr>
      </w:pPr>
    </w:p>
    <w:p w14:paraId="31E7E0B8" w14:textId="77777777" w:rsidR="00C70FF0" w:rsidRPr="00F70818" w:rsidRDefault="00C70FF0" w:rsidP="00C70A30">
      <w:pPr>
        <w:rPr>
          <w:lang w:val="fr-BE"/>
        </w:rPr>
      </w:pPr>
      <w:r w:rsidRPr="00F70818">
        <w:rPr>
          <w:lang w:val="fr-BE"/>
        </w:rPr>
        <w:br w:type="page"/>
      </w:r>
      <w:r w:rsidR="00702918" w:rsidRPr="00F70818">
        <w:rPr>
          <w:lang w:val="fr-BE"/>
        </w:rPr>
        <w:lastRenderedPageBreak/>
        <w:t>PR_Consent_Interim</w:t>
      </w:r>
    </w:p>
    <w:p w14:paraId="27A4B5AE" w14:textId="77777777" w:rsidR="00C70FF0" w:rsidRPr="00F70818" w:rsidRDefault="00702918">
      <w:pPr>
        <w:pStyle w:val="TOCHeading"/>
        <w:rPr>
          <w:lang w:val="fr-BE"/>
        </w:rPr>
      </w:pPr>
      <w:r w:rsidRPr="00F70818">
        <w:rPr>
          <w:lang w:val="fr-BE"/>
        </w:rPr>
        <w:t>CONTENTS</w:t>
      </w:r>
    </w:p>
    <w:p w14:paraId="74DAAEF2" w14:textId="77777777" w:rsidR="00C70FF0" w:rsidRPr="00F70818" w:rsidRDefault="00702918">
      <w:pPr>
        <w:pStyle w:val="TOCPage"/>
      </w:pPr>
      <w:r w:rsidRPr="00F70818">
        <w:t>Page</w:t>
      </w:r>
    </w:p>
    <w:p w14:paraId="67756519" w14:textId="2C186EC5" w:rsidR="00280C1A" w:rsidRDefault="000E4683">
      <w:pPr>
        <w:pStyle w:val="TOC1"/>
        <w:tabs>
          <w:tab w:val="right" w:leader="dot" w:pos="9060"/>
        </w:tabs>
        <w:rPr>
          <w:rFonts w:asciiTheme="minorHAnsi" w:eastAsiaTheme="minorEastAsia" w:hAnsiTheme="minorHAnsi" w:cstheme="minorBidi"/>
          <w:noProof/>
          <w:kern w:val="2"/>
          <w:szCs w:val="24"/>
          <w14:ligatures w14:val="standardContextual"/>
        </w:rPr>
      </w:pPr>
      <w:r w:rsidRPr="00F70818">
        <w:rPr>
          <w:b/>
        </w:rPr>
        <w:fldChar w:fldCharType="begin"/>
      </w:r>
      <w:r w:rsidRPr="00F70818">
        <w:rPr>
          <w:b/>
        </w:rPr>
        <w:instrText xml:space="preserve"> TOC \t "PageHeading</w:instrText>
      </w:r>
      <w:r w:rsidR="00E74640" w:rsidRPr="00F70818">
        <w:rPr>
          <w:b/>
        </w:rPr>
        <w:instrText>;</w:instrText>
      </w:r>
      <w:r w:rsidRPr="00F70818">
        <w:rPr>
          <w:b/>
        </w:rPr>
        <w:instrText xml:space="preserve">1" </w:instrText>
      </w:r>
      <w:r w:rsidRPr="00F70818">
        <w:rPr>
          <w:b/>
        </w:rPr>
        <w:fldChar w:fldCharType="separate"/>
      </w:r>
      <w:r w:rsidR="00280C1A">
        <w:rPr>
          <w:noProof/>
        </w:rPr>
        <w:t>MOTION FOR A EUROPEAN PARLIAMENT RESOLUTION</w:t>
      </w:r>
      <w:r w:rsidR="00280C1A">
        <w:rPr>
          <w:noProof/>
        </w:rPr>
        <w:tab/>
      </w:r>
      <w:r w:rsidR="00280C1A">
        <w:rPr>
          <w:noProof/>
        </w:rPr>
        <w:fldChar w:fldCharType="begin"/>
      </w:r>
      <w:r w:rsidR="00280C1A">
        <w:rPr>
          <w:noProof/>
        </w:rPr>
        <w:instrText xml:space="preserve"> PAGEREF _Toc208990470 \h </w:instrText>
      </w:r>
      <w:r w:rsidR="00280C1A">
        <w:rPr>
          <w:noProof/>
        </w:rPr>
      </w:r>
      <w:r w:rsidR="00280C1A">
        <w:rPr>
          <w:noProof/>
        </w:rPr>
        <w:fldChar w:fldCharType="separate"/>
      </w:r>
      <w:r w:rsidR="00280C1A">
        <w:rPr>
          <w:noProof/>
        </w:rPr>
        <w:t>3</w:t>
      </w:r>
      <w:r w:rsidR="00280C1A">
        <w:rPr>
          <w:noProof/>
        </w:rPr>
        <w:fldChar w:fldCharType="end"/>
      </w:r>
    </w:p>
    <w:p w14:paraId="5006C4EB" w14:textId="1DB45E01" w:rsidR="00A67729" w:rsidRPr="00F70818" w:rsidRDefault="000E4683" w:rsidP="004A0754">
      <w:r w:rsidRPr="00F70818">
        <w:rPr>
          <w:b/>
        </w:rPr>
        <w:fldChar w:fldCharType="end"/>
      </w:r>
    </w:p>
    <w:p w14:paraId="2EBD4C08" w14:textId="77777777" w:rsidR="00C70FF0" w:rsidRPr="00F70818" w:rsidRDefault="00C70FF0" w:rsidP="0035103A">
      <w:pPr>
        <w:pStyle w:val="PageHeading"/>
      </w:pPr>
      <w:r w:rsidRPr="00F70818">
        <w:br w:type="page"/>
      </w:r>
      <w:bookmarkStart w:id="0" w:name="_Toc208990470"/>
      <w:r w:rsidR="00702918" w:rsidRPr="00F70818">
        <w:lastRenderedPageBreak/>
        <w:t>MOTION FOR A EUROPEAN PARLIAMENT RESOLUTION</w:t>
      </w:r>
      <w:bookmarkEnd w:id="0"/>
    </w:p>
    <w:p w14:paraId="2F1A8E86" w14:textId="2C5721E1" w:rsidR="00C70FF0" w:rsidRPr="00F70818" w:rsidRDefault="00702918">
      <w:pPr>
        <w:pStyle w:val="NormalBold"/>
      </w:pPr>
      <w:r w:rsidRPr="00F70818">
        <w:t xml:space="preserve">on the </w:t>
      </w:r>
      <w:r w:rsidR="006109D1" w:rsidRPr="00F70818">
        <w:t>proposal</w:t>
      </w:r>
      <w:r w:rsidRPr="00F70818">
        <w:t xml:space="preserve"> </w:t>
      </w:r>
      <w:r w:rsidR="00DF03BF" w:rsidRPr="00F70818">
        <w:t xml:space="preserve">for a Council decision determining, pursuant to Article 7(1) of the Treaty on European Union, the existence of a clear risk of a serious breach by Hungary of the values on which the Union is founded </w:t>
      </w:r>
    </w:p>
    <w:p w14:paraId="28DA6653" w14:textId="77777777" w:rsidR="00C70FF0" w:rsidRPr="00F70818" w:rsidRDefault="00702918" w:rsidP="006909E1">
      <w:pPr>
        <w:pStyle w:val="NormalBold"/>
      </w:pPr>
      <w:r w:rsidRPr="00F70818">
        <w:t>(</w:t>
      </w:r>
      <w:r w:rsidR="00FE4FA5" w:rsidRPr="00F70818">
        <w:t>C9-0000</w:t>
      </w:r>
      <w:r w:rsidR="00DF03BF" w:rsidRPr="00F70818">
        <w:t>/202</w:t>
      </w:r>
      <w:r w:rsidR="00FE4FA5" w:rsidRPr="00F70818">
        <w:t>2</w:t>
      </w:r>
      <w:r w:rsidRPr="00F70818">
        <w:t xml:space="preserve"> </w:t>
      </w:r>
      <w:r w:rsidR="00DF03BF" w:rsidRPr="00F70818">
        <w:t>–</w:t>
      </w:r>
      <w:r w:rsidRPr="00F70818">
        <w:t xml:space="preserve"> </w:t>
      </w:r>
      <w:r w:rsidR="00DF03BF" w:rsidRPr="00F70818">
        <w:t>2018/0902R</w:t>
      </w:r>
      <w:r w:rsidRPr="00F70818">
        <w:t>(</w:t>
      </w:r>
      <w:r w:rsidR="00DF03BF" w:rsidRPr="00F70818">
        <w:t>NLE</w:t>
      </w:r>
      <w:r w:rsidRPr="00F70818">
        <w:t>))</w:t>
      </w:r>
    </w:p>
    <w:p w14:paraId="5D94481B" w14:textId="77777777" w:rsidR="00C70FF0" w:rsidRPr="00F70818" w:rsidRDefault="00702918">
      <w:pPr>
        <w:pStyle w:val="EPComma"/>
      </w:pPr>
      <w:r w:rsidRPr="00F70818">
        <w:rPr>
          <w:i/>
        </w:rPr>
        <w:t>The European Parliament</w:t>
      </w:r>
      <w:r w:rsidRPr="00F70818">
        <w:t>,</w:t>
      </w:r>
    </w:p>
    <w:p w14:paraId="08891FC3" w14:textId="04934398" w:rsidR="00B95C65" w:rsidRPr="00F70818" w:rsidRDefault="00303492" w:rsidP="00B95C65">
      <w:pPr>
        <w:pStyle w:val="NormalHanging12a"/>
      </w:pPr>
      <w:r w:rsidRPr="00F70818">
        <w:t>–</w:t>
      </w:r>
      <w:r w:rsidR="00B95C65" w:rsidRPr="00F70818">
        <w:tab/>
      </w:r>
      <w:r w:rsidRPr="00F70818">
        <w:t>having regard to the Treaty on European Union (TEU), in particular Articles 2, 4(3), 7(1) and 10 thereof,</w:t>
      </w:r>
    </w:p>
    <w:p w14:paraId="4355432F" w14:textId="239F4060" w:rsidR="00B95C65" w:rsidRPr="00F70818" w:rsidRDefault="00303492" w:rsidP="00B95C65">
      <w:pPr>
        <w:pStyle w:val="NormalHanging12a"/>
      </w:pPr>
      <w:r w:rsidRPr="00F70818">
        <w:t>–</w:t>
      </w:r>
      <w:r w:rsidR="00B95C65" w:rsidRPr="00F70818">
        <w:tab/>
      </w:r>
      <w:r w:rsidRPr="00F70818">
        <w:t>having regard to the Charter of Fundamental Rights of the European Union (the Charter),</w:t>
      </w:r>
    </w:p>
    <w:p w14:paraId="322057E3" w14:textId="4CC45997" w:rsidR="00B95C65" w:rsidRPr="00F70818" w:rsidRDefault="00303492" w:rsidP="00B95C65">
      <w:pPr>
        <w:pStyle w:val="NormalHanging12a"/>
      </w:pPr>
      <w:r w:rsidRPr="00F70818">
        <w:t>–</w:t>
      </w:r>
      <w:r w:rsidR="00B95C65" w:rsidRPr="00F70818">
        <w:tab/>
      </w:r>
      <w:r w:rsidRPr="00F70818">
        <w:t>having regard to the European Convention on Human Rights and the protocols thereto,</w:t>
      </w:r>
    </w:p>
    <w:p w14:paraId="15872D71" w14:textId="5C03287C" w:rsidR="00B95C65" w:rsidRPr="00F70818" w:rsidRDefault="00303492" w:rsidP="00B95C65">
      <w:pPr>
        <w:pStyle w:val="NormalHanging12a"/>
      </w:pPr>
      <w:r w:rsidRPr="00F70818">
        <w:t>–</w:t>
      </w:r>
      <w:r w:rsidR="00B95C65" w:rsidRPr="00F70818">
        <w:tab/>
      </w:r>
      <w:r w:rsidRPr="00F70818">
        <w:t>having regard to the Universal Declaration of Human Rights,</w:t>
      </w:r>
    </w:p>
    <w:p w14:paraId="2185B921" w14:textId="0C2F45C9" w:rsidR="00B95C65" w:rsidRPr="00F70818" w:rsidRDefault="00303492" w:rsidP="00B95C65">
      <w:pPr>
        <w:pStyle w:val="NormalHanging12a"/>
      </w:pPr>
      <w:r w:rsidRPr="00F70818">
        <w:t>–</w:t>
      </w:r>
      <w:r w:rsidR="00B95C65" w:rsidRPr="00F70818">
        <w:tab/>
      </w:r>
      <w:r w:rsidRPr="00F70818">
        <w:t>having regard to the international human rights treaties of the United Nations and the Council of Europe,</w:t>
      </w:r>
    </w:p>
    <w:p w14:paraId="2672A109" w14:textId="2F756F61" w:rsidR="00B95C65" w:rsidRPr="00F70818" w:rsidRDefault="00303492" w:rsidP="00B95C65">
      <w:pPr>
        <w:pStyle w:val="NormalHanging12a"/>
        <w:rPr>
          <w:szCs w:val="24"/>
        </w:rPr>
      </w:pPr>
      <w:r w:rsidRPr="00F70818">
        <w:rPr>
          <w:szCs w:val="24"/>
        </w:rPr>
        <w:t>–</w:t>
      </w:r>
      <w:r w:rsidR="00B95C65" w:rsidRPr="00F70818">
        <w:rPr>
          <w:szCs w:val="24"/>
        </w:rPr>
        <w:tab/>
      </w:r>
      <w:r w:rsidRPr="00F70818">
        <w:rPr>
          <w:szCs w:val="24"/>
        </w:rPr>
        <w:t>having regard to Regulation (EU, Euratom) 2020/2092 of the European Parliament and of the Council of 16</w:t>
      </w:r>
      <w:r w:rsidR="00AF1AB9" w:rsidRPr="00F70818">
        <w:rPr>
          <w:szCs w:val="24"/>
        </w:rPr>
        <w:t> </w:t>
      </w:r>
      <w:r w:rsidRPr="00F70818">
        <w:rPr>
          <w:szCs w:val="24"/>
        </w:rPr>
        <w:t>December 2020 on a general regime of conditionality for the protection of the Union budget</w:t>
      </w:r>
      <w:r w:rsidR="00AF1AB9" w:rsidRPr="00F70818">
        <w:rPr>
          <w:rStyle w:val="FootnoteReference"/>
          <w:szCs w:val="24"/>
        </w:rPr>
        <w:footnoteReference w:id="1"/>
      </w:r>
      <w:r w:rsidRPr="00F70818">
        <w:rPr>
          <w:szCs w:val="24"/>
        </w:rPr>
        <w:t xml:space="preserve"> (the Rule of Law Conditionality Regulation),</w:t>
      </w:r>
    </w:p>
    <w:p w14:paraId="7841CF84" w14:textId="473EA12C" w:rsidR="00B95C65" w:rsidRPr="00F70818" w:rsidRDefault="00303492" w:rsidP="00B95C65">
      <w:pPr>
        <w:pStyle w:val="NormalHanging12a"/>
        <w:rPr>
          <w:szCs w:val="24"/>
        </w:rPr>
      </w:pPr>
      <w:r w:rsidRPr="00F70818">
        <w:rPr>
          <w:szCs w:val="24"/>
        </w:rPr>
        <w:t>–</w:t>
      </w:r>
      <w:r w:rsidR="00B95C65" w:rsidRPr="00F70818">
        <w:rPr>
          <w:szCs w:val="24"/>
        </w:rPr>
        <w:tab/>
      </w:r>
      <w:r w:rsidRPr="00F70818">
        <w:rPr>
          <w:szCs w:val="24"/>
        </w:rPr>
        <w:t>having regard to Regulation (EU) 2021/1060 of the European Parliament and of the Council of 24</w:t>
      </w:r>
      <w:r w:rsidR="00AF1AB9" w:rsidRPr="00F70818">
        <w:rPr>
          <w:szCs w:val="24"/>
        </w:rPr>
        <w:t> </w:t>
      </w:r>
      <w:r w:rsidRPr="00F70818">
        <w:rPr>
          <w:szCs w:val="24"/>
        </w:rPr>
        <w:t>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00AF1AB9" w:rsidRPr="00F70818">
        <w:rPr>
          <w:rStyle w:val="FootnoteReference"/>
          <w:szCs w:val="24"/>
        </w:rPr>
        <w:footnoteReference w:id="2"/>
      </w:r>
      <w:r w:rsidRPr="00F70818">
        <w:rPr>
          <w:szCs w:val="24"/>
        </w:rPr>
        <w:t xml:space="preserve"> (the Common Provisions Regulation),</w:t>
      </w:r>
    </w:p>
    <w:p w14:paraId="460780D4" w14:textId="48B9F305" w:rsidR="00B95C65" w:rsidRPr="00F70818" w:rsidRDefault="00303492" w:rsidP="00B95C65">
      <w:pPr>
        <w:pStyle w:val="NormalHanging12a"/>
        <w:rPr>
          <w:szCs w:val="24"/>
        </w:rPr>
      </w:pPr>
      <w:r w:rsidRPr="00F70818">
        <w:rPr>
          <w:szCs w:val="24"/>
        </w:rPr>
        <w:t>–</w:t>
      </w:r>
      <w:r w:rsidR="00B95C65" w:rsidRPr="00F70818">
        <w:rPr>
          <w:szCs w:val="24"/>
        </w:rPr>
        <w:tab/>
      </w:r>
      <w:r w:rsidRPr="00F70818">
        <w:rPr>
          <w:szCs w:val="24"/>
        </w:rPr>
        <w:t>having regard to Regulation (EU) 2021/241 of the European Parliament and of the Council of 12</w:t>
      </w:r>
      <w:r w:rsidR="00AF1AB9" w:rsidRPr="00F70818">
        <w:rPr>
          <w:szCs w:val="24"/>
        </w:rPr>
        <w:t> </w:t>
      </w:r>
      <w:r w:rsidRPr="00F70818">
        <w:rPr>
          <w:szCs w:val="24"/>
        </w:rPr>
        <w:t>February 2021 establishing the Recovery and Resilience Facility</w:t>
      </w:r>
      <w:r w:rsidR="00AF1AB9" w:rsidRPr="00F70818">
        <w:rPr>
          <w:rStyle w:val="FootnoteReference"/>
          <w:szCs w:val="24"/>
        </w:rPr>
        <w:footnoteReference w:id="3"/>
      </w:r>
      <w:r w:rsidRPr="00F70818">
        <w:rPr>
          <w:szCs w:val="24"/>
        </w:rPr>
        <w:t xml:space="preserve"> (</w:t>
      </w:r>
      <w:r w:rsidR="008972B1" w:rsidRPr="00F70818">
        <w:rPr>
          <w:szCs w:val="24"/>
        </w:rPr>
        <w:t xml:space="preserve">the </w:t>
      </w:r>
      <w:r w:rsidRPr="00F70818">
        <w:rPr>
          <w:szCs w:val="24"/>
        </w:rPr>
        <w:t>RRF Regulation),</w:t>
      </w:r>
    </w:p>
    <w:p w14:paraId="21DE0AD7" w14:textId="20ACDF16" w:rsidR="00B95C65" w:rsidRPr="00F70818" w:rsidRDefault="00303492" w:rsidP="00B95C65">
      <w:pPr>
        <w:pStyle w:val="NormalHanging12a"/>
        <w:rPr>
          <w:szCs w:val="24"/>
        </w:rPr>
      </w:pPr>
      <w:r w:rsidRPr="00F70818">
        <w:rPr>
          <w:szCs w:val="24"/>
        </w:rPr>
        <w:t>–</w:t>
      </w:r>
      <w:r w:rsidR="00B95C65" w:rsidRPr="00F70818">
        <w:rPr>
          <w:szCs w:val="24"/>
        </w:rPr>
        <w:tab/>
      </w:r>
      <w:r w:rsidRPr="00F70818">
        <w:rPr>
          <w:szCs w:val="24"/>
        </w:rPr>
        <w:t>having regard to Regulation (EU, Euratom) 2024/2509 of the European Parliament and of the Council of 23</w:t>
      </w:r>
      <w:r w:rsidR="00F82528" w:rsidRPr="00F70818">
        <w:rPr>
          <w:szCs w:val="24"/>
        </w:rPr>
        <w:t> </w:t>
      </w:r>
      <w:r w:rsidRPr="00F70818">
        <w:rPr>
          <w:szCs w:val="24"/>
        </w:rPr>
        <w:t>September 2024 on the financial rules applicable to the general budget of the Union</w:t>
      </w:r>
      <w:r w:rsidR="00F82528" w:rsidRPr="00F70818">
        <w:rPr>
          <w:rStyle w:val="FootnoteReference"/>
          <w:szCs w:val="24"/>
        </w:rPr>
        <w:footnoteReference w:id="4"/>
      </w:r>
      <w:r w:rsidRPr="00F70818">
        <w:rPr>
          <w:szCs w:val="24"/>
        </w:rPr>
        <w:t xml:space="preserve"> (the Financial Regulation),</w:t>
      </w:r>
    </w:p>
    <w:p w14:paraId="24558D88" w14:textId="78FE4913" w:rsidR="00B95C65" w:rsidRPr="00F70818" w:rsidRDefault="00303492" w:rsidP="00B95C65">
      <w:pPr>
        <w:pStyle w:val="NormalHanging12a"/>
      </w:pPr>
      <w:r w:rsidRPr="00F70818">
        <w:t>–</w:t>
      </w:r>
      <w:r w:rsidR="00B95C65" w:rsidRPr="00F70818">
        <w:tab/>
      </w:r>
      <w:r w:rsidRPr="00F70818">
        <w:t xml:space="preserve">having regard to the Rule of Law Checklist adopted by the Venice Commission at its </w:t>
      </w:r>
      <w:r w:rsidRPr="00F70818">
        <w:lastRenderedPageBreak/>
        <w:t>106th plenary session in Venice on 11</w:t>
      </w:r>
      <w:r w:rsidR="00F82528" w:rsidRPr="00F70818">
        <w:t xml:space="preserve"> to </w:t>
      </w:r>
      <w:r w:rsidRPr="00F70818">
        <w:t>12</w:t>
      </w:r>
      <w:r w:rsidR="00F82528" w:rsidRPr="00F70818">
        <w:t> </w:t>
      </w:r>
      <w:r w:rsidRPr="00F70818">
        <w:t>March 2016,</w:t>
      </w:r>
    </w:p>
    <w:p w14:paraId="42C8C4C4" w14:textId="4E464A9F" w:rsidR="00B95C65" w:rsidRPr="00F70818" w:rsidRDefault="00FE4FA5" w:rsidP="00B95C65">
      <w:pPr>
        <w:pStyle w:val="NormalHanging12a"/>
      </w:pPr>
      <w:r w:rsidRPr="00F70818">
        <w:t>–</w:t>
      </w:r>
      <w:r w:rsidR="00B95C65" w:rsidRPr="00F70818">
        <w:tab/>
      </w:r>
      <w:r w:rsidRPr="00F70818">
        <w:t>having regard to its resolution of 12</w:t>
      </w:r>
      <w:r w:rsidR="008972B1" w:rsidRPr="00F70818">
        <w:t> </w:t>
      </w:r>
      <w:r w:rsidRPr="00F70818">
        <w:t>September 2018 on a proposal calling on the Council to determine, pursuant to Article 7(1) of the Treaty on European Union, the existence of a clear risk of a serious breach by Hungary of the values on which the Union is founded</w:t>
      </w:r>
      <w:r w:rsidRPr="00F70818">
        <w:rPr>
          <w:rStyle w:val="FootnoteReference"/>
          <w:bCs/>
          <w:iCs/>
          <w:color w:val="000000"/>
        </w:rPr>
        <w:footnoteReference w:id="5"/>
      </w:r>
      <w:r w:rsidRPr="00F70818">
        <w:t>,</w:t>
      </w:r>
    </w:p>
    <w:p w14:paraId="203A12C4" w14:textId="7C32B35E" w:rsidR="00B95C65" w:rsidRPr="00F70818" w:rsidRDefault="00FE4FA5" w:rsidP="00B95C65">
      <w:pPr>
        <w:pStyle w:val="NormalHanging12a"/>
      </w:pPr>
      <w:r w:rsidRPr="00F70818">
        <w:t>–</w:t>
      </w:r>
      <w:r w:rsidR="00B95C65" w:rsidRPr="00F70818">
        <w:tab/>
      </w:r>
      <w:r w:rsidRPr="00F70818">
        <w:t>having regard to its resolutions of 16</w:t>
      </w:r>
      <w:r w:rsidR="00127015" w:rsidRPr="00F70818">
        <w:t> </w:t>
      </w:r>
      <w:r w:rsidRPr="00F70818">
        <w:t>January 2020</w:t>
      </w:r>
      <w:r w:rsidRPr="00F70818">
        <w:rPr>
          <w:rStyle w:val="FootnoteReference"/>
          <w:bCs/>
          <w:iCs/>
          <w:color w:val="000000"/>
        </w:rPr>
        <w:footnoteReference w:id="6"/>
      </w:r>
      <w:r w:rsidRPr="00F70818">
        <w:t xml:space="preserve"> and 5</w:t>
      </w:r>
      <w:r w:rsidR="00127015" w:rsidRPr="00F70818">
        <w:t> </w:t>
      </w:r>
      <w:r w:rsidRPr="00F70818">
        <w:t>May 2022</w:t>
      </w:r>
      <w:r w:rsidRPr="00F70818">
        <w:rPr>
          <w:rStyle w:val="FootnoteReference"/>
          <w:color w:val="000000"/>
        </w:rPr>
        <w:footnoteReference w:id="7"/>
      </w:r>
      <w:r w:rsidRPr="00F70818">
        <w:t xml:space="preserve"> on ongoing hearings under Article 7(1) of the TEU regarding Poland and Hungary,</w:t>
      </w:r>
    </w:p>
    <w:p w14:paraId="56506A9A" w14:textId="40181F73" w:rsidR="00B95C65" w:rsidRPr="00F70818" w:rsidRDefault="00B95C65" w:rsidP="00B95C65">
      <w:pPr>
        <w:pStyle w:val="NormalHanging12a"/>
      </w:pPr>
      <w:r w:rsidRPr="00F70818">
        <w:t>–</w:t>
      </w:r>
      <w:r w:rsidRPr="00F70818">
        <w:tab/>
      </w:r>
      <w:r w:rsidR="00FE4FA5" w:rsidRPr="00F70818">
        <w:rPr>
          <w:bCs/>
          <w:iCs/>
        </w:rPr>
        <w:t>having regard to its resolution of 10</w:t>
      </w:r>
      <w:r w:rsidR="00127015" w:rsidRPr="00F70818">
        <w:rPr>
          <w:bCs/>
          <w:iCs/>
        </w:rPr>
        <w:t> </w:t>
      </w:r>
      <w:r w:rsidR="00FE4FA5" w:rsidRPr="00F70818">
        <w:rPr>
          <w:bCs/>
          <w:iCs/>
        </w:rPr>
        <w:t>March 2022 on the rule of law and the consequences of the ECJ ruling</w:t>
      </w:r>
      <w:r w:rsidR="00FE4FA5" w:rsidRPr="00F70818">
        <w:rPr>
          <w:rStyle w:val="FootnoteReference"/>
          <w:bCs/>
          <w:iCs/>
          <w:color w:val="000000"/>
        </w:rPr>
        <w:footnoteReference w:id="8"/>
      </w:r>
      <w:r w:rsidR="00FE4FA5" w:rsidRPr="00F70818">
        <w:rPr>
          <w:bCs/>
          <w:iCs/>
        </w:rPr>
        <w:t>,</w:t>
      </w:r>
    </w:p>
    <w:p w14:paraId="06EAB6C3" w14:textId="787B53D1" w:rsidR="00B95C65" w:rsidRPr="00F70818" w:rsidRDefault="00FE4FA5" w:rsidP="00B95C65">
      <w:pPr>
        <w:pStyle w:val="NormalHanging12a"/>
      </w:pPr>
      <w:r w:rsidRPr="00F70818">
        <w:rPr>
          <w:szCs w:val="24"/>
        </w:rPr>
        <w:t>–</w:t>
      </w:r>
      <w:r w:rsidR="00B95C65" w:rsidRPr="00F70818">
        <w:rPr>
          <w:szCs w:val="24"/>
        </w:rPr>
        <w:tab/>
      </w:r>
      <w:r w:rsidRPr="00F70818">
        <w:rPr>
          <w:szCs w:val="24"/>
        </w:rPr>
        <w:t>having regard to its resolution of 15</w:t>
      </w:r>
      <w:r w:rsidR="00127015" w:rsidRPr="00F70818">
        <w:rPr>
          <w:szCs w:val="24"/>
        </w:rPr>
        <w:t> </w:t>
      </w:r>
      <w:r w:rsidRPr="00F70818">
        <w:rPr>
          <w:szCs w:val="24"/>
        </w:rPr>
        <w:t>September 2022 on the proposal for a Council decision determining, pursuant to Article 7(1) of the Treaty on European Union, the existence of a clear risk of a serious breach by Hungary of the values on which the Union is founded</w:t>
      </w:r>
      <w:r w:rsidRPr="00F70818">
        <w:rPr>
          <w:rStyle w:val="FootnoteReference"/>
          <w:bCs/>
          <w:iCs/>
          <w:color w:val="000000"/>
        </w:rPr>
        <w:footnoteReference w:id="9"/>
      </w:r>
      <w:r w:rsidRPr="00F70818">
        <w:rPr>
          <w:szCs w:val="24"/>
        </w:rPr>
        <w:t>,</w:t>
      </w:r>
    </w:p>
    <w:p w14:paraId="346CC6CE" w14:textId="28F9B3BD" w:rsidR="00B95C65" w:rsidRPr="00F70818" w:rsidRDefault="00FE4FA5" w:rsidP="00B95C65">
      <w:pPr>
        <w:pStyle w:val="NormalHanging12a"/>
      </w:pPr>
      <w:r w:rsidRPr="00F70818">
        <w:t>–</w:t>
      </w:r>
      <w:r w:rsidR="00B95C65" w:rsidRPr="00F70818">
        <w:tab/>
      </w:r>
      <w:r w:rsidRPr="00F70818">
        <w:t>having regard to its resolution of 24</w:t>
      </w:r>
      <w:r w:rsidR="00127015" w:rsidRPr="00F70818">
        <w:t> </w:t>
      </w:r>
      <w:r w:rsidRPr="00F70818">
        <w:t>November 2022 on the assessment of Hungary</w:t>
      </w:r>
      <w:r w:rsidR="00F70818">
        <w:t>’</w:t>
      </w:r>
      <w:r w:rsidRPr="00F70818">
        <w:t>s compliance with the rule of law conditions under the Conditionality Regulation and state of play of the Hungarian RRP</w:t>
      </w:r>
      <w:r w:rsidRPr="00F70818">
        <w:rPr>
          <w:rStyle w:val="FootnoteReference"/>
          <w:color w:val="000000"/>
        </w:rPr>
        <w:footnoteReference w:id="10"/>
      </w:r>
      <w:r w:rsidRPr="00F70818">
        <w:t>,</w:t>
      </w:r>
    </w:p>
    <w:p w14:paraId="25C930BC" w14:textId="21614E14" w:rsidR="00B95C65" w:rsidRPr="00F70818" w:rsidRDefault="00FE4FA5" w:rsidP="00B95C65">
      <w:pPr>
        <w:pStyle w:val="NormalHanging12a"/>
      </w:pPr>
      <w:r w:rsidRPr="00F70818">
        <w:t>–</w:t>
      </w:r>
      <w:r w:rsidR="00B95C65" w:rsidRPr="00F70818">
        <w:tab/>
      </w:r>
      <w:r w:rsidRPr="00F70818">
        <w:t>having regard to its resolution of 1</w:t>
      </w:r>
      <w:r w:rsidR="00127015" w:rsidRPr="00F70818">
        <w:t> </w:t>
      </w:r>
      <w:r w:rsidRPr="00F70818">
        <w:t>June 2023 on the breaches of the Rule of Law and fundamental rights in Hungary and frozen EU funds</w:t>
      </w:r>
      <w:r w:rsidRPr="00F70818">
        <w:rPr>
          <w:rStyle w:val="FootnoteReference"/>
          <w:color w:val="000000"/>
        </w:rPr>
        <w:footnoteReference w:id="11"/>
      </w:r>
      <w:r w:rsidRPr="00F70818">
        <w:t>,</w:t>
      </w:r>
    </w:p>
    <w:p w14:paraId="0DE5EC35" w14:textId="2CFD1974" w:rsidR="00B95C65" w:rsidRPr="00F70818" w:rsidRDefault="00FE4FA5" w:rsidP="00B95C65">
      <w:pPr>
        <w:pStyle w:val="NormalHanging12a"/>
      </w:pPr>
      <w:r w:rsidRPr="00F70818">
        <w:t>–</w:t>
      </w:r>
      <w:r w:rsidR="00B95C65" w:rsidRPr="00F70818">
        <w:tab/>
      </w:r>
      <w:r w:rsidRPr="00F70818">
        <w:t>having regard to its resolution of 18</w:t>
      </w:r>
      <w:r w:rsidR="00127015" w:rsidRPr="00F70818">
        <w:t> </w:t>
      </w:r>
      <w:r w:rsidRPr="00F70818">
        <w:t>January 2024 on the situation in Hungary and frozen EU funds</w:t>
      </w:r>
      <w:r w:rsidRPr="00F70818">
        <w:rPr>
          <w:bCs/>
          <w:iCs/>
          <w:vertAlign w:val="superscript"/>
        </w:rPr>
        <w:footnoteReference w:id="12"/>
      </w:r>
      <w:r w:rsidRPr="00F70818">
        <w:t>,</w:t>
      </w:r>
    </w:p>
    <w:p w14:paraId="40B1215D" w14:textId="04C635DC" w:rsidR="00B95C65" w:rsidRPr="00F70818" w:rsidRDefault="00FE4FA5" w:rsidP="00B95C65">
      <w:pPr>
        <w:pStyle w:val="NormalHanging12a"/>
      </w:pPr>
      <w:r w:rsidRPr="00F70818">
        <w:t>–</w:t>
      </w:r>
      <w:r w:rsidR="00B95C65" w:rsidRPr="00F70818">
        <w:tab/>
      </w:r>
      <w:r w:rsidRPr="00F70818">
        <w:t>having regard to its resolution of 24</w:t>
      </w:r>
      <w:r w:rsidR="00127015" w:rsidRPr="00F70818">
        <w:t> </w:t>
      </w:r>
      <w:r w:rsidRPr="00F70818">
        <w:t>April 2024 on ongoing hearings under Article 7(1) TEU regarding Hungary to strengthen the rule of law and its budgetary implications</w:t>
      </w:r>
      <w:r w:rsidRPr="00F70818">
        <w:rPr>
          <w:bCs/>
          <w:iCs/>
          <w:vertAlign w:val="superscript"/>
        </w:rPr>
        <w:footnoteReference w:id="13"/>
      </w:r>
      <w:r w:rsidRPr="00F70818">
        <w:t>,</w:t>
      </w:r>
    </w:p>
    <w:p w14:paraId="1A571A22" w14:textId="242E3113" w:rsidR="00B95C65" w:rsidRPr="00F70818" w:rsidRDefault="00FE4FA5" w:rsidP="00B95C65">
      <w:pPr>
        <w:pStyle w:val="NormalHanging12a"/>
      </w:pPr>
      <w:r w:rsidRPr="00F70818">
        <w:t>–</w:t>
      </w:r>
      <w:r w:rsidR="00B95C65" w:rsidRPr="00F70818">
        <w:tab/>
      </w:r>
      <w:r w:rsidRPr="00F70818">
        <w:t>having regard to the country chapters on Hungary in the Commission</w:t>
      </w:r>
      <w:r w:rsidR="00F70818">
        <w:t>’</w:t>
      </w:r>
      <w:r w:rsidRPr="00F70818">
        <w:t xml:space="preserve">s annual </w:t>
      </w:r>
      <w:r w:rsidR="00272E93" w:rsidRPr="00F70818">
        <w:t>r</w:t>
      </w:r>
      <w:r w:rsidRPr="00F70818">
        <w:t xml:space="preserve">ule of </w:t>
      </w:r>
      <w:r w:rsidR="00272E93" w:rsidRPr="00F70818">
        <w:t>l</w:t>
      </w:r>
      <w:r w:rsidRPr="00F70818">
        <w:t xml:space="preserve">aw </w:t>
      </w:r>
      <w:r w:rsidR="00272E93" w:rsidRPr="00F70818">
        <w:t>r</w:t>
      </w:r>
      <w:r w:rsidRPr="00F70818">
        <w:t>eports,</w:t>
      </w:r>
    </w:p>
    <w:p w14:paraId="7674CA08" w14:textId="5489BB67" w:rsidR="00B95C65" w:rsidRPr="00F70818" w:rsidRDefault="00B95C65" w:rsidP="00B95C65">
      <w:pPr>
        <w:pStyle w:val="NormalHanging12a"/>
      </w:pPr>
      <w:r w:rsidRPr="00F70818">
        <w:t>–</w:t>
      </w:r>
      <w:r w:rsidRPr="00F70818">
        <w:tab/>
      </w:r>
      <w:r w:rsidR="00FE4FA5" w:rsidRPr="00F70818">
        <w:t>having regard to the observations of its Committee on Civil Liberties, Justice and Home Affairs</w:t>
      </w:r>
      <w:r w:rsidR="00F70818">
        <w:t>’</w:t>
      </w:r>
      <w:r w:rsidR="00FE4FA5" w:rsidRPr="00F70818">
        <w:t xml:space="preserve"> fact-finding mission to Hungary from 14 to 16</w:t>
      </w:r>
      <w:r w:rsidR="00272E93" w:rsidRPr="00F70818">
        <w:t> </w:t>
      </w:r>
      <w:r w:rsidR="00FE4FA5" w:rsidRPr="00F70818">
        <w:t>April 2025,</w:t>
      </w:r>
    </w:p>
    <w:p w14:paraId="79390097" w14:textId="500C28D8" w:rsidR="00B95C65" w:rsidRPr="00F70818" w:rsidRDefault="00B95C65" w:rsidP="00B95C65">
      <w:pPr>
        <w:pStyle w:val="NormalHanging12a"/>
      </w:pPr>
      <w:r w:rsidRPr="00F70818">
        <w:t>–</w:t>
      </w:r>
      <w:r w:rsidRPr="00F70818">
        <w:tab/>
      </w:r>
      <w:r w:rsidR="00FE4FA5" w:rsidRPr="00F70818">
        <w:t>having regard to the Commission Decision of 16</w:t>
      </w:r>
      <w:r w:rsidR="00272E93" w:rsidRPr="00F70818">
        <w:t> </w:t>
      </w:r>
      <w:r w:rsidR="00FE4FA5" w:rsidRPr="00F70818">
        <w:t xml:space="preserve">December 2024 pursuant to Article </w:t>
      </w:r>
      <w:r w:rsidR="00FE4FA5" w:rsidRPr="00F70818">
        <w:lastRenderedPageBreak/>
        <w:t>7(2) of Regulation (EU, Euratom) 2020/2092 of the European Parliament and of the Council of 16</w:t>
      </w:r>
      <w:r w:rsidR="008972B1" w:rsidRPr="00F70818">
        <w:t> </w:t>
      </w:r>
      <w:r w:rsidR="00FE4FA5" w:rsidRPr="00F70818">
        <w:t>December 2020 on a general regime of conditionality for the protection of the Union budget, concerning a written notification from Hungary with regard to Article 2(2) of Council Implementing Decision (EU) 2022/2506 of 15 December 2022 (C(2024)9140),</w:t>
      </w:r>
    </w:p>
    <w:p w14:paraId="1292AFFC" w14:textId="79778512" w:rsidR="00C70FF0" w:rsidRPr="00F70818" w:rsidRDefault="00C70FF0">
      <w:pPr>
        <w:pStyle w:val="NormalHanging12a"/>
      </w:pPr>
      <w:r w:rsidRPr="00F70818">
        <w:t>–</w:t>
      </w:r>
      <w:r w:rsidRPr="00F70818">
        <w:tab/>
      </w:r>
      <w:r w:rsidR="00DF03BF" w:rsidRPr="00F70818">
        <w:t>having regard to the draft Council decision (</w:t>
      </w:r>
      <w:r w:rsidR="00FE4FA5" w:rsidRPr="00F70818">
        <w:t>C9-0000</w:t>
      </w:r>
      <w:r w:rsidR="00DF03BF" w:rsidRPr="00F70818">
        <w:t>/202</w:t>
      </w:r>
      <w:r w:rsidR="00FE4FA5" w:rsidRPr="00F70818">
        <w:t>2</w:t>
      </w:r>
      <w:r w:rsidR="00DF03BF" w:rsidRPr="00F70818">
        <w:t>),</w:t>
      </w:r>
    </w:p>
    <w:p w14:paraId="207614F7" w14:textId="77777777" w:rsidR="00C70FF0" w:rsidRPr="00F70818" w:rsidRDefault="00C70FF0">
      <w:pPr>
        <w:pStyle w:val="NormalHanging12a"/>
      </w:pPr>
      <w:r w:rsidRPr="00F70818">
        <w:t>–</w:t>
      </w:r>
      <w:r w:rsidRPr="00F70818">
        <w:tab/>
      </w:r>
      <w:r w:rsidR="00702918" w:rsidRPr="00F70818">
        <w:t>having regard to Rule 107(5) of its Rules of Procedure,</w:t>
      </w:r>
    </w:p>
    <w:p w14:paraId="6D0F06F8" w14:textId="77777777" w:rsidR="00C373E1" w:rsidRPr="00F70818" w:rsidRDefault="00C373E1" w:rsidP="00C373E1">
      <w:pPr>
        <w:pStyle w:val="NormalHanging12a"/>
      </w:pPr>
      <w:r w:rsidRPr="00F70818">
        <w:t>–</w:t>
      </w:r>
      <w:r w:rsidRPr="00F70818">
        <w:tab/>
      </w:r>
      <w:r w:rsidR="00702918" w:rsidRPr="00F70818">
        <w:t xml:space="preserve">having regard to the interim report of the </w:t>
      </w:r>
      <w:r w:rsidR="00DF03BF" w:rsidRPr="00F70818">
        <w:t>Committee on Civil Liberties, Justice and Home Affairs</w:t>
      </w:r>
      <w:r w:rsidR="00702918" w:rsidRPr="00F70818">
        <w:t xml:space="preserve"> (</w:t>
      </w:r>
      <w:r w:rsidR="00DF03BF" w:rsidRPr="00F70818">
        <w:t>A10</w:t>
      </w:r>
      <w:r w:rsidR="00DF03BF" w:rsidRPr="00F70818">
        <w:noBreakHyphen/>
      </w:r>
      <w:r w:rsidR="00702918" w:rsidRPr="00F70818">
        <w:t>0000/</w:t>
      </w:r>
      <w:r w:rsidR="00DF03BF" w:rsidRPr="00F70818">
        <w:t>2025</w:t>
      </w:r>
      <w:r w:rsidR="00702918" w:rsidRPr="00F70818">
        <w:t>),</w:t>
      </w:r>
    </w:p>
    <w:p w14:paraId="426537C9" w14:textId="2842C336" w:rsidR="00B95C65" w:rsidRPr="00F70818" w:rsidRDefault="00BF6178" w:rsidP="00B95C65">
      <w:pPr>
        <w:pStyle w:val="NormalHanging12a"/>
      </w:pPr>
      <w:r w:rsidRPr="00F70818">
        <w:t>A.</w:t>
      </w:r>
      <w:r w:rsidR="00B95C65" w:rsidRPr="00F70818">
        <w:tab/>
      </w:r>
      <w:r w:rsidRPr="00F70818">
        <w:t>whereas the Union is founded on the values of respect for human dignity, freedom, democracy, equality, the rule of law and respect for human rights, including the rights of persons belonging to minorities, as set out in Article 2 TEU and as reflected in the Charter and embedded in international human rights treaties and case</w:t>
      </w:r>
      <w:r w:rsidR="00892EF1" w:rsidRPr="00F70818">
        <w:t>-</w:t>
      </w:r>
      <w:r w:rsidRPr="00F70818">
        <w:t>law</w:t>
      </w:r>
      <w:r w:rsidR="00892EF1" w:rsidRPr="00F70818">
        <w:t>;</w:t>
      </w:r>
      <w:r w:rsidRPr="00F70818">
        <w:t xml:space="preserve"> whereas those values, which are common to the Member States, constitute the foundation of the rights enjoyed by those living in the Union;</w:t>
      </w:r>
    </w:p>
    <w:p w14:paraId="3DA1BC9F" w14:textId="2447C66F" w:rsidR="00B95C65" w:rsidRPr="00F70818" w:rsidRDefault="00BF6178" w:rsidP="00B95C65">
      <w:pPr>
        <w:pStyle w:val="NormalHanging12a"/>
      </w:pPr>
      <w:r w:rsidRPr="00F70818">
        <w:t>B.</w:t>
      </w:r>
      <w:r w:rsidR="00B95C65" w:rsidRPr="00F70818">
        <w:tab/>
      </w:r>
      <w:r w:rsidRPr="00F70818">
        <w:t>whereas as is apparent from Article 49 TEU, which provides for the possibility for any European state to apply to become a member of the European Union, the European</w:t>
      </w:r>
      <w:r w:rsidRPr="00F70818">
        <w:rPr>
          <w:i/>
        </w:rPr>
        <w:t xml:space="preserve"> </w:t>
      </w:r>
      <w:r w:rsidRPr="00F70818">
        <w:t>Union is composed of states which have freely and voluntarily committed themselves to the common values referred to in Article 2 TEU, which respect those values and which undertake to promote them, with EU law being based on the fundamental premise that each Member State shares with all the other Member States, and recognises that those Member States share with it</w:t>
      </w:r>
      <w:r w:rsidR="00892EF1" w:rsidRPr="00F70818">
        <w:t>,</w:t>
      </w:r>
      <w:r w:rsidRPr="00F70818">
        <w:t xml:space="preserve"> those same values; whereas compliance by a Member State with the values enshrined in Article 2 TEU is a condition for the enjoyment of all of the rights deriving from the application of the Treaties to that Member State, and a Member State cannot therefore amend its legislation in such a way as to bring about a reduction in the protection of th</w:t>
      </w:r>
      <w:r w:rsidR="00F52FC4" w:rsidRPr="00F70818">
        <w:t>ose</w:t>
      </w:r>
      <w:r w:rsidRPr="00F70818">
        <w:t xml:space="preserve"> values;</w:t>
      </w:r>
    </w:p>
    <w:p w14:paraId="78CDBC09" w14:textId="3D8DF4D1" w:rsidR="00B95C65" w:rsidRPr="00F70818" w:rsidRDefault="00BF6178" w:rsidP="00B95C65">
      <w:pPr>
        <w:pStyle w:val="NormalHanging12a"/>
      </w:pPr>
      <w:r w:rsidRPr="00F70818">
        <w:t>C.</w:t>
      </w:r>
      <w:r w:rsidR="00B95C65" w:rsidRPr="00F70818">
        <w:tab/>
      </w:r>
      <w:r w:rsidRPr="00F70818">
        <w:rPr>
          <w:szCs w:val="24"/>
        </w:rPr>
        <w:t>whereas the scope of Article 7 TEU is not confined to the obligations under the Treaties, unlike Article 258 of the Treaty on the Functioning of the European Union (TFEU)</w:t>
      </w:r>
      <w:r w:rsidR="00F52FC4" w:rsidRPr="00F70818">
        <w:rPr>
          <w:szCs w:val="24"/>
        </w:rPr>
        <w:t>;</w:t>
      </w:r>
      <w:r w:rsidRPr="00F70818">
        <w:rPr>
          <w:szCs w:val="24"/>
        </w:rPr>
        <w:t xml:space="preserve"> whereas the EU can assess the existence of a clear risk of a serious breach of the common values also in areas falling under Member States</w:t>
      </w:r>
      <w:r w:rsidR="00F70818">
        <w:rPr>
          <w:szCs w:val="24"/>
        </w:rPr>
        <w:t>’</w:t>
      </w:r>
      <w:r w:rsidRPr="00F70818">
        <w:rPr>
          <w:szCs w:val="24"/>
        </w:rPr>
        <w:t xml:space="preserve"> competences</w:t>
      </w:r>
      <w:r w:rsidRPr="00F70818">
        <w:t>;</w:t>
      </w:r>
    </w:p>
    <w:p w14:paraId="12DA04EB" w14:textId="38470BD2" w:rsidR="00B95C65" w:rsidRPr="00F70818" w:rsidRDefault="00BF6178" w:rsidP="00B95C65">
      <w:pPr>
        <w:pStyle w:val="NormalHanging12a"/>
      </w:pPr>
      <w:r w:rsidRPr="00F70818">
        <w:t>D.</w:t>
      </w:r>
      <w:r w:rsidR="00B95C65" w:rsidRPr="00F70818">
        <w:tab/>
      </w:r>
      <w:r w:rsidRPr="00F70818">
        <w:t>whereas for many years</w:t>
      </w:r>
      <w:r w:rsidR="00F00AB8" w:rsidRPr="00F70818">
        <w:t>,</w:t>
      </w:r>
      <w:r w:rsidRPr="00F70818">
        <w:t xml:space="preserve"> the situation in Hungary has not been addressed </w:t>
      </w:r>
      <w:r w:rsidR="003B430E" w:rsidRPr="00F70818">
        <w:t xml:space="preserve">sufficiently </w:t>
      </w:r>
      <w:r w:rsidRPr="00F70818">
        <w:t>and many breaches remain</w:t>
      </w:r>
      <w:r w:rsidR="000815C5" w:rsidRPr="00F70818">
        <w:t>;</w:t>
      </w:r>
      <w:r w:rsidRPr="00F70818">
        <w:t xml:space="preserve"> </w:t>
      </w:r>
      <w:r w:rsidR="000815C5" w:rsidRPr="00F70818">
        <w:t>whereas</w:t>
      </w:r>
      <w:r w:rsidRPr="00F70818">
        <w:t xml:space="preserve"> in the meantime</w:t>
      </w:r>
      <w:r w:rsidR="00F00AB8" w:rsidRPr="00F70818">
        <w:t>,</w:t>
      </w:r>
      <w:r w:rsidRPr="00F70818">
        <w:t xml:space="preserve"> many new issues have arisen, which, in addition to the above</w:t>
      </w:r>
      <w:r w:rsidR="00F00AB8" w:rsidRPr="00F70818">
        <w:t>,</w:t>
      </w:r>
      <w:r w:rsidRPr="00F70818">
        <w:t xml:space="preserve"> </w:t>
      </w:r>
      <w:r w:rsidR="00F00AB8" w:rsidRPr="00F70818">
        <w:t xml:space="preserve">are </w:t>
      </w:r>
      <w:r w:rsidRPr="00F70818">
        <w:t xml:space="preserve">having a negative </w:t>
      </w:r>
      <w:r w:rsidR="003B430E" w:rsidRPr="00F70818">
        <w:t>effect</w:t>
      </w:r>
      <w:r w:rsidRPr="00F70818">
        <w:t xml:space="preserve"> on the </w:t>
      </w:r>
      <w:r w:rsidR="00F00AB8" w:rsidRPr="00F70818">
        <w:t>Union</w:t>
      </w:r>
      <w:r w:rsidR="00F70818">
        <w:t>’</w:t>
      </w:r>
      <w:r w:rsidR="00F00AB8" w:rsidRPr="00F70818">
        <w:t xml:space="preserve">s </w:t>
      </w:r>
      <w:r w:rsidRPr="00F70818">
        <w:t xml:space="preserve">image, as well as its effectiveness and credibility in the defence of fundamental rights, human rights and democracy globally, and </w:t>
      </w:r>
      <w:r w:rsidR="00FF06C9" w:rsidRPr="00F70818">
        <w:t xml:space="preserve">which </w:t>
      </w:r>
      <w:r w:rsidRPr="00F70818">
        <w:t>reveal the need to address them through concerted Union action; whereas the general situation regarding respect for the values enshrined in Article 2 TEU has not improved since 2018, or since the adoption of the 2022 report, but has instead further deteriorated;</w:t>
      </w:r>
    </w:p>
    <w:p w14:paraId="60053379" w14:textId="07B3ABFF" w:rsidR="00BF6178" w:rsidRPr="00F70818" w:rsidRDefault="00BF6178" w:rsidP="00BF6178">
      <w:pPr>
        <w:pStyle w:val="NormalHanging12a"/>
        <w:widowControl/>
        <w:rPr>
          <w:b/>
        </w:rPr>
      </w:pPr>
      <w:r w:rsidRPr="00F70818">
        <w:rPr>
          <w:b/>
          <w:i/>
        </w:rPr>
        <w:t>Functioning of the constitutional and electoral system</w:t>
      </w:r>
    </w:p>
    <w:p w14:paraId="7A4BA03A" w14:textId="5F4D5C2B" w:rsidR="00B95C65" w:rsidRPr="00F70818" w:rsidRDefault="00BF6178" w:rsidP="00B95C65">
      <w:pPr>
        <w:pStyle w:val="NormalHanging12a"/>
      </w:pPr>
      <w:r w:rsidRPr="00F70818">
        <w:t>E.</w:t>
      </w:r>
      <w:r w:rsidR="00B95C65" w:rsidRPr="00F70818">
        <w:tab/>
      </w:r>
      <w:r w:rsidRPr="00F70818">
        <w:t>whereas on 23</w:t>
      </w:r>
      <w:r w:rsidR="00F204A7" w:rsidRPr="00F70818">
        <w:t> </w:t>
      </w:r>
      <w:r w:rsidRPr="00F70818">
        <w:t xml:space="preserve">June 2025, in its report </w:t>
      </w:r>
      <w:r w:rsidR="006109D1" w:rsidRPr="00F70818">
        <w:t xml:space="preserve">on </w:t>
      </w:r>
      <w:r w:rsidR="003B430E" w:rsidRPr="00F70818">
        <w:t xml:space="preserve">its </w:t>
      </w:r>
      <w:r w:rsidRPr="00F70818">
        <w:t>mission to Budapest</w:t>
      </w:r>
      <w:r w:rsidR="003B430E" w:rsidRPr="00F70818">
        <w:t>,</w:t>
      </w:r>
      <w:r w:rsidRPr="00F70818">
        <w:t xml:space="preserve"> the Committee on </w:t>
      </w:r>
      <w:r w:rsidRPr="00F70818">
        <w:lastRenderedPageBreak/>
        <w:t xml:space="preserve">Civil Liberties, Justice and Home Affairs expressed concerns about the continued rule by decree under the so-called </w:t>
      </w:r>
      <w:r w:rsidR="00F70818">
        <w:t>‘</w:t>
      </w:r>
      <w:r w:rsidRPr="00F70818">
        <w:t>state of danger</w:t>
      </w:r>
      <w:r w:rsidR="00F70818">
        <w:t>’</w:t>
      </w:r>
      <w:r w:rsidRPr="00F70818">
        <w:t xml:space="preserve">, first </w:t>
      </w:r>
      <w:r w:rsidR="00430EA0" w:rsidRPr="00F70818">
        <w:t>because of</w:t>
      </w:r>
      <w:r w:rsidRPr="00F70818">
        <w:t xml:space="preserve"> </w:t>
      </w:r>
      <w:r w:rsidR="00310BC6" w:rsidRPr="00F70818">
        <w:t>COVID</w:t>
      </w:r>
      <w:r w:rsidRPr="00F70818">
        <w:t xml:space="preserve">-19, then </w:t>
      </w:r>
      <w:r w:rsidR="00430EA0" w:rsidRPr="00F70818">
        <w:t>because of</w:t>
      </w:r>
      <w:r w:rsidRPr="00F70818">
        <w:t xml:space="preserve"> the Russian invasion </w:t>
      </w:r>
      <w:r w:rsidR="00310BC6" w:rsidRPr="00F70818">
        <w:t xml:space="preserve">of </w:t>
      </w:r>
      <w:r w:rsidRPr="00F70818">
        <w:t>Ukraine, which would allow the government to suspend the application of certain laws, diverge from legal provisions and introduce other emergency measures;</w:t>
      </w:r>
      <w:r w:rsidR="00B95C65" w:rsidRPr="00F70818">
        <w:t xml:space="preserve"> </w:t>
      </w:r>
      <w:r w:rsidR="00310BC6" w:rsidRPr="00F70818">
        <w:t xml:space="preserve">whereas it expressed further concerns about </w:t>
      </w:r>
      <w:r w:rsidRPr="00F70818">
        <w:t>the speed of constitutional and legislative changes, including the continued use of accelerated legislative procedures and the lack of public debate and consultation of stakeholders</w:t>
      </w:r>
      <w:r w:rsidR="00310BC6" w:rsidRPr="00F70818">
        <w:t xml:space="preserve">, </w:t>
      </w:r>
      <w:r w:rsidRPr="00F70818">
        <w:t>the apparent lack of transparency and absence of parliamentary oversight on public finances</w:t>
      </w:r>
      <w:r w:rsidR="00310BC6" w:rsidRPr="00F70818">
        <w:t>,</w:t>
      </w:r>
      <w:r w:rsidRPr="00F70818">
        <w:t xml:space="preserve"> the ongoing hostile political climate characteri</w:t>
      </w:r>
      <w:r w:rsidR="00AF1AB9" w:rsidRPr="00F70818">
        <w:t>s</w:t>
      </w:r>
      <w:r w:rsidRPr="00F70818">
        <w:t>ed by smear campaigns, surveillance and online and physical intimidation</w:t>
      </w:r>
      <w:r w:rsidR="00310BC6" w:rsidRPr="00F70818">
        <w:t>,</w:t>
      </w:r>
      <w:r w:rsidRPr="00F70818">
        <w:t xml:space="preserve"> </w:t>
      </w:r>
      <w:r w:rsidR="00D52E0E" w:rsidRPr="00F70818">
        <w:t xml:space="preserve">and </w:t>
      </w:r>
      <w:r w:rsidRPr="00F70818">
        <w:t>the growing polarising narrative by political actors using aggressive rhetoric, for example</w:t>
      </w:r>
      <w:r w:rsidR="00310BC6" w:rsidRPr="00F70818">
        <w:t>,</w:t>
      </w:r>
      <w:r w:rsidRPr="00F70818">
        <w:t xml:space="preserve"> calling critical actors </w:t>
      </w:r>
      <w:r w:rsidR="00310BC6" w:rsidRPr="00F70818">
        <w:t>–</w:t>
      </w:r>
      <w:r w:rsidRPr="00F70818">
        <w:t xml:space="preserve"> including judges, media and</w:t>
      </w:r>
      <w:r w:rsidR="00310BC6" w:rsidRPr="00F70818">
        <w:t xml:space="preserve"> non-governmental organisations</w:t>
      </w:r>
      <w:r w:rsidRPr="00F70818">
        <w:t xml:space="preserve"> </w:t>
      </w:r>
      <w:r w:rsidR="00310BC6" w:rsidRPr="00F70818">
        <w:t>(</w:t>
      </w:r>
      <w:r w:rsidRPr="00F70818">
        <w:t>NGOs</w:t>
      </w:r>
      <w:r w:rsidR="00310BC6" w:rsidRPr="00F70818">
        <w:t>)</w:t>
      </w:r>
      <w:r w:rsidRPr="00F70818">
        <w:t xml:space="preserve"> </w:t>
      </w:r>
      <w:r w:rsidR="00310BC6" w:rsidRPr="00F70818">
        <w:t>–</w:t>
      </w:r>
      <w:r w:rsidRPr="00F70818">
        <w:t xml:space="preserve"> </w:t>
      </w:r>
      <w:r w:rsidR="00F70818">
        <w:t>‘</w:t>
      </w:r>
      <w:r w:rsidRPr="00F70818">
        <w:t>bedbugs to be eliminated</w:t>
      </w:r>
      <w:r w:rsidR="00F70818">
        <w:t>’</w:t>
      </w:r>
      <w:r w:rsidRPr="00F70818">
        <w:t>, hence fuelling hostility and undermining checks and balances</w:t>
      </w:r>
      <w:r w:rsidR="00881998" w:rsidRPr="00F70818">
        <w:t>;</w:t>
      </w:r>
      <w:r w:rsidR="00B95C65" w:rsidRPr="00F70818">
        <w:t xml:space="preserve"> </w:t>
      </w:r>
      <w:r w:rsidR="00881998" w:rsidRPr="00F70818">
        <w:t>whereas it expressed further concern</w:t>
      </w:r>
      <w:r w:rsidR="009B7BFB" w:rsidRPr="00F70818">
        <w:t>s</w:t>
      </w:r>
      <w:r w:rsidR="00881998" w:rsidRPr="00F70818">
        <w:t xml:space="preserve"> about </w:t>
      </w:r>
      <w:r w:rsidRPr="00F70818">
        <w:t>recent changes to the electoral legal framework introducing redistricting with potentially direct implications for electoral fairness</w:t>
      </w:r>
      <w:r w:rsidR="00AF6570" w:rsidRPr="00F70818">
        <w:t>,</w:t>
      </w:r>
      <w:r w:rsidRPr="00F70818">
        <w:t xml:space="preserve"> draft legislation putting cities with budget deficits under heightened budgetary supervision, with the risk of undermining the financial and operational independence of cities</w:t>
      </w:r>
      <w:r w:rsidR="00AF6570" w:rsidRPr="00F70818">
        <w:t>,</w:t>
      </w:r>
      <w:r w:rsidRPr="00F70818">
        <w:t xml:space="preserve"> alleged political bias, lack of transparency and potential conflicts of interest affecting the Hungarian State Audit Office (ÁSZ)</w:t>
      </w:r>
      <w:r w:rsidR="00AF6570" w:rsidRPr="00F70818">
        <w:t>,</w:t>
      </w:r>
      <w:r w:rsidRPr="00F70818">
        <w:t xml:space="preserve"> the perceived lack of effective protection of fundamental rights since the </w:t>
      </w:r>
      <w:r w:rsidR="003B430E" w:rsidRPr="00F70818">
        <w:t>abolition</w:t>
      </w:r>
      <w:r w:rsidRPr="00F70818">
        <w:t xml:space="preserve"> in 2021 of the Equal Treatment Authority and the ineffective role of the Ombudsman</w:t>
      </w:r>
      <w:r w:rsidR="00F70818">
        <w:t>’</w:t>
      </w:r>
      <w:r w:rsidRPr="00F70818">
        <w:t>s Office, which would leave victims, including LGBTIQ+ persons, without recourse;</w:t>
      </w:r>
    </w:p>
    <w:p w14:paraId="1D4C6A14" w14:textId="55258460" w:rsidR="00BF6178" w:rsidRPr="00F70818" w:rsidRDefault="00BF6178" w:rsidP="00B95C65">
      <w:pPr>
        <w:pStyle w:val="NormalHanging12a"/>
      </w:pPr>
      <w:r w:rsidRPr="00F70818">
        <w:t>F.</w:t>
      </w:r>
      <w:r w:rsidR="00B95C65" w:rsidRPr="00F70818">
        <w:tab/>
      </w:r>
      <w:r w:rsidRPr="00F70818">
        <w:t>whereas on 8</w:t>
      </w:r>
      <w:r w:rsidR="00772517" w:rsidRPr="00F70818">
        <w:t> </w:t>
      </w:r>
      <w:r w:rsidRPr="00F70818">
        <w:t xml:space="preserve">July 2025, the Commission indicated in the country chapter on Hungary </w:t>
      </w:r>
      <w:r w:rsidR="00772517" w:rsidRPr="00F70818">
        <w:t xml:space="preserve">in its </w:t>
      </w:r>
      <w:r w:rsidRPr="00F70818">
        <w:t>2025 Rule of Law Report that the lawmaking process remains a serious source of concern, with certain important legislative processes not being linked to public consultation requirements; whereas according to the report, stakeholders reported that draft pieces of legislation are only open to the statutory eight-day consultation period, without meaningful feedback being provided; whereas they further noted that significant legislative changes are often adopted without genuine public consultation or parliamentary debate, as the Government tends to present bills with only technical amendments</w:t>
      </w:r>
      <w:r w:rsidR="00772517" w:rsidRPr="00F70818">
        <w:t>,</w:t>
      </w:r>
      <w:r w:rsidRPr="00F70818">
        <w:t xml:space="preserve"> which are then, following a purely formal process, supplemented with entirely new provisions introduced at the Committee on Legislation stage just before the final vote in</w:t>
      </w:r>
      <w:r w:rsidR="00772517" w:rsidRPr="00F70818">
        <w:t xml:space="preserve"> the Hungarian</w:t>
      </w:r>
      <w:r w:rsidRPr="00F70818">
        <w:t xml:space="preserve"> Parliament; whereas the frequent changes and low quality of legislation have also raised concerns among businesses regarding the effectiveness of investment protection in Hungary;</w:t>
      </w:r>
    </w:p>
    <w:tbl>
      <w:tblPr>
        <w:tblW w:w="5000" w:type="pct"/>
        <w:shd w:val="clear" w:color="auto" w:fill="FFFFFF"/>
        <w:tblCellMar>
          <w:left w:w="0" w:type="dxa"/>
          <w:right w:w="0" w:type="dxa"/>
        </w:tblCellMar>
        <w:tblLook w:val="04A0" w:firstRow="1" w:lastRow="0" w:firstColumn="1" w:lastColumn="0" w:noHBand="0" w:noVBand="1"/>
      </w:tblPr>
      <w:tblGrid>
        <w:gridCol w:w="9070"/>
      </w:tblGrid>
      <w:tr w:rsidR="00BF6178" w:rsidRPr="00F70818" w14:paraId="489DCB43" w14:textId="77777777" w:rsidTr="004356E2">
        <w:tc>
          <w:tcPr>
            <w:tcW w:w="0" w:type="auto"/>
            <w:shd w:val="clear" w:color="auto" w:fill="FFFFFF"/>
          </w:tcPr>
          <w:p w14:paraId="178E4946" w14:textId="77777777" w:rsidR="00BF6178" w:rsidRPr="00F70818" w:rsidRDefault="00BF6178" w:rsidP="004356E2">
            <w:pPr>
              <w:ind w:left="567" w:hanging="567"/>
            </w:pPr>
          </w:p>
        </w:tc>
      </w:tr>
    </w:tbl>
    <w:p w14:paraId="688B9218" w14:textId="77777777" w:rsidR="00BF6178" w:rsidRPr="00F70818" w:rsidRDefault="00BF6178" w:rsidP="00BF6178">
      <w:pPr>
        <w:pStyle w:val="NormalHanging12a"/>
        <w:widowControl/>
        <w:rPr>
          <w:b/>
          <w:i/>
        </w:rPr>
      </w:pPr>
      <w:r w:rsidRPr="00F70818">
        <w:rPr>
          <w:b/>
          <w:i/>
        </w:rPr>
        <w:t>Independence of the judiciary and of other institutions and the rights of judges</w:t>
      </w:r>
    </w:p>
    <w:p w14:paraId="059A8944" w14:textId="47E65895" w:rsidR="00B95C65" w:rsidRPr="00F70818" w:rsidRDefault="00BF6178" w:rsidP="00B95C65">
      <w:pPr>
        <w:pStyle w:val="NormalHanging12a"/>
      </w:pPr>
      <w:r w:rsidRPr="00F70818">
        <w:t>G.</w:t>
      </w:r>
      <w:r w:rsidR="00B95C65" w:rsidRPr="00F70818">
        <w:tab/>
      </w:r>
      <w:r w:rsidRPr="00F70818">
        <w:t>whereas on 23</w:t>
      </w:r>
      <w:r w:rsidR="00BD00AD" w:rsidRPr="00F70818">
        <w:t> </w:t>
      </w:r>
      <w:r w:rsidRPr="00F70818">
        <w:t xml:space="preserve">June 2025, in its report </w:t>
      </w:r>
      <w:r w:rsidR="006109D1" w:rsidRPr="00F70818">
        <w:t>on</w:t>
      </w:r>
      <w:r w:rsidRPr="00F70818">
        <w:t xml:space="preserve"> </w:t>
      </w:r>
      <w:r w:rsidR="003B430E" w:rsidRPr="00F70818">
        <w:t>its</w:t>
      </w:r>
      <w:r w:rsidRPr="00F70818">
        <w:t xml:space="preserve"> mission to Budapest</w:t>
      </w:r>
      <w:r w:rsidR="003B430E" w:rsidRPr="00F70818">
        <w:t>,</w:t>
      </w:r>
      <w:r w:rsidRPr="00F70818">
        <w:t xml:space="preserve"> the Committee on Civil Liberties, Justice and Home Affairs expressed concerns about the continued lack of implementation of </w:t>
      </w:r>
      <w:r w:rsidR="00BD00AD" w:rsidRPr="00F70818">
        <w:t xml:space="preserve">the judgments of the </w:t>
      </w:r>
      <w:r w:rsidRPr="00F70818">
        <w:t xml:space="preserve">European Court of Human Rights (ECtHR) and </w:t>
      </w:r>
      <w:r w:rsidR="00BD00AD" w:rsidRPr="00F70818">
        <w:t xml:space="preserve">the </w:t>
      </w:r>
      <w:r w:rsidRPr="00F70818">
        <w:t xml:space="preserve">Court of Justice </w:t>
      </w:r>
      <w:r w:rsidR="00BD00AD" w:rsidRPr="00F70818">
        <w:t xml:space="preserve">of the EU </w:t>
      </w:r>
      <w:r w:rsidRPr="00F70818">
        <w:t xml:space="preserve">(CJEU) relating to the rule of law and fundamental rights protection; </w:t>
      </w:r>
      <w:r w:rsidR="00BD00AD" w:rsidRPr="00F70818">
        <w:t xml:space="preserve">whereas it expressed further concerns about </w:t>
      </w:r>
      <w:r w:rsidRPr="00F70818">
        <w:t xml:space="preserve">continued and new challenges to judicial independence and impartiality, related to concerns about </w:t>
      </w:r>
      <w:r w:rsidR="00BD00AD" w:rsidRPr="00F70818">
        <w:t xml:space="preserve">the </w:t>
      </w:r>
      <w:r w:rsidRPr="00F70818">
        <w:t xml:space="preserve">lowering of professional criteria for judicial appointments, pressure on judges through disciplinary mechanisms, and limited transparency in case management, especially in </w:t>
      </w:r>
      <w:r w:rsidRPr="00F70818">
        <w:lastRenderedPageBreak/>
        <w:t>the Supreme Court (</w:t>
      </w:r>
      <w:r w:rsidRPr="00F70818">
        <w:rPr>
          <w:i/>
          <w:iCs/>
        </w:rPr>
        <w:t>Kúria)</w:t>
      </w:r>
      <w:r w:rsidR="00BD00AD" w:rsidRPr="00F70818">
        <w:t>,</w:t>
      </w:r>
      <w:r w:rsidRPr="00F70818">
        <w:t xml:space="preserve"> judicial reforms being conducted without meaningful consultation of judicial associations, and with public vilification of judges making use of their right to protest</w:t>
      </w:r>
      <w:r w:rsidR="00BD00AD" w:rsidRPr="00F70818">
        <w:t>,</w:t>
      </w:r>
      <w:r w:rsidRPr="00F70818">
        <w:t xml:space="preserve"> persistent challenges to the timeliness and effectiveness of judicial review, allegedly due to low judicial salaries and staffing shortages</w:t>
      </w:r>
      <w:r w:rsidR="00BD00AD" w:rsidRPr="00F70818">
        <w:t>, and</w:t>
      </w:r>
      <w:r w:rsidRPr="00F70818">
        <w:t xml:space="preserve"> the role and impartiality of the Uniformity Chamber of the </w:t>
      </w:r>
      <w:r w:rsidRPr="00F70818">
        <w:rPr>
          <w:i/>
          <w:iCs/>
        </w:rPr>
        <w:t>Kúria</w:t>
      </w:r>
      <w:r w:rsidRPr="00F70818">
        <w:t>;</w:t>
      </w:r>
    </w:p>
    <w:p w14:paraId="0D554B44" w14:textId="67A62517" w:rsidR="00B95C65" w:rsidRPr="00F70818" w:rsidRDefault="00BF6178" w:rsidP="00B95C65">
      <w:pPr>
        <w:pStyle w:val="NormalHanging12a"/>
      </w:pPr>
      <w:r w:rsidRPr="00F70818">
        <w:t>H.</w:t>
      </w:r>
      <w:r w:rsidR="00B95C65" w:rsidRPr="00F70818">
        <w:tab/>
      </w:r>
      <w:r w:rsidRPr="00F70818">
        <w:t>whereas on 8</w:t>
      </w:r>
      <w:r w:rsidR="002F1539" w:rsidRPr="00F70818">
        <w:t> </w:t>
      </w:r>
      <w:r w:rsidRPr="00F70818">
        <w:t xml:space="preserve">July 2025, the Commission indicated in the country chapter on Hungary </w:t>
      </w:r>
      <w:r w:rsidR="002F1539" w:rsidRPr="00F70818">
        <w:t xml:space="preserve">in its </w:t>
      </w:r>
      <w:r w:rsidRPr="00F70818">
        <w:t xml:space="preserve">2025 Rule of Law Report that the National Judicial Council has continued to exercise the powers acquired by means of the judicial reform of 2023; </w:t>
      </w:r>
      <w:r w:rsidR="002F1539" w:rsidRPr="00F70818">
        <w:t xml:space="preserve">whereas it further indicated that </w:t>
      </w:r>
      <w:r w:rsidRPr="00F70818">
        <w:t>new rules have been introduced on the appointment and career of judges</w:t>
      </w:r>
      <w:r w:rsidR="002F1539" w:rsidRPr="00F70818">
        <w:t>,</w:t>
      </w:r>
      <w:r w:rsidRPr="00F70818">
        <w:t xml:space="preserve"> </w:t>
      </w:r>
      <w:r w:rsidR="002F1539" w:rsidRPr="00F70818">
        <w:t xml:space="preserve">and that, </w:t>
      </w:r>
      <w:r w:rsidRPr="00F70818">
        <w:t xml:space="preserve">in line with the legislation in force, the process did not always include the consultation of the National Judicial Council on some of the relevant legislative amendments; </w:t>
      </w:r>
      <w:r w:rsidR="002F1539" w:rsidRPr="00F70818">
        <w:t xml:space="preserve">whereas it further indicated that </w:t>
      </w:r>
      <w:r w:rsidRPr="00F70818">
        <w:t xml:space="preserve">the transparency of case allocation in lower courts has not been improved, </w:t>
      </w:r>
      <w:r w:rsidR="002154FD" w:rsidRPr="00F70818">
        <w:t>although</w:t>
      </w:r>
      <w:r w:rsidRPr="00F70818">
        <w:t xml:space="preserve"> the case allocation in the </w:t>
      </w:r>
      <w:r w:rsidRPr="00F70818">
        <w:rPr>
          <w:i/>
          <w:iCs/>
        </w:rPr>
        <w:t xml:space="preserve">Kúria </w:t>
      </w:r>
      <w:r w:rsidRPr="00F70818">
        <w:t>is being implemented well</w:t>
      </w:r>
      <w:r w:rsidR="002154FD" w:rsidRPr="00F70818">
        <w:t>;</w:t>
      </w:r>
      <w:r w:rsidRPr="00F70818">
        <w:t xml:space="preserve"> </w:t>
      </w:r>
      <w:r w:rsidR="002154FD" w:rsidRPr="00F70818">
        <w:t xml:space="preserve">whereas </w:t>
      </w:r>
      <w:r w:rsidR="00F55E6A" w:rsidRPr="00F70818">
        <w:t xml:space="preserve">it further indicated that </w:t>
      </w:r>
      <w:r w:rsidRPr="00F70818">
        <w:t xml:space="preserve">the </w:t>
      </w:r>
      <w:r w:rsidRPr="00F70818">
        <w:rPr>
          <w:i/>
          <w:iCs/>
        </w:rPr>
        <w:t xml:space="preserve">Kúria </w:t>
      </w:r>
      <w:r w:rsidRPr="00F70818">
        <w:t>continues to enforce uniformity of case</w:t>
      </w:r>
      <w:r w:rsidR="002F1539" w:rsidRPr="00F70818">
        <w:t>-</w:t>
      </w:r>
      <w:r w:rsidRPr="00F70818">
        <w:t>law through its uniformity complaint panel</w:t>
      </w:r>
      <w:r w:rsidR="002154FD" w:rsidRPr="00F70818">
        <w:t xml:space="preserve"> but</w:t>
      </w:r>
      <w:r w:rsidRPr="00F70818">
        <w:t xml:space="preserve"> undue pressure on some judges continues within the judiciary, notably in relation to internal debates on key issues related to judicial independence</w:t>
      </w:r>
      <w:r w:rsidR="002154FD" w:rsidRPr="00F70818">
        <w:t>;</w:t>
      </w:r>
      <w:r w:rsidRPr="00F70818">
        <w:t xml:space="preserve"> </w:t>
      </w:r>
      <w:r w:rsidR="002154FD" w:rsidRPr="00F70818">
        <w:t xml:space="preserve">whereas </w:t>
      </w:r>
      <w:r w:rsidR="00F55E6A" w:rsidRPr="00F70818">
        <w:t xml:space="preserve">it further indicated that </w:t>
      </w:r>
      <w:r w:rsidRPr="00F70818">
        <w:t>an increase in salaries in the justice system is being done in three steps until 2027</w:t>
      </w:r>
      <w:r w:rsidR="002F1539" w:rsidRPr="00F70818">
        <w:t>,</w:t>
      </w:r>
      <w:r w:rsidRPr="00F70818">
        <w:t xml:space="preserve"> </w:t>
      </w:r>
      <w:r w:rsidR="002F1539" w:rsidRPr="00F70818">
        <w:t xml:space="preserve">and </w:t>
      </w:r>
      <w:r w:rsidR="00F55E6A" w:rsidRPr="00F70818">
        <w:t xml:space="preserve">that </w:t>
      </w:r>
      <w:r w:rsidRPr="00F70818">
        <w:t>the efficiency of the judiciary and digitalisation of the justice system continues to be high overall; whereas the Commission indicated that</w:t>
      </w:r>
      <w:r w:rsidR="002154FD" w:rsidRPr="00F70818">
        <w:t>,</w:t>
      </w:r>
      <w:r w:rsidRPr="00F70818">
        <w:t xml:space="preserve"> on 1</w:t>
      </w:r>
      <w:r w:rsidR="00743ABF" w:rsidRPr="00F70818">
        <w:t> </w:t>
      </w:r>
      <w:r w:rsidRPr="00F70818">
        <w:t>January 2025, Hungary had 47</w:t>
      </w:r>
      <w:r w:rsidR="00743ABF" w:rsidRPr="00F70818">
        <w:t> </w:t>
      </w:r>
      <w:r w:rsidRPr="00F70818">
        <w:t xml:space="preserve">leading </w:t>
      </w:r>
      <w:r w:rsidR="00743ABF" w:rsidRPr="00F70818">
        <w:t xml:space="preserve">ECtHR </w:t>
      </w:r>
      <w:r w:rsidRPr="00F70818">
        <w:t>judgments pending implementation</w:t>
      </w:r>
      <w:r w:rsidR="00073C4F" w:rsidRPr="00F70818">
        <w:t>,</w:t>
      </w:r>
      <w:r w:rsidRPr="00F70818">
        <w:t xml:space="preserve"> </w:t>
      </w:r>
      <w:r w:rsidR="00073C4F" w:rsidRPr="00F70818">
        <w:t xml:space="preserve">and </w:t>
      </w:r>
      <w:r w:rsidR="00743ABF" w:rsidRPr="00F70818">
        <w:t>that</w:t>
      </w:r>
      <w:r w:rsidR="002154FD" w:rsidRPr="00F70818">
        <w:t>,</w:t>
      </w:r>
      <w:r w:rsidR="00743ABF" w:rsidRPr="00F70818">
        <w:t xml:space="preserve"> </w:t>
      </w:r>
      <w:r w:rsidRPr="00F70818">
        <w:t>on 16</w:t>
      </w:r>
      <w:r w:rsidR="00743ABF" w:rsidRPr="00F70818">
        <w:t> </w:t>
      </w:r>
      <w:r w:rsidRPr="00F70818">
        <w:t xml:space="preserve">June 2025, the number of leading judgments pending implementation had increased to 52; whereas </w:t>
      </w:r>
      <w:r w:rsidR="00F55E6A" w:rsidRPr="00F70818">
        <w:t xml:space="preserve">it further indicated that </w:t>
      </w:r>
      <w:r w:rsidRPr="00F70818">
        <w:t>Hungary</w:t>
      </w:r>
      <w:r w:rsidR="00F70818">
        <w:t>’</w:t>
      </w:r>
      <w:r w:rsidRPr="00F70818">
        <w:t xml:space="preserve">s rate of </w:t>
      </w:r>
      <w:r w:rsidR="00743ABF" w:rsidRPr="00F70818">
        <w:t xml:space="preserve">implementation of </w:t>
      </w:r>
      <w:r w:rsidRPr="00F70818">
        <w:t xml:space="preserve">leading judgments from the past 10 years </w:t>
      </w:r>
      <w:r w:rsidR="00743ABF" w:rsidRPr="00F70818">
        <w:t>stood</w:t>
      </w:r>
      <w:r w:rsidRPr="00F70818">
        <w:t xml:space="preserve"> at 26</w:t>
      </w:r>
      <w:r w:rsidR="00743ABF" w:rsidRPr="00F70818">
        <w:t> </w:t>
      </w:r>
      <w:r w:rsidR="00B95C65" w:rsidRPr="00F70818">
        <w:t>%</w:t>
      </w:r>
      <w:r w:rsidRPr="00F70818">
        <w:t xml:space="preserve">, and </w:t>
      </w:r>
      <w:r w:rsidR="00F55E6A" w:rsidRPr="00F70818">
        <w:t xml:space="preserve">that </w:t>
      </w:r>
      <w:r w:rsidRPr="00F70818">
        <w:t xml:space="preserve">the oldest leading judgment </w:t>
      </w:r>
      <w:r w:rsidR="0063611D" w:rsidRPr="00F70818">
        <w:t xml:space="preserve">has been </w:t>
      </w:r>
      <w:r w:rsidRPr="00F70818">
        <w:t>pending implementation for more than 15</w:t>
      </w:r>
      <w:r w:rsidR="0063611D" w:rsidRPr="00F70818">
        <w:t> </w:t>
      </w:r>
      <w:r w:rsidRPr="00F70818">
        <w:t>years; whereas the Commission highlighted shortcomings in the legal aid scheme and recommended measures to ensure that the ongoing increase in the remuneration of judges, prosecutors and judicial and prosecutorial staff is carried out in a structured manner, taking into account European standards on remuneration for the justice system;</w:t>
      </w:r>
    </w:p>
    <w:p w14:paraId="4EA837EC" w14:textId="1490AD4E" w:rsidR="00BF6178" w:rsidRPr="00F70818" w:rsidRDefault="00BF6178" w:rsidP="00BF6178">
      <w:pPr>
        <w:pStyle w:val="NormalHanging12a"/>
        <w:widowControl/>
        <w:rPr>
          <w:b/>
          <w:i/>
        </w:rPr>
      </w:pPr>
      <w:r w:rsidRPr="00F70818">
        <w:rPr>
          <w:b/>
          <w:i/>
        </w:rPr>
        <w:t>Corruption and conflicts of interest</w:t>
      </w:r>
    </w:p>
    <w:p w14:paraId="7704C901" w14:textId="7A4EFB23" w:rsidR="00B95C65" w:rsidRPr="00F70818" w:rsidRDefault="00BF6178" w:rsidP="00B95C65">
      <w:pPr>
        <w:pStyle w:val="NormalHanging12a"/>
      </w:pPr>
      <w:r w:rsidRPr="00F70818">
        <w:t>I.</w:t>
      </w:r>
      <w:r w:rsidR="00B95C65" w:rsidRPr="00F70818">
        <w:tab/>
      </w:r>
      <w:r w:rsidRPr="00F70818">
        <w:t>whereas on 23</w:t>
      </w:r>
      <w:r w:rsidR="00A86CEF" w:rsidRPr="00F70818">
        <w:t> </w:t>
      </w:r>
      <w:r w:rsidRPr="00F70818">
        <w:t xml:space="preserve">June 2025, in its report </w:t>
      </w:r>
      <w:r w:rsidR="006109D1" w:rsidRPr="00F70818">
        <w:t xml:space="preserve">on </w:t>
      </w:r>
      <w:r w:rsidR="002154FD" w:rsidRPr="00F70818">
        <w:t>its</w:t>
      </w:r>
      <w:r w:rsidR="006109D1" w:rsidRPr="00F70818">
        <w:t xml:space="preserve"> </w:t>
      </w:r>
      <w:r w:rsidRPr="00F70818">
        <w:t>mission to Budapest</w:t>
      </w:r>
      <w:r w:rsidR="002154FD" w:rsidRPr="00F70818">
        <w:t>,</w:t>
      </w:r>
      <w:r w:rsidRPr="00F70818">
        <w:t xml:space="preserve"> the Committee on Civil Liberties, Justice and Home Affairs expressed concerns about alleged engrained and institutionali</w:t>
      </w:r>
      <w:r w:rsidR="00AF1AB9" w:rsidRPr="00F70818">
        <w:t>s</w:t>
      </w:r>
      <w:r w:rsidRPr="00F70818">
        <w:t>ed corruption, including by means of abuse of the public procurement system and political advertising</w:t>
      </w:r>
      <w:r w:rsidR="00A86CEF" w:rsidRPr="00F70818">
        <w:t>,</w:t>
      </w:r>
      <w:r w:rsidRPr="00F70818">
        <w:t xml:space="preserve"> a failing anti-corruption task</w:t>
      </w:r>
      <w:r w:rsidR="00AF1AB9" w:rsidRPr="00F70818">
        <w:t xml:space="preserve"> </w:t>
      </w:r>
      <w:r w:rsidRPr="00F70818">
        <w:t>force</w:t>
      </w:r>
      <w:r w:rsidR="00A86CEF" w:rsidRPr="00F70818">
        <w:t>,</w:t>
      </w:r>
      <w:r w:rsidRPr="00F70818">
        <w:t xml:space="preserve"> limited powers and limited access to prosecution follow-up information for the Integrity Authority, restricting its ability to effectively combat corruption and abuse of public funds</w:t>
      </w:r>
      <w:r w:rsidR="00A86CEF" w:rsidRPr="00F70818">
        <w:t xml:space="preserve">, </w:t>
      </w:r>
      <w:r w:rsidR="009B7BFB" w:rsidRPr="00F70818">
        <w:t>and</w:t>
      </w:r>
      <w:r w:rsidRPr="00F70818">
        <w:t xml:space="preserve"> a lack of high-profile corruption cases being put to trial;</w:t>
      </w:r>
    </w:p>
    <w:p w14:paraId="544F8FE0" w14:textId="4CB6F756" w:rsidR="00B95C65" w:rsidRPr="00F70818" w:rsidRDefault="00BF6178" w:rsidP="00B95C65">
      <w:pPr>
        <w:pStyle w:val="NormalHanging12a"/>
      </w:pPr>
      <w:r w:rsidRPr="00F70818">
        <w:t>J.</w:t>
      </w:r>
      <w:r w:rsidR="00B95C65" w:rsidRPr="00F70818">
        <w:tab/>
      </w:r>
      <w:r w:rsidRPr="00F70818">
        <w:t>whereas on 8</w:t>
      </w:r>
      <w:r w:rsidR="00463F05" w:rsidRPr="00F70818">
        <w:t> </w:t>
      </w:r>
      <w:r w:rsidRPr="00F70818">
        <w:t xml:space="preserve">July 2025, the Commission indicated in the country chapter on Hungary </w:t>
      </w:r>
      <w:r w:rsidR="00463F05" w:rsidRPr="00F70818">
        <w:t xml:space="preserve">in its </w:t>
      </w:r>
      <w:r w:rsidRPr="00F70818">
        <w:t xml:space="preserve">2025 Rule of Law Report that the implementation of the 2024-2025 National Anti-Corruption Strategy and related Action Plan is ongoing, while important actions remain pending; </w:t>
      </w:r>
      <w:bookmarkStart w:id="1" w:name="_Hlk208930723"/>
      <w:r w:rsidR="00463F05" w:rsidRPr="00F70818">
        <w:t xml:space="preserve">whereas it further indicated that </w:t>
      </w:r>
      <w:bookmarkEnd w:id="1"/>
      <w:r w:rsidRPr="00F70818">
        <w:t xml:space="preserve">the number of convictions for corruption crimes has decreased and there has been no progress to establish a robust track record on high-level corruption; </w:t>
      </w:r>
      <w:r w:rsidR="00073C4F" w:rsidRPr="00F70818">
        <w:t xml:space="preserve">whereas </w:t>
      </w:r>
      <w:r w:rsidR="00F55E6A" w:rsidRPr="00F70818">
        <w:t xml:space="preserve">it further indicated that </w:t>
      </w:r>
      <w:r w:rsidRPr="00F70818">
        <w:t>court decisions reviewing prosecutorial decisions not to investigate or prosecute corruption continue to be non-</w:t>
      </w:r>
      <w:r w:rsidRPr="00F70818">
        <w:lastRenderedPageBreak/>
        <w:t xml:space="preserve">binding; </w:t>
      </w:r>
      <w:r w:rsidR="00073C4F" w:rsidRPr="00F70818">
        <w:t xml:space="preserve">whereas </w:t>
      </w:r>
      <w:r w:rsidR="00F55E6A" w:rsidRPr="00F70818">
        <w:t xml:space="preserve">it further indicated that </w:t>
      </w:r>
      <w:r w:rsidRPr="00F70818">
        <w:t xml:space="preserve">progress </w:t>
      </w:r>
      <w:r w:rsidR="009B7BFB" w:rsidRPr="00F70818">
        <w:t xml:space="preserve">has </w:t>
      </w:r>
      <w:r w:rsidRPr="00F70818">
        <w:t xml:space="preserve">yet to </w:t>
      </w:r>
      <w:r w:rsidR="009B7BFB" w:rsidRPr="00F70818">
        <w:t xml:space="preserve">be made to </w:t>
      </w:r>
      <w:r w:rsidRPr="00F70818">
        <w:t>adopt new lobbying and post-employment rules, although there are plans to legislate in this area by November 2025</w:t>
      </w:r>
      <w:r w:rsidR="00F514EF" w:rsidRPr="00F70818">
        <w:t>,</w:t>
      </w:r>
      <w:r w:rsidRPr="00F70818">
        <w:t xml:space="preserve"> </w:t>
      </w:r>
      <w:r w:rsidR="00F514EF" w:rsidRPr="00F70818">
        <w:t xml:space="preserve">and </w:t>
      </w:r>
      <w:r w:rsidRPr="00F70818">
        <w:t xml:space="preserve">the Integrity Authority continues to report obstacles in fulfilling its oversight tasks effectively; </w:t>
      </w:r>
      <w:r w:rsidR="00F514EF" w:rsidRPr="00F70818">
        <w:t xml:space="preserve">whereas it further indicated that </w:t>
      </w:r>
      <w:r w:rsidRPr="00F70818">
        <w:t>key shortcomings with regard to the transparency of the financing of political parties and electoral campaigns remain</w:t>
      </w:r>
      <w:r w:rsidR="00F514EF" w:rsidRPr="00F70818">
        <w:t>,</w:t>
      </w:r>
      <w:r w:rsidRPr="00F70818">
        <w:t xml:space="preserve"> competition in public procurement has been improved, and different levels of control remain for national and EU</w:t>
      </w:r>
      <w:r w:rsidR="00F514EF" w:rsidRPr="00F70818">
        <w:t xml:space="preserve"> </w:t>
      </w:r>
      <w:r w:rsidRPr="00F70818">
        <w:t>fund</w:t>
      </w:r>
      <w:r w:rsidR="00F514EF" w:rsidRPr="00F70818">
        <w:t>-</w:t>
      </w:r>
      <w:r w:rsidRPr="00F70818">
        <w:t xml:space="preserve">related procurement; whereas the Commission indicated that there has been no progress </w:t>
      </w:r>
      <w:r w:rsidR="00F514EF" w:rsidRPr="00F70818">
        <w:t xml:space="preserve">in </w:t>
      </w:r>
      <w:r w:rsidRPr="00F70818">
        <w:t>improv</w:t>
      </w:r>
      <w:r w:rsidR="00F514EF" w:rsidRPr="00F70818">
        <w:t>ing</w:t>
      </w:r>
      <w:r w:rsidRPr="00F70818">
        <w:t xml:space="preserve"> the asset declaration system, and </w:t>
      </w:r>
      <w:r w:rsidR="00F514EF" w:rsidRPr="00F70818">
        <w:t xml:space="preserve">that </w:t>
      </w:r>
      <w:r w:rsidRPr="00F70818">
        <w:t>whistleblowing plays a limited role in the detection of corruption crimes; whereas the practical impact of the proposals made by the Anti-Corruption Task Force has been limited;</w:t>
      </w:r>
    </w:p>
    <w:p w14:paraId="56E835BE" w14:textId="0DA028F2" w:rsidR="00BF6178" w:rsidRPr="00F70818" w:rsidRDefault="00BF6178" w:rsidP="00BF6178">
      <w:pPr>
        <w:pStyle w:val="NormalHanging12a"/>
        <w:widowControl/>
        <w:rPr>
          <w:b/>
          <w:i/>
        </w:rPr>
      </w:pPr>
      <w:r w:rsidRPr="00F70818">
        <w:rPr>
          <w:b/>
          <w:i/>
        </w:rPr>
        <w:t>Privacy and data protection</w:t>
      </w:r>
    </w:p>
    <w:p w14:paraId="294CF931" w14:textId="5C66C73A" w:rsidR="00B95C65" w:rsidRPr="00F70818" w:rsidRDefault="00BF6178" w:rsidP="00B95C65">
      <w:pPr>
        <w:pStyle w:val="NormalHanging12a"/>
      </w:pPr>
      <w:r w:rsidRPr="00F70818">
        <w:t>K.</w:t>
      </w:r>
      <w:r w:rsidR="00B95C65" w:rsidRPr="00F70818">
        <w:tab/>
      </w:r>
      <w:r w:rsidRPr="00F70818">
        <w:t>whereas on 8</w:t>
      </w:r>
      <w:r w:rsidR="00F514EF" w:rsidRPr="00F70818">
        <w:t> </w:t>
      </w:r>
      <w:r w:rsidRPr="00F70818">
        <w:t xml:space="preserve">July 2025, the Commission indicated in the country chapter on Hungary </w:t>
      </w:r>
      <w:r w:rsidR="00F514EF" w:rsidRPr="00F70818">
        <w:t>in its</w:t>
      </w:r>
      <w:r w:rsidRPr="00F70818">
        <w:t xml:space="preserve"> 2025 Rule of Law Report that concerns related to the absence of procedural safeguards and effective oversight in case of secret surveillance measures outside criminal proceedings have not been addressed;</w:t>
      </w:r>
    </w:p>
    <w:p w14:paraId="533986A9" w14:textId="7C9CE011" w:rsidR="00BF6178" w:rsidRPr="00F70818" w:rsidRDefault="00BF6178" w:rsidP="00BF6178">
      <w:pPr>
        <w:pStyle w:val="NormalHanging12a"/>
        <w:widowControl/>
        <w:rPr>
          <w:b/>
          <w:i/>
        </w:rPr>
      </w:pPr>
      <w:r w:rsidRPr="00F70818">
        <w:rPr>
          <w:b/>
          <w:i/>
        </w:rPr>
        <w:t>Freedom of expression, including media pluralism</w:t>
      </w:r>
    </w:p>
    <w:p w14:paraId="2FBAE48F" w14:textId="588EC867" w:rsidR="00B95C65" w:rsidRPr="00F70818" w:rsidRDefault="00BF6178" w:rsidP="00B95C65">
      <w:pPr>
        <w:pStyle w:val="NormalHanging12a"/>
      </w:pPr>
      <w:r w:rsidRPr="00F70818">
        <w:t>L.</w:t>
      </w:r>
      <w:r w:rsidR="00B95C65" w:rsidRPr="00F70818">
        <w:tab/>
      </w:r>
      <w:r w:rsidRPr="00F70818">
        <w:t>whereas on 23</w:t>
      </w:r>
      <w:r w:rsidR="00D35263" w:rsidRPr="00F70818">
        <w:t> </w:t>
      </w:r>
      <w:r w:rsidRPr="00F70818">
        <w:t xml:space="preserve">June 2025, in its report </w:t>
      </w:r>
      <w:r w:rsidR="006109D1" w:rsidRPr="00F70818">
        <w:t>on</w:t>
      </w:r>
      <w:r w:rsidRPr="00F70818">
        <w:t xml:space="preserve"> </w:t>
      </w:r>
      <w:r w:rsidR="002154FD" w:rsidRPr="00F70818">
        <w:t>its</w:t>
      </w:r>
      <w:r w:rsidRPr="00F70818">
        <w:t xml:space="preserve"> mission to Budapest</w:t>
      </w:r>
      <w:r w:rsidR="002154FD" w:rsidRPr="00F70818">
        <w:t>,</w:t>
      </w:r>
      <w:r w:rsidRPr="00F70818">
        <w:t xml:space="preserve"> the Committee on Civil Liberties, Justice and Home Affairs expressed concerns about the apparent continued limited access to public media for opposition politicians</w:t>
      </w:r>
      <w:r w:rsidR="007853DD" w:rsidRPr="00F70818">
        <w:t>,</w:t>
      </w:r>
      <w:r w:rsidRPr="00F70818">
        <w:t xml:space="preserve"> the critical situation regarding media freedom and pluralism, due to a heavily centralised and politically controlled media environment</w:t>
      </w:r>
      <w:r w:rsidR="00D35263" w:rsidRPr="00F70818">
        <w:t>,</w:t>
      </w:r>
      <w:r w:rsidRPr="00F70818">
        <w:t xml:space="preserve"> an increasingly shrinking space for independent media and journalism, characterised by systemic disadvantages, obstacles and intimidation, and their limited access to government officials and to information</w:t>
      </w:r>
      <w:r w:rsidR="00D35263" w:rsidRPr="00F70818">
        <w:t>, as well as</w:t>
      </w:r>
      <w:r w:rsidRPr="00F70818">
        <w:t xml:space="preserve"> </w:t>
      </w:r>
      <w:r w:rsidR="00D35263" w:rsidRPr="00F70818">
        <w:t xml:space="preserve">the </w:t>
      </w:r>
      <w:r w:rsidRPr="00F70818">
        <w:t>dominant presence of the government in digital media spaces, through paid content and social media advertising;</w:t>
      </w:r>
    </w:p>
    <w:p w14:paraId="1DA44146" w14:textId="5F545CBA" w:rsidR="00B95C65" w:rsidRPr="00F70818" w:rsidRDefault="00BF6178" w:rsidP="00B95C65">
      <w:pPr>
        <w:pStyle w:val="NormalHanging12a"/>
      </w:pPr>
      <w:r w:rsidRPr="00F70818">
        <w:t>M.</w:t>
      </w:r>
      <w:r w:rsidR="00B95C65" w:rsidRPr="00F70818">
        <w:tab/>
      </w:r>
      <w:r w:rsidRPr="00F70818">
        <w:t>whereas on 8</w:t>
      </w:r>
      <w:r w:rsidR="00D35263" w:rsidRPr="00F70818">
        <w:t> </w:t>
      </w:r>
      <w:r w:rsidRPr="00F70818">
        <w:t xml:space="preserve">July 2025, the Commission indicated in the country chapter on Hungary </w:t>
      </w:r>
      <w:r w:rsidR="00D35263" w:rsidRPr="00F70818">
        <w:t>in its</w:t>
      </w:r>
      <w:r w:rsidRPr="00F70818">
        <w:t xml:space="preserve"> 2025 Rule of Law Report that the threats to media pluralism highlighted in previous </w:t>
      </w:r>
      <w:r w:rsidR="00D35263" w:rsidRPr="00F70818">
        <w:t>r</w:t>
      </w:r>
      <w:r w:rsidRPr="00F70818">
        <w:t xml:space="preserve">ule of </w:t>
      </w:r>
      <w:r w:rsidR="00D35263" w:rsidRPr="00F70818">
        <w:t>l</w:t>
      </w:r>
      <w:r w:rsidRPr="00F70818">
        <w:t xml:space="preserve">aw </w:t>
      </w:r>
      <w:r w:rsidR="00D35263" w:rsidRPr="00F70818">
        <w:t>r</w:t>
      </w:r>
      <w:r w:rsidRPr="00F70818">
        <w:t xml:space="preserve">eports have remained unaddressed; </w:t>
      </w:r>
      <w:r w:rsidR="00D35263" w:rsidRPr="00F70818">
        <w:t xml:space="preserve">whereas it further indicated that </w:t>
      </w:r>
      <w:r w:rsidRPr="00F70818">
        <w:t>no measures have been adopted</w:t>
      </w:r>
      <w:r w:rsidR="00D35263" w:rsidRPr="00F70818">
        <w:t>,</w:t>
      </w:r>
      <w:r w:rsidRPr="00F70818">
        <w:t xml:space="preserve"> or are planned</w:t>
      </w:r>
      <w:r w:rsidR="00D35263" w:rsidRPr="00F70818">
        <w:t>,</w:t>
      </w:r>
      <w:r w:rsidRPr="00F70818">
        <w:t xml:space="preserve"> to regulate the channelling of state advertising to media outlets, to guarantee the functional independence of the media authority </w:t>
      </w:r>
      <w:r w:rsidR="00D35263" w:rsidRPr="00F70818">
        <w:t xml:space="preserve">or </w:t>
      </w:r>
      <w:r w:rsidRPr="00F70818">
        <w:t xml:space="preserve">to ensure the editorial and financial independence of public service media; </w:t>
      </w:r>
      <w:r w:rsidR="00D35263" w:rsidRPr="00F70818">
        <w:t xml:space="preserve">whereas it further indicated that </w:t>
      </w:r>
      <w:r w:rsidRPr="00F70818">
        <w:t>journalists continue to face numerous and serious challenges to their work</w:t>
      </w:r>
      <w:r w:rsidR="00D35263" w:rsidRPr="00F70818">
        <w:t>,</w:t>
      </w:r>
      <w:r w:rsidRPr="00F70818">
        <w:t xml:space="preserve"> journalists and media outlets have been investigated by the Sovereignty Protection Office for allegedly </w:t>
      </w:r>
      <w:r w:rsidR="00F70818">
        <w:t>‘</w:t>
      </w:r>
      <w:r w:rsidRPr="00F70818">
        <w:t>serving foreign interests</w:t>
      </w:r>
      <w:r w:rsidR="00F70818">
        <w:t>’</w:t>
      </w:r>
      <w:r w:rsidRPr="00F70818">
        <w:t xml:space="preserve">, and access to public interest events and press conferences continues to be selectively denied; </w:t>
      </w:r>
      <w:r w:rsidR="00073C4F" w:rsidRPr="00F70818">
        <w:t xml:space="preserve">whereas </w:t>
      </w:r>
      <w:r w:rsidR="00F55E6A" w:rsidRPr="00F70818">
        <w:t xml:space="preserve">it further indicated that </w:t>
      </w:r>
      <w:r w:rsidR="00073C4F" w:rsidRPr="00F70818">
        <w:t xml:space="preserve">although </w:t>
      </w:r>
      <w:r w:rsidRPr="00F70818">
        <w:t>the accelerated treatment of court cases related to access to information continues, the scope of access to information remains limited</w:t>
      </w:r>
      <w:r w:rsidR="00073C4F" w:rsidRPr="00F70818">
        <w:t>,</w:t>
      </w:r>
      <w:r w:rsidRPr="00F70818">
        <w:t xml:space="preserve"> especially as regards public funding;</w:t>
      </w:r>
    </w:p>
    <w:p w14:paraId="1DC012E4" w14:textId="2FDF1E90" w:rsidR="00BF6178" w:rsidRPr="00F70818" w:rsidRDefault="00BF6178" w:rsidP="00BF6178">
      <w:pPr>
        <w:pStyle w:val="NormalHanging12a"/>
        <w:widowControl/>
        <w:rPr>
          <w:b/>
          <w:i/>
        </w:rPr>
      </w:pPr>
      <w:r w:rsidRPr="00F70818">
        <w:rPr>
          <w:b/>
          <w:i/>
        </w:rPr>
        <w:t>Academic freedom</w:t>
      </w:r>
    </w:p>
    <w:p w14:paraId="1204EDAA" w14:textId="4D2954EA" w:rsidR="00B95C65" w:rsidRPr="00F70818" w:rsidRDefault="00BF6178" w:rsidP="00B95C65">
      <w:pPr>
        <w:pStyle w:val="NormalHanging12a"/>
      </w:pPr>
      <w:r w:rsidRPr="00F70818">
        <w:t>N.</w:t>
      </w:r>
      <w:r w:rsidR="00B95C65" w:rsidRPr="00F70818">
        <w:tab/>
      </w:r>
      <w:r w:rsidRPr="00F70818">
        <w:t>whereas on 23</w:t>
      </w:r>
      <w:r w:rsidR="00CA072A" w:rsidRPr="00F70818">
        <w:t> </w:t>
      </w:r>
      <w:r w:rsidRPr="00F70818">
        <w:t xml:space="preserve">June 2025, in its report </w:t>
      </w:r>
      <w:r w:rsidR="006109D1" w:rsidRPr="00F70818">
        <w:t>on</w:t>
      </w:r>
      <w:r w:rsidRPr="00F70818">
        <w:t xml:space="preserve"> </w:t>
      </w:r>
      <w:r w:rsidR="002154FD" w:rsidRPr="00F70818">
        <w:t>its</w:t>
      </w:r>
      <w:r w:rsidRPr="00F70818">
        <w:t xml:space="preserve"> mission to Budapest</w:t>
      </w:r>
      <w:r w:rsidR="002154FD" w:rsidRPr="00F70818">
        <w:t>,</w:t>
      </w:r>
      <w:r w:rsidRPr="00F70818">
        <w:t xml:space="preserve"> the Committee on Civil Liberties, Justice and Home Affairs expressed concerns about the erosion of academic freedom and increasing control over education and research in Hungary, including a ban on teachers</w:t>
      </w:r>
      <w:r w:rsidR="00F70818">
        <w:t>’</w:t>
      </w:r>
      <w:r w:rsidRPr="00F70818">
        <w:t xml:space="preserve"> strikes, the possibility of arbitrary dismissal of teachers, ideological control over curricula, shrinking autonomy of universities to conduct research and marginalisation of certain student groups, including Roma, children with disabilities and LGBTIQ+ students;</w:t>
      </w:r>
    </w:p>
    <w:p w14:paraId="49A6A537" w14:textId="55EA211B" w:rsidR="00BF6178" w:rsidRPr="00F70818" w:rsidRDefault="00BF6178" w:rsidP="00BF6178">
      <w:pPr>
        <w:pStyle w:val="NormalHanging12a"/>
        <w:widowControl/>
        <w:rPr>
          <w:b/>
          <w:i/>
        </w:rPr>
      </w:pPr>
      <w:r w:rsidRPr="00F70818">
        <w:rPr>
          <w:b/>
          <w:i/>
        </w:rPr>
        <w:t>Freedom of association</w:t>
      </w:r>
    </w:p>
    <w:p w14:paraId="282299A1" w14:textId="600060E6" w:rsidR="00B95C65" w:rsidRPr="00F70818" w:rsidRDefault="00BF6178" w:rsidP="00B95C65">
      <w:pPr>
        <w:pStyle w:val="NormalHanging12a"/>
      </w:pPr>
      <w:r w:rsidRPr="00F70818">
        <w:t>O.</w:t>
      </w:r>
      <w:r w:rsidR="00B95C65" w:rsidRPr="00F70818">
        <w:tab/>
      </w:r>
      <w:r w:rsidRPr="00F70818">
        <w:t>whereas on 23</w:t>
      </w:r>
      <w:r w:rsidR="007D2CAE" w:rsidRPr="00F70818">
        <w:t> </w:t>
      </w:r>
      <w:r w:rsidRPr="00F70818">
        <w:t xml:space="preserve">June 2025, in its report </w:t>
      </w:r>
      <w:r w:rsidR="006109D1" w:rsidRPr="00F70818">
        <w:t>on</w:t>
      </w:r>
      <w:r w:rsidRPr="00F70818">
        <w:t xml:space="preserve"> </w:t>
      </w:r>
      <w:r w:rsidR="002154FD" w:rsidRPr="00F70818">
        <w:t>its</w:t>
      </w:r>
      <w:r w:rsidRPr="00F70818">
        <w:t xml:space="preserve"> mission to Budapest</w:t>
      </w:r>
      <w:r w:rsidR="002154FD" w:rsidRPr="00F70818">
        <w:t>,</w:t>
      </w:r>
      <w:r w:rsidRPr="00F70818">
        <w:t xml:space="preserve"> the Committee on Civil Liberties, Justice and Home Affairs expressed concerns about the growing financial, legal, safety and political obstacles for civil society, especially those </w:t>
      </w:r>
      <w:r w:rsidR="00F204A7" w:rsidRPr="00F70818">
        <w:t>civil society organisations (</w:t>
      </w:r>
      <w:r w:rsidRPr="00F70818">
        <w:t>CSOs</w:t>
      </w:r>
      <w:r w:rsidR="00F204A7" w:rsidRPr="00F70818">
        <w:t>)</w:t>
      </w:r>
      <w:r w:rsidRPr="00F70818">
        <w:t xml:space="preserve"> that are advocacy-oriented</w:t>
      </w:r>
      <w:r w:rsidR="00F204A7" w:rsidRPr="00F70818">
        <w:t>,</w:t>
      </w:r>
      <w:r w:rsidRPr="00F70818">
        <w:t xml:space="preserve"> the creation of GONGOs (government-controlled NGOs), which are featured in the state-controlled and government-friendly media as experts, further polari</w:t>
      </w:r>
      <w:r w:rsidR="00AF1AB9" w:rsidRPr="00F70818">
        <w:t>s</w:t>
      </w:r>
      <w:r w:rsidRPr="00F70818">
        <w:t>ing the NGO landscape</w:t>
      </w:r>
      <w:r w:rsidR="00F204A7" w:rsidRPr="00F70818">
        <w:t>,</w:t>
      </w:r>
      <w:r w:rsidR="00B95C65" w:rsidRPr="00F70818">
        <w:t xml:space="preserve"> </w:t>
      </w:r>
      <w:r w:rsidR="00467744" w:rsidRPr="00F70818">
        <w:t xml:space="preserve">and </w:t>
      </w:r>
      <w:r w:rsidRPr="00F70818">
        <w:t>the use of the Sovereignty Protection Office as a key instrument to defame as</w:t>
      </w:r>
      <w:r w:rsidR="00956D89" w:rsidRPr="00F70818">
        <w:t xml:space="preserve"> </w:t>
      </w:r>
      <w:r w:rsidR="00F70818">
        <w:t>‘</w:t>
      </w:r>
      <w:r w:rsidRPr="00F70818">
        <w:t>foreign agents</w:t>
      </w:r>
      <w:r w:rsidR="00F70818">
        <w:t>’</w:t>
      </w:r>
      <w:r w:rsidRPr="00F70818">
        <w:t xml:space="preserve"> independent media outlets, individual investigative journalists and </w:t>
      </w:r>
      <w:r w:rsidR="00F204A7" w:rsidRPr="00F70818">
        <w:t>CSOs</w:t>
      </w:r>
      <w:r w:rsidRPr="00F70818">
        <w:t xml:space="preserve"> receiving international or EU funding, and their staff; </w:t>
      </w:r>
      <w:r w:rsidR="007D2CAE" w:rsidRPr="00F70818">
        <w:t>whereas it expressed further concerns about</w:t>
      </w:r>
      <w:r w:rsidR="00F204A7" w:rsidRPr="00F70818">
        <w:t xml:space="preserve"> </w:t>
      </w:r>
      <w:r w:rsidRPr="00F70818">
        <w:t>a foreign agent law being drafted, further limiting funding and expanding surveillance;</w:t>
      </w:r>
    </w:p>
    <w:p w14:paraId="275F16BC" w14:textId="5E722110" w:rsidR="00B95C65" w:rsidRPr="00F70818" w:rsidRDefault="00BF6178" w:rsidP="00B95C65">
      <w:pPr>
        <w:pStyle w:val="NormalHanging12a"/>
      </w:pPr>
      <w:r w:rsidRPr="00F70818">
        <w:t>P.</w:t>
      </w:r>
      <w:r w:rsidR="00B95C65" w:rsidRPr="00F70818">
        <w:tab/>
      </w:r>
      <w:r w:rsidRPr="00F70818">
        <w:t>whereas on 8</w:t>
      </w:r>
      <w:r w:rsidR="00467744" w:rsidRPr="00F70818">
        <w:t> </w:t>
      </w:r>
      <w:r w:rsidRPr="00F70818">
        <w:t xml:space="preserve">July 2025, the Commission indicated in the country chapter on Hungary </w:t>
      </w:r>
      <w:r w:rsidR="00467744" w:rsidRPr="00F70818">
        <w:t>in its</w:t>
      </w:r>
      <w:r w:rsidRPr="00F70818">
        <w:t xml:space="preserve"> 2025 Rule of Law Report that a deteriorating environment for </w:t>
      </w:r>
      <w:r w:rsidR="00467744" w:rsidRPr="00F70818">
        <w:t>CSOs</w:t>
      </w:r>
      <w:r w:rsidRPr="00F70818">
        <w:t xml:space="preserve"> and legal uncertainty </w:t>
      </w:r>
      <w:r w:rsidR="00ED321B" w:rsidRPr="00F70818">
        <w:t xml:space="preserve">are </w:t>
      </w:r>
      <w:r w:rsidRPr="00F70818">
        <w:t>further obstruct</w:t>
      </w:r>
      <w:r w:rsidR="00ED321B" w:rsidRPr="00F70818">
        <w:t>ing</w:t>
      </w:r>
      <w:r w:rsidRPr="00F70818">
        <w:t xml:space="preserve"> civic space; whereas a new law, </w:t>
      </w:r>
      <w:r w:rsidR="00467744" w:rsidRPr="00F70818">
        <w:t xml:space="preserve">effective </w:t>
      </w:r>
      <w:r w:rsidRPr="00F70818">
        <w:t>as of 1</w:t>
      </w:r>
      <w:r w:rsidR="00467744" w:rsidRPr="00F70818">
        <w:t> </w:t>
      </w:r>
      <w:r w:rsidRPr="00F70818">
        <w:t xml:space="preserve">January 2027, </w:t>
      </w:r>
      <w:r w:rsidR="00467744" w:rsidRPr="00F70818">
        <w:t xml:space="preserve">will transfer </w:t>
      </w:r>
      <w:r w:rsidRPr="00F70818">
        <w:t>the register of CSOs from the courts to a central administrative authority, and stakeholders reported that government attacks against independent CSOs have persisted; whereas the Sovereignty Protection Office</w:t>
      </w:r>
      <w:r w:rsidR="007E58A2" w:rsidRPr="00F70818">
        <w:t>,</w:t>
      </w:r>
      <w:r w:rsidRPr="00F70818">
        <w:t xml:space="preserve"> in some cases</w:t>
      </w:r>
      <w:r w:rsidR="007E58A2" w:rsidRPr="00F70818">
        <w:t>,</w:t>
      </w:r>
      <w:r w:rsidRPr="00F70818">
        <w:t xml:space="preserve"> labelled activities under the EU</w:t>
      </w:r>
      <w:r w:rsidR="00F70818">
        <w:t>’</w:t>
      </w:r>
      <w:r w:rsidRPr="00F70818">
        <w:t>s Citizens</w:t>
      </w:r>
      <w:r w:rsidR="007E58A2" w:rsidRPr="00F70818">
        <w:t>,</w:t>
      </w:r>
      <w:r w:rsidRPr="00F70818">
        <w:t xml:space="preserve"> Equality</w:t>
      </w:r>
      <w:r w:rsidR="007E58A2" w:rsidRPr="00F70818">
        <w:t>,</w:t>
      </w:r>
      <w:r w:rsidRPr="00F70818">
        <w:t xml:space="preserve"> Rights and Values programme as </w:t>
      </w:r>
      <w:r w:rsidR="00F70818">
        <w:t>‘</w:t>
      </w:r>
      <w:r w:rsidRPr="00F70818">
        <w:t>carrying a serious sovereignty risk</w:t>
      </w:r>
      <w:r w:rsidR="00F70818">
        <w:t>’</w:t>
      </w:r>
      <w:r w:rsidRPr="00F70818">
        <w:t>; whereas the draft law on transparency in public life, tabled on 13</w:t>
      </w:r>
      <w:r w:rsidR="00467744" w:rsidRPr="00F70818">
        <w:t> </w:t>
      </w:r>
      <w:r w:rsidRPr="00F70818">
        <w:t xml:space="preserve">May 2025, increases the powers of the Sovereignty Protection Office, introducing significant consequences for the activities of </w:t>
      </w:r>
      <w:r w:rsidR="00467744" w:rsidRPr="00F70818">
        <w:t>CSOs</w:t>
      </w:r>
      <w:r w:rsidRPr="00F70818">
        <w:t>, media outlets and other entities within its scope, and considerably restrict</w:t>
      </w:r>
      <w:r w:rsidR="007E58A2" w:rsidRPr="00F70818">
        <w:t>ing</w:t>
      </w:r>
      <w:r w:rsidRPr="00F70818">
        <w:t xml:space="preserve"> their access to funding; whereas recent amendments to legislation and the Constitution, as well as their application in practice</w:t>
      </w:r>
      <w:r w:rsidR="00467744" w:rsidRPr="00F70818">
        <w:t>,</w:t>
      </w:r>
      <w:r w:rsidRPr="00F70818">
        <w:t xml:space="preserve"> resulted in legal uncertainty for the organisers and participants of public assemblies aimed at promoting equality and diversity; whereas stakeholders note</w:t>
      </w:r>
      <w:r w:rsidR="007E58A2" w:rsidRPr="00F70818">
        <w:t>d</w:t>
      </w:r>
      <w:r w:rsidRPr="00F70818">
        <w:t xml:space="preserve"> that the distribution of public funding continues to be uneven</w:t>
      </w:r>
      <w:r w:rsidR="00467744" w:rsidRPr="00F70818">
        <w:t xml:space="preserve"> and</w:t>
      </w:r>
      <w:r w:rsidRPr="00F70818">
        <w:t xml:space="preserve"> </w:t>
      </w:r>
      <w:r w:rsidR="00467744" w:rsidRPr="00F70818">
        <w:t>non-</w:t>
      </w:r>
      <w:r w:rsidRPr="00F70818">
        <w:t>transparent, privileging government-aligned organisations against CSOs critical of government policies, which are not able to secure public funding in Hungary;</w:t>
      </w:r>
    </w:p>
    <w:p w14:paraId="032E7FF7" w14:textId="6C39781B" w:rsidR="00B95C65" w:rsidRPr="00F70818" w:rsidRDefault="00BF6178" w:rsidP="00B95C65">
      <w:pPr>
        <w:pStyle w:val="NormalHanging12a"/>
        <w:rPr>
          <w:b/>
          <w:bCs/>
          <w:i/>
          <w:iCs/>
        </w:rPr>
      </w:pPr>
      <w:r w:rsidRPr="00F70818">
        <w:rPr>
          <w:b/>
          <w:bCs/>
          <w:i/>
          <w:iCs/>
        </w:rPr>
        <w:t>The right to equal treatment, including LGBTIQ</w:t>
      </w:r>
      <w:r w:rsidR="00AF1AB9" w:rsidRPr="00F70818">
        <w:rPr>
          <w:b/>
          <w:bCs/>
          <w:i/>
          <w:iCs/>
        </w:rPr>
        <w:t>+</w:t>
      </w:r>
      <w:r w:rsidRPr="00F70818">
        <w:rPr>
          <w:b/>
          <w:bCs/>
          <w:i/>
          <w:iCs/>
        </w:rPr>
        <w:t xml:space="preserve"> rights</w:t>
      </w:r>
    </w:p>
    <w:p w14:paraId="0A9206CA" w14:textId="3C645FF1" w:rsidR="00B95C65" w:rsidRPr="00F70818" w:rsidRDefault="00BF6178" w:rsidP="00B95C65">
      <w:pPr>
        <w:pStyle w:val="NormalHanging12a"/>
      </w:pPr>
      <w:r w:rsidRPr="00F70818">
        <w:t>Q.</w:t>
      </w:r>
      <w:r w:rsidR="00B95C65" w:rsidRPr="00F70818">
        <w:tab/>
      </w:r>
      <w:r w:rsidRPr="00F70818">
        <w:t>whereas on 23</w:t>
      </w:r>
      <w:r w:rsidR="007E58A2" w:rsidRPr="00F70818">
        <w:t> </w:t>
      </w:r>
      <w:r w:rsidRPr="00F70818">
        <w:t xml:space="preserve">June 2025, in its report </w:t>
      </w:r>
      <w:r w:rsidR="006109D1" w:rsidRPr="00F70818">
        <w:t xml:space="preserve">on </w:t>
      </w:r>
      <w:r w:rsidR="00430EA0" w:rsidRPr="00F70818">
        <w:t>its</w:t>
      </w:r>
      <w:r w:rsidRPr="00F70818">
        <w:t xml:space="preserve"> mission to Budapest</w:t>
      </w:r>
      <w:r w:rsidR="00430EA0" w:rsidRPr="00F70818">
        <w:t>,</w:t>
      </w:r>
      <w:r w:rsidRPr="00F70818">
        <w:t xml:space="preserve"> the Committee on Civil Liberties, Justice and Home Affairs expressed concerns about the 15th constitutional amendment, including articles affecting LGBTIQ</w:t>
      </w:r>
      <w:r w:rsidR="007E58A2" w:rsidRPr="00F70818">
        <w:rPr>
          <w:b/>
          <w:bCs/>
          <w:i/>
          <w:iCs/>
        </w:rPr>
        <w:t>+</w:t>
      </w:r>
      <w:r w:rsidRPr="00F70818">
        <w:t xml:space="preserve"> rights</w:t>
      </w:r>
      <w:r w:rsidR="007E58A2" w:rsidRPr="00F70818">
        <w:t>,</w:t>
      </w:r>
      <w:r w:rsidRPr="00F70818">
        <w:t xml:space="preserve"> </w:t>
      </w:r>
      <w:r w:rsidR="00BF70A5" w:rsidRPr="00F70818">
        <w:t xml:space="preserve">and </w:t>
      </w:r>
      <w:r w:rsidRPr="00F70818">
        <w:t>new legislative amendments restricting the freedoms of LGBTIQ+ persons, including the removal of gender identity as ground</w:t>
      </w:r>
      <w:r w:rsidR="00430EA0" w:rsidRPr="00F70818">
        <w:t>s</w:t>
      </w:r>
      <w:r w:rsidRPr="00F70818">
        <w:t xml:space="preserve"> for discrimination and a ban on pride marches; </w:t>
      </w:r>
      <w:r w:rsidR="00BF70A5" w:rsidRPr="00F70818">
        <w:t xml:space="preserve">whereas it expressed further concerns about </w:t>
      </w:r>
      <w:r w:rsidRPr="00F70818">
        <w:t xml:space="preserve">a climate of hatred against the LGBTIQ+ community fuelled by the </w:t>
      </w:r>
      <w:r w:rsidR="00430EA0" w:rsidRPr="00F70818">
        <w:t>g</w:t>
      </w:r>
      <w:r w:rsidRPr="00F70818">
        <w:t>overnment</w:t>
      </w:r>
      <w:r w:rsidR="00F70818">
        <w:t>’</w:t>
      </w:r>
      <w:r w:rsidRPr="00F70818">
        <w:t xml:space="preserve">s rhetoric, instigating fear and isolation </w:t>
      </w:r>
      <w:r w:rsidR="007E58A2" w:rsidRPr="00F70818">
        <w:t xml:space="preserve">among </w:t>
      </w:r>
      <w:r w:rsidRPr="00F70818">
        <w:t>LGBTIQ+ persons, including students and teachers;</w:t>
      </w:r>
    </w:p>
    <w:p w14:paraId="7DAD2540" w14:textId="6DEBCFDB" w:rsidR="00BF6178" w:rsidRPr="00F70818" w:rsidRDefault="00BF6178" w:rsidP="00BF6178">
      <w:pPr>
        <w:pStyle w:val="NormalHanging12a"/>
        <w:widowControl/>
        <w:rPr>
          <w:b/>
          <w:i/>
        </w:rPr>
      </w:pPr>
      <w:r w:rsidRPr="00F70818">
        <w:rPr>
          <w:b/>
          <w:i/>
        </w:rPr>
        <w:t>The fundamental rights of migrants, asylum seekers and refugees</w:t>
      </w:r>
    </w:p>
    <w:p w14:paraId="694238FC" w14:textId="7E4A622B" w:rsidR="00BF6178" w:rsidRPr="00F70818" w:rsidRDefault="00BF6178" w:rsidP="00B95C65">
      <w:pPr>
        <w:pStyle w:val="NormalHanging12a"/>
      </w:pPr>
      <w:r w:rsidRPr="00F70818">
        <w:t>R.</w:t>
      </w:r>
      <w:r w:rsidR="00B95C65" w:rsidRPr="00F70818">
        <w:tab/>
      </w:r>
      <w:r w:rsidRPr="00F70818">
        <w:t>whereas on 23</w:t>
      </w:r>
      <w:r w:rsidR="00AF4712" w:rsidRPr="00F70818">
        <w:t> </w:t>
      </w:r>
      <w:r w:rsidRPr="00F70818">
        <w:t xml:space="preserve">June 2025, in its report </w:t>
      </w:r>
      <w:r w:rsidR="006109D1" w:rsidRPr="00F70818">
        <w:t>on</w:t>
      </w:r>
      <w:r w:rsidRPr="00F70818">
        <w:t xml:space="preserve"> </w:t>
      </w:r>
      <w:r w:rsidR="00430EA0" w:rsidRPr="00F70818">
        <w:t>its</w:t>
      </w:r>
      <w:r w:rsidRPr="00F70818">
        <w:t xml:space="preserve"> mission to Budapest</w:t>
      </w:r>
      <w:r w:rsidR="00430EA0" w:rsidRPr="00F70818">
        <w:t>,</w:t>
      </w:r>
      <w:r w:rsidRPr="00F70818">
        <w:t xml:space="preserve"> the Committee on Civil Liberties, Justice and Home Affairs expressed concerns about the interception and removal of individuals found in an irregular situation, effectively denying most asylum seekers access to Hungarian territory and to the asylum procedure; </w:t>
      </w:r>
      <w:r w:rsidR="00AF4712" w:rsidRPr="00F70818">
        <w:t xml:space="preserve">whereas it expressed further concerns about </w:t>
      </w:r>
      <w:r w:rsidRPr="00F70818">
        <w:t>the continuation of a declared state of emergency due to mass immigration, which entails a range of restrictions o</w:t>
      </w:r>
      <w:r w:rsidR="00AF4712" w:rsidRPr="00F70818">
        <w:t>n</w:t>
      </w:r>
      <w:r w:rsidRPr="00F70818">
        <w:t xml:space="preserve"> </w:t>
      </w:r>
      <w:r w:rsidR="00140CD3" w:rsidRPr="00F70818">
        <w:t xml:space="preserve">the </w:t>
      </w:r>
      <w:r w:rsidRPr="00F70818">
        <w:t>civil and procedural rights of migrants</w:t>
      </w:r>
      <w:r w:rsidR="00AF4712" w:rsidRPr="00F70818">
        <w:t>,</w:t>
      </w:r>
      <w:r w:rsidRPr="00F70818">
        <w:t xml:space="preserve"> </w:t>
      </w:r>
      <w:r w:rsidR="00430EA0" w:rsidRPr="00F70818">
        <w:t xml:space="preserve">including </w:t>
      </w:r>
      <w:r w:rsidRPr="00F70818">
        <w:t xml:space="preserve">Ukrainian refugees facing barriers </w:t>
      </w:r>
      <w:r w:rsidR="00AF4712" w:rsidRPr="00F70818">
        <w:t xml:space="preserve">in </w:t>
      </w:r>
      <w:r w:rsidRPr="00F70818">
        <w:t>access</w:t>
      </w:r>
      <w:r w:rsidR="00AF4712" w:rsidRPr="00F70818">
        <w:t>ing</w:t>
      </w:r>
      <w:r w:rsidRPr="00F70818">
        <w:t xml:space="preserve"> employment, healthcare and accommodation due to legal gaps, procedural delays or </w:t>
      </w:r>
      <w:r w:rsidR="00AF4712" w:rsidRPr="00F70818">
        <w:t xml:space="preserve">insufficient </w:t>
      </w:r>
      <w:r w:rsidRPr="00F70818">
        <w:t>documentation</w:t>
      </w:r>
      <w:r w:rsidR="00AF4712" w:rsidRPr="00F70818">
        <w:t>, and the</w:t>
      </w:r>
      <w:r w:rsidRPr="00F70818">
        <w:t xml:space="preserve"> criminali</w:t>
      </w:r>
      <w:r w:rsidR="00AF1AB9" w:rsidRPr="00F70818">
        <w:t>s</w:t>
      </w:r>
      <w:r w:rsidRPr="00F70818">
        <w:t xml:space="preserve">ation of various forms of assistance </w:t>
      </w:r>
      <w:r w:rsidR="00430EA0" w:rsidRPr="00F70818">
        <w:t>for</w:t>
      </w:r>
      <w:r w:rsidRPr="00F70818">
        <w:t xml:space="preserve"> asylum seekers and migrants under the so-called </w:t>
      </w:r>
      <w:r w:rsidR="00F70818">
        <w:t>‘</w:t>
      </w:r>
      <w:r w:rsidRPr="00F70818">
        <w:t>Stop Soros</w:t>
      </w:r>
      <w:r w:rsidR="00F70818">
        <w:t>’</w:t>
      </w:r>
      <w:r w:rsidRPr="00F70818">
        <w:t xml:space="preserve"> legislation;</w:t>
      </w:r>
    </w:p>
    <w:p w14:paraId="2C911741" w14:textId="77777777" w:rsidR="00BF6178" w:rsidRPr="00F70818" w:rsidRDefault="00BF6178" w:rsidP="00BF6178">
      <w:pPr>
        <w:pStyle w:val="NormalHanging12a"/>
        <w:widowControl/>
        <w:rPr>
          <w:b/>
          <w:i/>
        </w:rPr>
      </w:pPr>
      <w:r w:rsidRPr="00F70818">
        <w:rPr>
          <w:b/>
          <w:i/>
        </w:rPr>
        <w:t>Economic and social rights</w:t>
      </w:r>
    </w:p>
    <w:p w14:paraId="34C047FE" w14:textId="02A147FA" w:rsidR="00B95C65" w:rsidRPr="00F70818" w:rsidRDefault="00BF6178" w:rsidP="00B95C65">
      <w:pPr>
        <w:pStyle w:val="NormalHanging12a"/>
      </w:pPr>
      <w:r w:rsidRPr="00F70818">
        <w:t>S.</w:t>
      </w:r>
      <w:r w:rsidR="00B95C65" w:rsidRPr="00F70818">
        <w:tab/>
      </w:r>
      <w:r w:rsidRPr="00F70818">
        <w:t>whereas on 23</w:t>
      </w:r>
      <w:r w:rsidR="00C94DD9" w:rsidRPr="00F70818">
        <w:t> </w:t>
      </w:r>
      <w:r w:rsidRPr="00F70818">
        <w:t xml:space="preserve">June 2025, in its report </w:t>
      </w:r>
      <w:r w:rsidR="006109D1" w:rsidRPr="00F70818">
        <w:t>on</w:t>
      </w:r>
      <w:r w:rsidRPr="00F70818">
        <w:t xml:space="preserve"> </w:t>
      </w:r>
      <w:r w:rsidR="00430EA0" w:rsidRPr="00F70818">
        <w:t>its</w:t>
      </w:r>
      <w:r w:rsidRPr="00F70818">
        <w:t xml:space="preserve"> mission to Budapest</w:t>
      </w:r>
      <w:r w:rsidR="00430EA0" w:rsidRPr="00F70818">
        <w:t>,</w:t>
      </w:r>
      <w:r w:rsidRPr="00F70818">
        <w:t xml:space="preserve"> the Committee on Civil Liberties, Justice and Home Affairs expressed concerns about a worsening situation for trade unions, professional bodies and workers</w:t>
      </w:r>
      <w:r w:rsidR="00F70818">
        <w:t>’</w:t>
      </w:r>
      <w:r w:rsidRPr="00F70818">
        <w:t xml:space="preserve"> rights, including the use of facial recognition at demonstrations, defunding and a collapse in institutional protection; </w:t>
      </w:r>
      <w:r w:rsidR="00C94DD9" w:rsidRPr="00F70818">
        <w:t xml:space="preserve">whereas it expressed further concerns about the </w:t>
      </w:r>
      <w:r w:rsidRPr="00F70818">
        <w:t>politici</w:t>
      </w:r>
      <w:r w:rsidR="00C94DD9" w:rsidRPr="00F70818">
        <w:t>s</w:t>
      </w:r>
      <w:r w:rsidRPr="00F70818">
        <w:t>ation of the medical ethics body</w:t>
      </w:r>
      <w:r w:rsidR="00C94DD9" w:rsidRPr="00F70818">
        <w:t>, the</w:t>
      </w:r>
      <w:r w:rsidRPr="00F70818">
        <w:t xml:space="preserve"> exclusion of unions from the workplace, </w:t>
      </w:r>
      <w:r w:rsidR="00C94DD9" w:rsidRPr="00F70818">
        <w:t xml:space="preserve">the </w:t>
      </w:r>
      <w:r w:rsidRPr="00F70818">
        <w:t xml:space="preserve">denial of consultation rights and </w:t>
      </w:r>
      <w:r w:rsidR="00C94DD9" w:rsidRPr="00F70818">
        <w:t xml:space="preserve">the </w:t>
      </w:r>
      <w:r w:rsidRPr="00F70818">
        <w:t>manipulation of social dialogue</w:t>
      </w:r>
      <w:r w:rsidR="00037969" w:rsidRPr="00F70818">
        <w:t>,</w:t>
      </w:r>
      <w:r w:rsidRPr="00F70818">
        <w:t xml:space="preserve"> </w:t>
      </w:r>
      <w:r w:rsidR="00C94DD9" w:rsidRPr="00F70818">
        <w:t xml:space="preserve">the </w:t>
      </w:r>
      <w:r w:rsidRPr="00F70818">
        <w:t>disincentivi</w:t>
      </w:r>
      <w:r w:rsidR="00AF1AB9" w:rsidRPr="00F70818">
        <w:t>s</w:t>
      </w:r>
      <w:r w:rsidRPr="00F70818">
        <w:t xml:space="preserve">ation of women to work and discrimination </w:t>
      </w:r>
      <w:r w:rsidR="00C94DD9" w:rsidRPr="00F70818">
        <w:t xml:space="preserve">against </w:t>
      </w:r>
      <w:r w:rsidRPr="00F70818">
        <w:t>mothers in the labour market;</w:t>
      </w:r>
    </w:p>
    <w:p w14:paraId="61E2FFE6" w14:textId="0E3BC641" w:rsidR="00B95C65" w:rsidRPr="00F70818" w:rsidRDefault="00BF6178" w:rsidP="00B95C65">
      <w:pPr>
        <w:pStyle w:val="NormalHanging12a"/>
      </w:pPr>
      <w:r w:rsidRPr="00F70818">
        <w:t>T.</w:t>
      </w:r>
      <w:r w:rsidR="00B95C65" w:rsidRPr="00F70818">
        <w:tab/>
      </w:r>
      <w:r w:rsidRPr="00F70818">
        <w:t>whereas on 8</w:t>
      </w:r>
      <w:r w:rsidR="00C94DD9" w:rsidRPr="00F70818">
        <w:t> </w:t>
      </w:r>
      <w:r w:rsidRPr="00F70818">
        <w:t xml:space="preserve">July 2025, the Commission indicated in the country chapter on Hungary </w:t>
      </w:r>
      <w:r w:rsidR="00C94DD9" w:rsidRPr="00F70818">
        <w:t>in its</w:t>
      </w:r>
      <w:r w:rsidRPr="00F70818">
        <w:t xml:space="preserve"> 2025 Rule of Law Report that the </w:t>
      </w:r>
      <w:r w:rsidR="00430EA0" w:rsidRPr="00F70818">
        <w:t>g</w:t>
      </w:r>
      <w:r w:rsidRPr="00F70818">
        <w:t xml:space="preserve">overnment continues to use its emergency powers extensively, undermining legal certainty and affecting the operation of businesses in the single market; </w:t>
      </w:r>
      <w:r w:rsidR="00C94DD9" w:rsidRPr="00F70818">
        <w:t xml:space="preserve">whereas it further indicated that </w:t>
      </w:r>
      <w:r w:rsidRPr="00F70818">
        <w:t xml:space="preserve">foreign companies, including from other EU Member States, operating in strategic sectors </w:t>
      </w:r>
      <w:r w:rsidR="00C94DD9" w:rsidRPr="00F70818">
        <w:t xml:space="preserve">are </w:t>
      </w:r>
      <w:r w:rsidRPr="00F70818">
        <w:t>fac</w:t>
      </w:r>
      <w:r w:rsidR="00C94DD9" w:rsidRPr="00F70818">
        <w:t>ing</w:t>
      </w:r>
      <w:r w:rsidRPr="00F70818">
        <w:t xml:space="preserve"> intensified regulatory pressure from state action</w:t>
      </w:r>
      <w:r w:rsidR="00C94DD9" w:rsidRPr="00F70818">
        <w:t>, and that</w:t>
      </w:r>
      <w:r w:rsidRPr="00F70818">
        <w:t xml:space="preserve"> the possibility </w:t>
      </w:r>
      <w:r w:rsidR="00430EA0" w:rsidRPr="00F70818">
        <w:t>of</w:t>
      </w:r>
      <w:r w:rsidRPr="00F70818">
        <w:t xml:space="preserve"> the </w:t>
      </w:r>
      <w:r w:rsidR="00430EA0" w:rsidRPr="00F70818">
        <w:t>g</w:t>
      </w:r>
      <w:r w:rsidRPr="00F70818">
        <w:t>overnment interfer</w:t>
      </w:r>
      <w:r w:rsidR="00430EA0" w:rsidRPr="00F70818">
        <w:t>ing</w:t>
      </w:r>
      <w:r w:rsidRPr="00F70818">
        <w:t xml:space="preserve"> </w:t>
      </w:r>
      <w:r w:rsidR="00C94DD9" w:rsidRPr="00F70818">
        <w:t xml:space="preserve">in </w:t>
      </w:r>
      <w:r w:rsidRPr="00F70818">
        <w:t>the application of merger control rules continues to create legal uncertainty;</w:t>
      </w:r>
    </w:p>
    <w:p w14:paraId="01A42B02" w14:textId="1D53ADE5" w:rsidR="00B95C65" w:rsidRPr="00F70818" w:rsidRDefault="00BF6178" w:rsidP="00B95C65">
      <w:pPr>
        <w:pStyle w:val="NormalHanging12a"/>
      </w:pPr>
      <w:r w:rsidRPr="00F70818">
        <w:t>1.</w:t>
      </w:r>
      <w:r w:rsidR="00B95C65" w:rsidRPr="00F70818">
        <w:tab/>
      </w:r>
      <w:r w:rsidRPr="00F70818">
        <w:t>Reiterates that its concerns relate to the following issues in Hungary</w:t>
      </w:r>
      <w:r w:rsidR="00B95C65" w:rsidRPr="00F70818">
        <w:t>;</w:t>
      </w:r>
    </w:p>
    <w:p w14:paraId="6D39392B" w14:textId="2631574C" w:rsidR="00B95C65" w:rsidRPr="00F70818" w:rsidRDefault="004B38DB" w:rsidP="004B38DB">
      <w:pPr>
        <w:pStyle w:val="NormalHanging12a"/>
        <w:ind w:left="1134"/>
      </w:pPr>
      <w:r w:rsidRPr="00F70818">
        <w:t>(a)</w:t>
      </w:r>
      <w:r w:rsidR="00B95C65" w:rsidRPr="00F70818">
        <w:rPr>
          <w:bCs/>
        </w:rPr>
        <w:tab/>
      </w:r>
      <w:r w:rsidR="00BF6178" w:rsidRPr="00F70818">
        <w:t>the functioning of the constitutional and electoral system</w:t>
      </w:r>
      <w:r w:rsidR="00B95C65" w:rsidRPr="00F70818">
        <w:t>,</w:t>
      </w:r>
    </w:p>
    <w:p w14:paraId="597A2BBA" w14:textId="4DEED47A" w:rsidR="00B95C65" w:rsidRPr="00F70818" w:rsidRDefault="004B38DB" w:rsidP="004B38DB">
      <w:pPr>
        <w:pStyle w:val="NormalHanging12a"/>
        <w:ind w:left="1134"/>
      </w:pPr>
      <w:r w:rsidRPr="00F70818">
        <w:t>(b)</w:t>
      </w:r>
      <w:r w:rsidR="00B95C65" w:rsidRPr="00F70818">
        <w:tab/>
      </w:r>
      <w:r w:rsidR="00BF6178" w:rsidRPr="00F70818">
        <w:t>the independence of the judiciary and of other institutions and the rights of judges,</w:t>
      </w:r>
    </w:p>
    <w:p w14:paraId="0F6F7EA2" w14:textId="5E5A2C4D" w:rsidR="00B95C65" w:rsidRPr="00F70818" w:rsidRDefault="004B38DB" w:rsidP="004B38DB">
      <w:pPr>
        <w:pStyle w:val="NormalHanging12a"/>
        <w:ind w:left="1134"/>
      </w:pPr>
      <w:r w:rsidRPr="00F70818">
        <w:t>(c)</w:t>
      </w:r>
      <w:r w:rsidR="00B95C65" w:rsidRPr="00F70818">
        <w:tab/>
      </w:r>
      <w:r w:rsidR="00BF6178" w:rsidRPr="00F70818">
        <w:t>corruption and conflicts of interest,</w:t>
      </w:r>
    </w:p>
    <w:p w14:paraId="67BAEB16" w14:textId="446279F6" w:rsidR="00B95C65" w:rsidRPr="00F70818" w:rsidRDefault="004B38DB" w:rsidP="004B38DB">
      <w:pPr>
        <w:pStyle w:val="NormalHanging12a"/>
        <w:ind w:left="1134"/>
      </w:pPr>
      <w:r w:rsidRPr="00F70818">
        <w:t>(d)</w:t>
      </w:r>
      <w:r w:rsidR="00B95C65" w:rsidRPr="00F70818">
        <w:tab/>
      </w:r>
      <w:r w:rsidR="00BF6178" w:rsidRPr="00F70818">
        <w:t>privacy and data protection,</w:t>
      </w:r>
    </w:p>
    <w:p w14:paraId="207E1ADE" w14:textId="10EDB31A" w:rsidR="00B95C65" w:rsidRPr="00F70818" w:rsidRDefault="004B38DB" w:rsidP="004B38DB">
      <w:pPr>
        <w:pStyle w:val="NormalHanging12a"/>
        <w:ind w:left="1134"/>
      </w:pPr>
      <w:r w:rsidRPr="00F70818">
        <w:t>(e)</w:t>
      </w:r>
      <w:r w:rsidR="00B95C65" w:rsidRPr="00F70818">
        <w:tab/>
      </w:r>
      <w:r w:rsidR="00BF6178" w:rsidRPr="00F70818">
        <w:t>freedom of expression, including media pluralism,</w:t>
      </w:r>
    </w:p>
    <w:p w14:paraId="4FA980B8" w14:textId="09FCB308" w:rsidR="00B95C65" w:rsidRPr="00F70818" w:rsidRDefault="004B38DB" w:rsidP="004B38DB">
      <w:pPr>
        <w:pStyle w:val="NormalHanging12a"/>
        <w:ind w:left="1134"/>
      </w:pPr>
      <w:r w:rsidRPr="00F70818">
        <w:t>(f)</w:t>
      </w:r>
      <w:r w:rsidR="00B95C65" w:rsidRPr="00F70818">
        <w:tab/>
      </w:r>
      <w:r w:rsidR="00BF6178" w:rsidRPr="00F70818">
        <w:t>academic freedom,</w:t>
      </w:r>
    </w:p>
    <w:p w14:paraId="296DDBFF" w14:textId="3E6CF16E" w:rsidR="00B95C65" w:rsidRPr="00F70818" w:rsidRDefault="004B38DB" w:rsidP="004B38DB">
      <w:pPr>
        <w:pStyle w:val="NormalHanging12a"/>
        <w:ind w:left="1134"/>
      </w:pPr>
      <w:r w:rsidRPr="00F70818">
        <w:t>(g)</w:t>
      </w:r>
      <w:r w:rsidR="00B95C65" w:rsidRPr="00F70818">
        <w:tab/>
      </w:r>
      <w:r w:rsidR="00BF6178" w:rsidRPr="00F70818">
        <w:t>freedom of religion,</w:t>
      </w:r>
    </w:p>
    <w:p w14:paraId="15EDD4A9" w14:textId="7476D349" w:rsidR="00B95C65" w:rsidRPr="00F70818" w:rsidRDefault="004B38DB" w:rsidP="004B38DB">
      <w:pPr>
        <w:pStyle w:val="NormalHanging12a"/>
        <w:ind w:left="1134"/>
      </w:pPr>
      <w:r w:rsidRPr="00F70818">
        <w:t>(h)</w:t>
      </w:r>
      <w:r w:rsidR="00B95C65" w:rsidRPr="00F70818">
        <w:tab/>
      </w:r>
      <w:r w:rsidR="00BF6178" w:rsidRPr="00F70818">
        <w:t>freedom of association,</w:t>
      </w:r>
    </w:p>
    <w:p w14:paraId="19DC33C0" w14:textId="0D949EEB" w:rsidR="00B95C65" w:rsidRPr="00F70818" w:rsidRDefault="004B38DB" w:rsidP="004B38DB">
      <w:pPr>
        <w:pStyle w:val="NormalHanging12a"/>
        <w:ind w:left="1134"/>
      </w:pPr>
      <w:r w:rsidRPr="00F70818">
        <w:t>(i)</w:t>
      </w:r>
      <w:r w:rsidR="00B95C65" w:rsidRPr="00F70818">
        <w:tab/>
      </w:r>
      <w:r w:rsidR="00BF6178" w:rsidRPr="00F70818">
        <w:t>the right to equal treatment, including LGBTIQ</w:t>
      </w:r>
      <w:r w:rsidR="00AF1AB9" w:rsidRPr="00F70818">
        <w:t>+</w:t>
      </w:r>
      <w:r w:rsidR="00BF6178" w:rsidRPr="00F70818">
        <w:t xml:space="preserve"> rights,</w:t>
      </w:r>
    </w:p>
    <w:p w14:paraId="0F84AD47" w14:textId="19A1598B" w:rsidR="00B95C65" w:rsidRPr="00F70818" w:rsidRDefault="004B38DB" w:rsidP="004B38DB">
      <w:pPr>
        <w:pStyle w:val="NormalHanging12a"/>
        <w:ind w:left="1134"/>
      </w:pPr>
      <w:r w:rsidRPr="00F70818">
        <w:t>(j)</w:t>
      </w:r>
      <w:r w:rsidR="00B95C65" w:rsidRPr="00F70818">
        <w:tab/>
      </w:r>
      <w:r w:rsidR="00BF6178" w:rsidRPr="00F70818">
        <w:t>the rights of persons belonging to minorities, including Roma and Jew</w:t>
      </w:r>
      <w:r w:rsidR="00AF1AB9" w:rsidRPr="00F70818">
        <w:t>i</w:t>
      </w:r>
      <w:r w:rsidR="00BF6178" w:rsidRPr="00F70818">
        <w:t>s</w:t>
      </w:r>
      <w:r w:rsidR="00AF1AB9" w:rsidRPr="00F70818">
        <w:t>h communities</w:t>
      </w:r>
      <w:r w:rsidR="00BF6178" w:rsidRPr="00F70818">
        <w:t>, and protection against hateful statements against such minorities,</w:t>
      </w:r>
    </w:p>
    <w:p w14:paraId="20468E65" w14:textId="5DF4D780" w:rsidR="00B95C65" w:rsidRPr="00F70818" w:rsidRDefault="004B38DB" w:rsidP="004B38DB">
      <w:pPr>
        <w:pStyle w:val="NormalHanging12a"/>
        <w:ind w:left="1134"/>
      </w:pPr>
      <w:r w:rsidRPr="00F70818">
        <w:t>(k)</w:t>
      </w:r>
      <w:r w:rsidR="00B95C65" w:rsidRPr="00F70818">
        <w:tab/>
      </w:r>
      <w:r w:rsidR="00BF6178" w:rsidRPr="00F70818">
        <w:t>the fundamental rights of migrants, asylum seekers and refugees,</w:t>
      </w:r>
    </w:p>
    <w:p w14:paraId="7879E4E8" w14:textId="14FC3793" w:rsidR="00B95C65" w:rsidRPr="00F70818" w:rsidRDefault="004B38DB" w:rsidP="004B38DB">
      <w:pPr>
        <w:pStyle w:val="NormalHanging12a"/>
        <w:ind w:left="1134"/>
      </w:pPr>
      <w:r w:rsidRPr="00F70818">
        <w:t>(l)</w:t>
      </w:r>
      <w:r w:rsidR="00B95C65" w:rsidRPr="00F70818">
        <w:tab/>
      </w:r>
      <w:r w:rsidR="00BF6178" w:rsidRPr="00F70818">
        <w:t>economic and social rights;</w:t>
      </w:r>
    </w:p>
    <w:p w14:paraId="4D4EA3E9" w14:textId="2AECAF5C" w:rsidR="00BF6178" w:rsidRPr="00F70818" w:rsidRDefault="00BF6178" w:rsidP="00BF6178">
      <w:pPr>
        <w:pStyle w:val="NormalHanging12a"/>
        <w:widowControl/>
      </w:pPr>
      <w:r w:rsidRPr="00F70818">
        <w:t>2.</w:t>
      </w:r>
      <w:r w:rsidRPr="00F70818">
        <w:tab/>
        <w:t xml:space="preserve">Believes that, taken together, the facts and trends, as illustrated by </w:t>
      </w:r>
      <w:r w:rsidR="00D315A6" w:rsidRPr="00F70818">
        <w:t xml:space="preserve">its </w:t>
      </w:r>
      <w:r w:rsidRPr="00F70818">
        <w:t xml:space="preserve">resolutions, represent a systemic threat to the values of Article 2 TEU and constitute a clear risk of a serious breach thereof; is appalled by and condemns the deliberate and systematic efforts of the Hungarian Government to undermine the founding values of the Union enshrined in Article 2 TEU; highlights </w:t>
      </w:r>
      <w:r w:rsidR="00430EA0" w:rsidRPr="00F70818">
        <w:t xml:space="preserve">the fact </w:t>
      </w:r>
      <w:r w:rsidRPr="00F70818">
        <w:t xml:space="preserve">that these trends have substantially worsened since the triggering of Article 7(1) TEU; stresses that the Hungarian Government bears responsibility for the restoration of compliance with EU law and the values enshrined in Article 2 TEU and expresses deep regret that the lack of decisive </w:t>
      </w:r>
      <w:r w:rsidRPr="00F70818">
        <w:rPr>
          <w:szCs w:val="24"/>
        </w:rPr>
        <w:t xml:space="preserve">action by the Commission and the Council </w:t>
      </w:r>
      <w:r w:rsidRPr="00F70818">
        <w:t>has contributed to a breakdown in democracy, the rule of law and fundamental rights in Hungary;</w:t>
      </w:r>
    </w:p>
    <w:p w14:paraId="5CF2FAE2" w14:textId="072F3218" w:rsidR="00BF6178" w:rsidRPr="00F70818" w:rsidRDefault="00BF6178" w:rsidP="00BF6178">
      <w:pPr>
        <w:pStyle w:val="NormalHanging12a"/>
        <w:widowControl/>
      </w:pPr>
      <w:r w:rsidRPr="00F70818">
        <w:t>3.</w:t>
      </w:r>
      <w:r w:rsidRPr="00F70818">
        <w:tab/>
        <w:t xml:space="preserve">Deplores the inability of the Council to make meaningful progress in the ongoing Article 7(1) TEU procedure; urges the Council to ensure that hearings take place at a minimum </w:t>
      </w:r>
      <w:r w:rsidR="00430EA0" w:rsidRPr="00F70818">
        <w:t xml:space="preserve">of </w:t>
      </w:r>
      <w:r w:rsidRPr="00F70818">
        <w:t xml:space="preserve">once per </w:t>
      </w:r>
      <w:r w:rsidR="00D315A6" w:rsidRPr="00F70818">
        <w:t>p</w:t>
      </w:r>
      <w:r w:rsidRPr="00F70818">
        <w:t xml:space="preserve">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calls on the Council to issue recommendations to Hungary as soon as possible in order to remedy the issues </w:t>
      </w:r>
      <w:r w:rsidR="00430EA0" w:rsidRPr="00F70818">
        <w:t>noted</w:t>
      </w:r>
      <w:r w:rsidRPr="00F70818">
        <w:t xml:space="preserve"> in Parliament</w:t>
      </w:r>
      <w:r w:rsidR="00F70818">
        <w:t>’</w:t>
      </w:r>
      <w:r w:rsidRPr="00F70818">
        <w:t xml:space="preserve">s resolutions, asking </w:t>
      </w:r>
      <w:r w:rsidR="00D315A6" w:rsidRPr="00F70818">
        <w:t xml:space="preserve">the </w:t>
      </w:r>
      <w:r w:rsidR="004E7825" w:rsidRPr="00F70818">
        <w:t>Hungarian authorities</w:t>
      </w:r>
      <w:r w:rsidR="00D315A6" w:rsidRPr="00F70818">
        <w:t xml:space="preserve"> </w:t>
      </w:r>
      <w:r w:rsidRPr="00F70818">
        <w:t>to implement all the judgments and recommendations</w:t>
      </w:r>
      <w:r w:rsidR="00430EA0" w:rsidRPr="00F70818">
        <w:t xml:space="preserve"> given</w:t>
      </w:r>
      <w:r w:rsidRPr="00F70818">
        <w:t xml:space="preserve">; considers that a joint declaration by </w:t>
      </w:r>
      <w:r w:rsidR="00D315A6" w:rsidRPr="00F70818">
        <w:t xml:space="preserve">the </w:t>
      </w:r>
      <w:r w:rsidRPr="00F70818">
        <w:t>Member States following each hearing would be a proper interim step until there is a required majority to address recommendations or identify the risk; insists that in all proceedings related to Article 7 TEU, Parliament should be able to present its reasoned proposal to the Council, to attend Article 7 TEU hearings and to be promptly and fully informed at every stage of the procedure;</w:t>
      </w:r>
    </w:p>
    <w:p w14:paraId="708F96C0" w14:textId="236E4C2D" w:rsidR="00BF6178" w:rsidRPr="00F70818" w:rsidRDefault="00BF6178" w:rsidP="00BF6178">
      <w:pPr>
        <w:pStyle w:val="NormalHanging12a"/>
        <w:widowControl/>
        <w:rPr>
          <w:iCs/>
          <w:shd w:val="clear" w:color="auto" w:fill="FFFFFF"/>
        </w:rPr>
      </w:pPr>
      <w:r w:rsidRPr="00F70818">
        <w:t>4.</w:t>
      </w:r>
      <w:r w:rsidRPr="00F70818">
        <w:tab/>
        <w:t>Believes that any further delay to the Council</w:t>
      </w:r>
      <w:r w:rsidR="00F70818">
        <w:t>’</w:t>
      </w:r>
      <w:r w:rsidRPr="00F70818">
        <w:t>s action would amount to a breach of the rule of law principle by the Council itself;</w:t>
      </w:r>
      <w:r w:rsidRPr="00F70818">
        <w:rPr>
          <w:iCs/>
          <w:shd w:val="clear" w:color="auto" w:fill="FFFFFF"/>
        </w:rPr>
        <w:t xml:space="preserve"> </w:t>
      </w:r>
      <w:r w:rsidRPr="00F70818">
        <w:rPr>
          <w:iCs/>
          <w:szCs w:val="24"/>
        </w:rPr>
        <w:t xml:space="preserve">calls on the Commission and the Member States to initiate the procedure under Article 7(2) TEU and on the European Council </w:t>
      </w:r>
      <w:r w:rsidRPr="00F70818">
        <w:rPr>
          <w:szCs w:val="24"/>
        </w:rPr>
        <w:t>to determine whether Hungary has committed serious and persistent breaches of EU values under Article 7(2) TEU;</w:t>
      </w:r>
    </w:p>
    <w:p w14:paraId="4F973E1B" w14:textId="62AAA36C" w:rsidR="00BF6178" w:rsidRPr="00F70818" w:rsidRDefault="00BF6178" w:rsidP="00BF6178">
      <w:pPr>
        <w:pStyle w:val="NormalHanging12a"/>
        <w:widowControl/>
      </w:pPr>
      <w:r w:rsidRPr="00F70818">
        <w:t>5.</w:t>
      </w:r>
      <w:r w:rsidRPr="00F70818">
        <w:tab/>
      </w:r>
      <w:r w:rsidRPr="00F70818">
        <w:rPr>
          <w:szCs w:val="24"/>
        </w:rPr>
        <w:t xml:space="preserve">Calls on the Council and the Commission to devote more attention to tackling the systemic and deliberate dismantling of the rule of law, as well as to the interplay between the various breaches of values identified in its resolutions; stresses that the EU should defend all of the values enshrined in Article 2 TEU with equal determination, and that failure to do so undermines democratic institutions and ultimately affects the human rights and lives of everyone in countries where those values are </w:t>
      </w:r>
      <w:r w:rsidR="00D315A6" w:rsidRPr="00F70818">
        <w:rPr>
          <w:szCs w:val="24"/>
        </w:rPr>
        <w:t xml:space="preserve">being </w:t>
      </w:r>
      <w:r w:rsidRPr="00F70818">
        <w:rPr>
          <w:szCs w:val="24"/>
        </w:rPr>
        <w:t>violated; recalls the importance of the primacy of EU law and condemns undermining it, including by</w:t>
      </w:r>
      <w:r w:rsidRPr="00F70818">
        <w:t xml:space="preserve"> not abiding </w:t>
      </w:r>
      <w:r w:rsidR="00D315A6" w:rsidRPr="00F70818">
        <w:t xml:space="preserve">by </w:t>
      </w:r>
      <w:r w:rsidRPr="00F70818">
        <w:t>the case</w:t>
      </w:r>
      <w:r w:rsidR="00D315A6" w:rsidRPr="00F70818">
        <w:t>-</w:t>
      </w:r>
      <w:r w:rsidRPr="00F70818">
        <w:t>law of the CJEU or questioning it by using</w:t>
      </w:r>
      <w:r w:rsidRPr="00F70818">
        <w:rPr>
          <w:szCs w:val="24"/>
        </w:rPr>
        <w:t xml:space="preserve"> </w:t>
      </w:r>
      <w:r w:rsidRPr="00F70818">
        <w:t xml:space="preserve">the Uniformity Chamber of the </w:t>
      </w:r>
      <w:r w:rsidRPr="00F70818">
        <w:rPr>
          <w:i/>
          <w:iCs/>
        </w:rPr>
        <w:t>Kúria</w:t>
      </w:r>
      <w:r w:rsidRPr="00F70818">
        <w:t xml:space="preserve">; underlines that Hungary has a legal obligation to comply with all </w:t>
      </w:r>
      <w:r w:rsidRPr="00F70818">
        <w:rPr>
          <w:szCs w:val="24"/>
        </w:rPr>
        <w:t>judgments of the CJEU and ECtHR without exception, and</w:t>
      </w:r>
      <w:r w:rsidR="0094561B" w:rsidRPr="00F70818">
        <w:rPr>
          <w:szCs w:val="24"/>
        </w:rPr>
        <w:t xml:space="preserve"> that</w:t>
      </w:r>
      <w:r w:rsidRPr="00F70818">
        <w:rPr>
          <w:szCs w:val="24"/>
        </w:rPr>
        <w:t xml:space="preserve"> the failure to do so is a grave breach of the rule of law;</w:t>
      </w:r>
    </w:p>
    <w:p w14:paraId="78368379" w14:textId="49DD309F" w:rsidR="00BF6178" w:rsidRPr="00F70818" w:rsidRDefault="00BF6178" w:rsidP="00BF6178">
      <w:pPr>
        <w:pStyle w:val="NormalHanging12a"/>
        <w:widowControl/>
        <w:rPr>
          <w:szCs w:val="24"/>
        </w:rPr>
      </w:pPr>
      <w:r w:rsidRPr="00F70818">
        <w:t>6.</w:t>
      </w:r>
      <w:r w:rsidRPr="00F70818">
        <w:tab/>
      </w:r>
      <w:r w:rsidRPr="00F70818">
        <w:rPr>
          <w:szCs w:val="24"/>
        </w:rPr>
        <w:t>Reiterates its call on the Commission to make full use of the tools available to address the clear risk of a serious breach by Hungary of the values on which the EU is founded, in particular infringement procedures based on Article 2 TEU, expedited infringement procedures, applications for interim measures before the CJEU and actions regarding the non-implementation of the CJEU</w:t>
      </w:r>
      <w:r w:rsidR="00F70818">
        <w:rPr>
          <w:szCs w:val="24"/>
        </w:rPr>
        <w:t>’</w:t>
      </w:r>
      <w:r w:rsidRPr="00F70818">
        <w:rPr>
          <w:szCs w:val="24"/>
        </w:rPr>
        <w:t xml:space="preserve">s judgments; </w:t>
      </w:r>
    </w:p>
    <w:p w14:paraId="5E5EA7D9" w14:textId="55B58E61" w:rsidR="00BF6178" w:rsidRPr="00F70818" w:rsidRDefault="00BF6178" w:rsidP="00BF6178">
      <w:pPr>
        <w:pStyle w:val="NormalHanging12a"/>
        <w:widowControl/>
      </w:pPr>
      <w:r w:rsidRPr="00F70818">
        <w:rPr>
          <w:szCs w:val="24"/>
        </w:rPr>
        <w:t>7.</w:t>
      </w:r>
      <w:r w:rsidRPr="00F70818">
        <w:rPr>
          <w:szCs w:val="24"/>
        </w:rPr>
        <w:tab/>
      </w:r>
      <w:r w:rsidRPr="00F70818">
        <w:t xml:space="preserve">Recalls that the functioning of the Union shall be founded on representative democracy, and </w:t>
      </w:r>
      <w:r w:rsidR="003204BF" w:rsidRPr="00F70818">
        <w:t xml:space="preserve">that </w:t>
      </w:r>
      <w:r w:rsidRPr="00F70818">
        <w:t xml:space="preserve">Member States are represented in the European Council by their Heads of State or Government and in the Council by their governments, themselves democratically accountable either to their national </w:t>
      </w:r>
      <w:r w:rsidR="003204BF" w:rsidRPr="00F70818">
        <w:t>p</w:t>
      </w:r>
      <w:r w:rsidRPr="00F70818">
        <w:t xml:space="preserve">arliaments, or to their citizens; underlines that democracy is dependent on free and fair elections, free and independent media and safeguards for civil society; calls on the Commission and Member States, in cooperation with the </w:t>
      </w:r>
      <w:r w:rsidR="003204BF" w:rsidRPr="00F70818">
        <w:t>Organization for Security and Co-operation in Europe</w:t>
      </w:r>
      <w:r w:rsidRPr="00F70818">
        <w:t>, to ensure that the elections in Hungary in 2026 are properly monitored and comply with the principle of democracy, bearing in mind that Hungary is the only Member State subject both to</w:t>
      </w:r>
      <w:r w:rsidR="003204BF" w:rsidRPr="00F70818">
        <w:t xml:space="preserve"> the</w:t>
      </w:r>
      <w:r w:rsidRPr="00F70818">
        <w:t xml:space="preserve"> Article 7(1) TEU procedure and the full monitoring procedure of the Parliamentary Assembly of the Council of Europe;</w:t>
      </w:r>
    </w:p>
    <w:p w14:paraId="705A2970" w14:textId="301CB767" w:rsidR="00BF6178" w:rsidRPr="00F70818" w:rsidRDefault="00BF6178" w:rsidP="00BF6178">
      <w:pPr>
        <w:pStyle w:val="NormalHanging12a"/>
        <w:widowControl/>
      </w:pPr>
      <w:r w:rsidRPr="00F70818">
        <w:t>8.</w:t>
      </w:r>
      <w:r w:rsidRPr="00F70818">
        <w:tab/>
        <w:t>Recalls the importance of the Rule of Law Conditionality Regulation and welcomes Commission</w:t>
      </w:r>
      <w:r w:rsidRPr="00F70818">
        <w:rPr>
          <w:i/>
        </w:rPr>
        <w:t xml:space="preserve"> </w:t>
      </w:r>
      <w:r w:rsidR="005C0B93" w:rsidRPr="00F70818">
        <w:rPr>
          <w:iCs/>
        </w:rPr>
        <w:t>Decision</w:t>
      </w:r>
      <w:r w:rsidR="005C0B93" w:rsidRPr="00F70818">
        <w:rPr>
          <w:i/>
        </w:rPr>
        <w:t xml:space="preserve"> </w:t>
      </w:r>
      <w:r w:rsidR="005C0B93" w:rsidRPr="00F70818">
        <w:t>C(2023)8999</w:t>
      </w:r>
      <w:r w:rsidR="00F70818">
        <w:t xml:space="preserve"> </w:t>
      </w:r>
      <w:r w:rsidRPr="00F70818">
        <w:t>of 13</w:t>
      </w:r>
      <w:r w:rsidR="008E32FC" w:rsidRPr="00F70818">
        <w:t> </w:t>
      </w:r>
      <w:r w:rsidRPr="00F70818">
        <w:t>December 2023</w:t>
      </w:r>
      <w:r w:rsidR="004E7825" w:rsidRPr="00F70818">
        <w:rPr>
          <w:rStyle w:val="FootnoteReference"/>
        </w:rPr>
        <w:footnoteReference w:id="14"/>
      </w:r>
      <w:r w:rsidRPr="00F70818">
        <w:t xml:space="preserve"> confirming that the risk to the Union budget has remained unchanged since December 2022, thus prolonging the measures adopted under the regulation in relation to the risk of corruption; calls on the Commission to take immediate action under the regulation as regards other breaches of the rule of law, such as those related to the judiciary, and bearing in mind the deteriorati</w:t>
      </w:r>
      <w:r w:rsidR="008E32FC" w:rsidRPr="00F70818">
        <w:t>ng</w:t>
      </w:r>
      <w:r w:rsidRPr="00F70818">
        <w:t xml:space="preserve"> anti-corruption situation, such as the obstacles </w:t>
      </w:r>
      <w:r w:rsidR="008E32FC" w:rsidRPr="00F70818">
        <w:t xml:space="preserve">facing </w:t>
      </w:r>
      <w:r w:rsidRPr="00F70818">
        <w:t>the Integrity Authority;</w:t>
      </w:r>
    </w:p>
    <w:p w14:paraId="4DF4A652" w14:textId="79B60B93" w:rsidR="00BF6178" w:rsidRPr="00F70818" w:rsidRDefault="00BF6178" w:rsidP="00BF6178">
      <w:pPr>
        <w:pStyle w:val="NormalHanging12a"/>
        <w:widowControl/>
        <w:rPr>
          <w:szCs w:val="24"/>
        </w:rPr>
      </w:pPr>
      <w:r w:rsidRPr="00F70818">
        <w:rPr>
          <w:szCs w:val="24"/>
        </w:rPr>
        <w:t>9.</w:t>
      </w:r>
      <w:r w:rsidRPr="00F70818">
        <w:rPr>
          <w:szCs w:val="24"/>
        </w:rPr>
        <w:tab/>
        <w:t xml:space="preserve">Reiterates its serious concerns about the decision, considering that the horizontal enabling condition of the Charter had been fulfilled in relation to judicial independence; recalls </w:t>
      </w:r>
      <w:r w:rsidR="008E32FC" w:rsidRPr="00F70818">
        <w:rPr>
          <w:szCs w:val="24"/>
        </w:rPr>
        <w:t xml:space="preserve">its </w:t>
      </w:r>
      <w:r w:rsidRPr="00F70818">
        <w:rPr>
          <w:szCs w:val="24"/>
        </w:rPr>
        <w:t xml:space="preserve">application with a view to reviewing the legality of </w:t>
      </w:r>
      <w:r w:rsidR="00E74640" w:rsidRPr="00F70818">
        <w:rPr>
          <w:szCs w:val="24"/>
        </w:rPr>
        <w:t xml:space="preserve">Commission </w:t>
      </w:r>
      <w:r w:rsidRPr="00F70818">
        <w:rPr>
          <w:szCs w:val="24"/>
        </w:rPr>
        <w:t>Decision C(2023)9014</w:t>
      </w:r>
      <w:r w:rsidR="006B4745" w:rsidRPr="00F70818">
        <w:rPr>
          <w:rStyle w:val="FootnoteReference"/>
          <w:szCs w:val="24"/>
        </w:rPr>
        <w:footnoteReference w:id="15"/>
      </w:r>
      <w:r w:rsidRPr="00F70818">
        <w:rPr>
          <w:szCs w:val="24"/>
        </w:rPr>
        <w:t xml:space="preserve"> before the CJEU (Case C-225/24); calls on the Commission to freeze the funds until all of the relevant legislation has been fully implemented, the adopted measures have proven their effectiveness in practice and Hungary has implemented all of the relevant judgments of the CJEU and ECtHR; </w:t>
      </w:r>
    </w:p>
    <w:p w14:paraId="3D9D82B6" w14:textId="57A20597" w:rsidR="00BF6178" w:rsidRPr="00F70818" w:rsidRDefault="00BF6178" w:rsidP="00BF6178">
      <w:pPr>
        <w:pStyle w:val="NormalHanging12a"/>
        <w:widowControl/>
      </w:pPr>
      <w:r w:rsidRPr="00F70818">
        <w:rPr>
          <w:szCs w:val="24"/>
        </w:rPr>
        <w:t>10.</w:t>
      </w:r>
      <w:r w:rsidRPr="00F70818">
        <w:rPr>
          <w:szCs w:val="24"/>
        </w:rPr>
        <w:tab/>
        <w:t xml:space="preserve">Insists that the measures required for the release of EU funding, as defined by the relevant decisions taken under the Common Provisions Regulation, the RRF Regulation and the Rule of Law Conditionality Regulation, must be assessed in a coherent manner as an integral package and that no payments should be made </w:t>
      </w:r>
      <w:r w:rsidR="003E46FF" w:rsidRPr="00F70818">
        <w:rPr>
          <w:szCs w:val="24"/>
        </w:rPr>
        <w:t xml:space="preserve">while deficiencies persist in one or more areas, </w:t>
      </w:r>
      <w:r w:rsidRPr="00F70818">
        <w:rPr>
          <w:szCs w:val="24"/>
        </w:rPr>
        <w:t xml:space="preserve">even if progress is made in </w:t>
      </w:r>
      <w:r w:rsidR="003E46FF" w:rsidRPr="00F70818">
        <w:rPr>
          <w:szCs w:val="24"/>
        </w:rPr>
        <w:t>others</w:t>
      </w:r>
      <w:r w:rsidRPr="00F70818">
        <w:rPr>
          <w:szCs w:val="24"/>
        </w:rPr>
        <w:t xml:space="preserve">; </w:t>
      </w:r>
    </w:p>
    <w:p w14:paraId="5EAC61AC" w14:textId="1045F0CC" w:rsidR="00BF6178" w:rsidRPr="00F70818" w:rsidRDefault="00BF6178" w:rsidP="00BF6178">
      <w:pPr>
        <w:pStyle w:val="NormalHanging12a"/>
        <w:widowControl/>
      </w:pPr>
      <w:r w:rsidRPr="00F70818">
        <w:t xml:space="preserve">11. </w:t>
      </w:r>
      <w:r w:rsidRPr="00F70818">
        <w:tab/>
        <w:t>Reiterates its call on the Commission to ensure that the final recipients or beneficiaries of EU funds are not deprived of these funds, as set out in the Rule of Law Conditionality Regulation</w:t>
      </w:r>
      <w:r w:rsidRPr="00F70818">
        <w:rPr>
          <w:rFonts w:eastAsiaTheme="minorHAnsi"/>
          <w:lang w:eastAsia="en-US"/>
        </w:rPr>
        <w:t xml:space="preserve">; calls on the Commission to find ways to distribute EU funds via local governments and NGOs if the government concerned does not cooperate regarding the deficiencies; </w:t>
      </w:r>
      <w:r w:rsidRPr="00F70818">
        <w:t>calls on the Commission to support independent civil society in Hungary</w:t>
      </w:r>
      <w:r w:rsidR="00832751" w:rsidRPr="00F70818">
        <w:t>,</w:t>
      </w:r>
      <w:r w:rsidRPr="00F70818">
        <w:t xml:space="preserve"> which safeguards the values enshrined in Article 2 TEU, in particular by using the Citizens, Equality, Rights and Values programme;</w:t>
      </w:r>
    </w:p>
    <w:p w14:paraId="162BF05C" w14:textId="7DBD66F7" w:rsidR="00BF6178" w:rsidRPr="00F70818" w:rsidRDefault="00BF6178" w:rsidP="00BF6178">
      <w:pPr>
        <w:pStyle w:val="NormalHanging12a"/>
        <w:widowControl/>
      </w:pPr>
      <w:r w:rsidRPr="00F70818">
        <w:t>12.</w:t>
      </w:r>
      <w:r w:rsidRPr="00F70818">
        <w:tab/>
        <w:t>Condemns the possibility to amend a programme or transfer resources subject to measures adopted under the Rule of Law Conditionality Regulation or subject to a negative assessment on the basis of the application of enabling conditions under the</w:t>
      </w:r>
      <w:r w:rsidR="00B95C65" w:rsidRPr="00F70818">
        <w:t xml:space="preserve"> </w:t>
      </w:r>
      <w:r w:rsidRPr="00F70818">
        <w:t>Common Provisions Regulation; expresses concern that this loophole has</w:t>
      </w:r>
      <w:r w:rsidR="00832751" w:rsidRPr="00F70818">
        <w:t xml:space="preserve"> </w:t>
      </w:r>
      <w:r w:rsidRPr="00F70818">
        <w:t>n</w:t>
      </w:r>
      <w:r w:rsidR="00832751" w:rsidRPr="00F70818">
        <w:t>o</w:t>
      </w:r>
      <w:r w:rsidRPr="00F70818">
        <w:t>t been properly addressed in the mid-term review of cohesion policy;</w:t>
      </w:r>
    </w:p>
    <w:p w14:paraId="2EB0A9FA" w14:textId="0C587108" w:rsidR="00BF6178" w:rsidRPr="00F70818" w:rsidRDefault="00BF6178" w:rsidP="00BF6178">
      <w:pPr>
        <w:pStyle w:val="NormalHanging12a"/>
        <w:widowControl/>
      </w:pPr>
      <w:r w:rsidRPr="00F70818">
        <w:t>13.</w:t>
      </w:r>
      <w:r w:rsidRPr="00F70818">
        <w:tab/>
        <w:t>Welcomes the suggestions for the Charter and the rule of law horizontal conditions in the Commission</w:t>
      </w:r>
      <w:r w:rsidR="00F70818">
        <w:t>’</w:t>
      </w:r>
      <w:r w:rsidRPr="00F70818">
        <w:t xml:space="preserve">s proposal for a </w:t>
      </w:r>
      <w:r w:rsidR="00832751" w:rsidRPr="00F70818">
        <w:t>r</w:t>
      </w:r>
      <w:r w:rsidRPr="00F70818">
        <w:t xml:space="preserve">egulation establishing the European </w:t>
      </w:r>
      <w:r w:rsidR="00832751" w:rsidRPr="00F70818">
        <w:t>f</w:t>
      </w:r>
      <w:r w:rsidRPr="00F70818">
        <w:t>und for economic, social and territorial cohesion, agriculture and rural, fisheries and maritime, prosperity and security for the period 2028-2034</w:t>
      </w:r>
      <w:r w:rsidR="00832751" w:rsidRPr="00F70818">
        <w:rPr>
          <w:rStyle w:val="FootnoteReference"/>
        </w:rPr>
        <w:footnoteReference w:id="16"/>
      </w:r>
      <w:r w:rsidRPr="00F70818">
        <w:t xml:space="preserve">; believes that such </w:t>
      </w:r>
      <w:r w:rsidR="00832751" w:rsidRPr="00F70818">
        <w:t xml:space="preserve">an </w:t>
      </w:r>
      <w:r w:rsidRPr="00F70818">
        <w:t xml:space="preserve">approach to conditionality may resolve the identified issues concerning the possibility to affect the suspended amounts and the protection of final recipients or beneficiaries, as the proposal </w:t>
      </w:r>
      <w:r w:rsidR="00832751" w:rsidRPr="00F70818">
        <w:t xml:space="preserve">provides for </w:t>
      </w:r>
      <w:r w:rsidRPr="00F70818">
        <w:t>the funds</w:t>
      </w:r>
      <w:r w:rsidR="00832751" w:rsidRPr="00F70818">
        <w:t xml:space="preserve"> to be made</w:t>
      </w:r>
      <w:r w:rsidRPr="00F70818">
        <w:t xml:space="preserve"> available again for use under direct or indirect management, in particular the instruments and programmes </w:t>
      </w:r>
      <w:r w:rsidR="00832751" w:rsidRPr="00F70818">
        <w:t xml:space="preserve">that </w:t>
      </w:r>
      <w:r w:rsidRPr="00F70818">
        <w:t>contribut</w:t>
      </w:r>
      <w:r w:rsidR="00832751" w:rsidRPr="00F70818">
        <w:t>e</w:t>
      </w:r>
      <w:r w:rsidRPr="00F70818">
        <w:t> to supporting Europe</w:t>
      </w:r>
      <w:r w:rsidR="00F70818">
        <w:t>’</w:t>
      </w:r>
      <w:r w:rsidRPr="00F70818">
        <w:t>s democracy, civil society, Union values or the fight against corruption; believes, however, that the horizontal conditions should cover all values enshrined in Article 2 TEU, and</w:t>
      </w:r>
      <w:r w:rsidR="00832751" w:rsidRPr="00F70818">
        <w:t xml:space="preserve"> that</w:t>
      </w:r>
      <w:r w:rsidRPr="00F70818">
        <w:t xml:space="preserve"> the decision-making procedure should be identical, culminating in the Commission</w:t>
      </w:r>
      <w:r w:rsidR="00F70818">
        <w:t>’</w:t>
      </w:r>
      <w:r w:rsidRPr="00F70818">
        <w:t>s decisions;</w:t>
      </w:r>
    </w:p>
    <w:p w14:paraId="4A75AA45" w14:textId="20B9245F" w:rsidR="00BF6178" w:rsidRPr="00F70818" w:rsidRDefault="00BF6178" w:rsidP="00BF6178">
      <w:pPr>
        <w:ind w:left="567" w:hanging="567"/>
      </w:pPr>
      <w:r w:rsidRPr="00F70818">
        <w:rPr>
          <w:rFonts w:eastAsiaTheme="minorHAnsi"/>
          <w:lang w:eastAsia="en-US"/>
        </w:rPr>
        <w:t>14.</w:t>
      </w:r>
      <w:r w:rsidRPr="00F70818">
        <w:rPr>
          <w:rFonts w:eastAsiaTheme="minorHAnsi"/>
          <w:lang w:eastAsia="en-US"/>
        </w:rPr>
        <w:tab/>
      </w:r>
      <w:r w:rsidRPr="00F70818">
        <w:t xml:space="preserve">Underlines that the Hungarian authorities must guarantee equal opportunities to access EU funding for individuals, companies, civil society, NGOs and local and regional authorities, and must ensure independent judicial oversight, as well as impartial and effective complaints mechanisms; condemns the reported systemic discriminatory practices against academia, journalists, local governments, political parties and civil society, as well as companies in certain sectors; condemns smear campaigns, surveillance and online and physical intimidation creating </w:t>
      </w:r>
      <w:r w:rsidR="00AF1AB9" w:rsidRPr="00F70818">
        <w:t xml:space="preserve">a </w:t>
      </w:r>
      <w:r w:rsidRPr="00F70818">
        <w:t xml:space="preserve">chilling effect; </w:t>
      </w:r>
    </w:p>
    <w:p w14:paraId="1F11F9BA" w14:textId="77777777" w:rsidR="00BF6178" w:rsidRPr="00F70818" w:rsidRDefault="00BF6178" w:rsidP="00BF6178">
      <w:pPr>
        <w:ind w:left="567" w:hanging="567"/>
      </w:pPr>
    </w:p>
    <w:p w14:paraId="0FA61430" w14:textId="7B0CF396" w:rsidR="00BF6178" w:rsidRPr="00F70818" w:rsidRDefault="00BF6178" w:rsidP="00BF6178">
      <w:pPr>
        <w:pStyle w:val="NormalHanging12a"/>
        <w:widowControl/>
      </w:pPr>
      <w:r w:rsidRPr="00F70818">
        <w:t>15.</w:t>
      </w:r>
      <w:r w:rsidRPr="00F70818">
        <w:tab/>
        <w:t xml:space="preserve">Regrets the politically motivated business practices that give an unfair advantage to competitors, non-transparent and manipulated public procurement procedures, takeover bids by the government and entities with ties to the Prime Minister, and the use of EU funds to enrich political allies of the government in contradiction to EU competition and public procurement rules; stresses that the rule of law is </w:t>
      </w:r>
      <w:r w:rsidR="006109D1" w:rsidRPr="00F70818">
        <w:t>crucial</w:t>
      </w:r>
      <w:r w:rsidRPr="00F70818">
        <w:t xml:space="preserve"> for a functioning single market in the EU; </w:t>
      </w:r>
    </w:p>
    <w:p w14:paraId="69AAEB46" w14:textId="75AE488C" w:rsidR="00956D89" w:rsidRPr="00F70818" w:rsidRDefault="00BF6178" w:rsidP="00280C1A">
      <w:pPr>
        <w:pStyle w:val="NormalHanging12a"/>
        <w:widowControl/>
      </w:pPr>
      <w:r w:rsidRPr="00F70818">
        <w:t>16.</w:t>
      </w:r>
      <w:r w:rsidRPr="00F70818">
        <w:tab/>
        <w:t>Reiterates its call on the Commission and the Council to immediately enter into negotiation with Parliament on an EU mechanism on democracy, the rule of law and fundamental rights in the form of an interinstitutional agreement, including a permanent policy cycle among the EU institutions;</w:t>
      </w:r>
    </w:p>
    <w:p w14:paraId="19ADD6A0" w14:textId="77777777" w:rsidR="00B95C65" w:rsidRPr="00F70818" w:rsidRDefault="00B95C65" w:rsidP="00B95C65">
      <w:pPr>
        <w:pStyle w:val="NormalHanging12a"/>
        <w:spacing w:before="240"/>
        <w:jc w:val="center"/>
      </w:pPr>
      <w:r w:rsidRPr="00F70818">
        <w:t>°</w:t>
      </w:r>
    </w:p>
    <w:p w14:paraId="5D6F80D2" w14:textId="1790B73A" w:rsidR="00B95C65" w:rsidRPr="00F70818" w:rsidRDefault="00B95C65" w:rsidP="00B95C65">
      <w:pPr>
        <w:pStyle w:val="NormalHanging12a"/>
        <w:jc w:val="center"/>
      </w:pPr>
      <w:r w:rsidRPr="00F70818">
        <w:t>°</w:t>
      </w:r>
      <w:r w:rsidRPr="00F70818">
        <w:tab/>
        <w:t>°</w:t>
      </w:r>
    </w:p>
    <w:p w14:paraId="38A4BC95" w14:textId="77777777" w:rsidR="003106F9" w:rsidRPr="00F70818" w:rsidRDefault="00BF6178" w:rsidP="00BF6178">
      <w:pPr>
        <w:pStyle w:val="NormalHanging12a"/>
        <w:widowControl/>
      </w:pPr>
      <w:r w:rsidRPr="00F70818">
        <w:t>17.</w:t>
      </w:r>
      <w:r w:rsidRPr="00F70818">
        <w:tab/>
        <w:t>Instructs its President to forward this resolution to the Council, the Commission, the governments and parliaments of the Member States, the Council of Europe, the Organization for Security and Co-operation in Europe and the United Nations</w:t>
      </w:r>
      <w:bookmarkStart w:id="2" w:name="TextBodyEnd"/>
      <w:bookmarkEnd w:id="2"/>
      <w:r w:rsidRPr="00F70818">
        <w:t>.</w:t>
      </w:r>
    </w:p>
    <w:sectPr w:rsidR="003106F9" w:rsidRPr="00F70818" w:rsidSect="00BD3F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FBAD" w14:textId="77777777" w:rsidR="00702918" w:rsidRPr="00F70818" w:rsidRDefault="00702918">
      <w:r w:rsidRPr="00F70818">
        <w:separator/>
      </w:r>
    </w:p>
  </w:endnote>
  <w:endnote w:type="continuationSeparator" w:id="0">
    <w:p w14:paraId="62E7273A" w14:textId="77777777" w:rsidR="00702918" w:rsidRPr="00F70818" w:rsidRDefault="00702918">
      <w:r w:rsidRPr="00F708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682D7" w14:textId="41A022A9" w:rsidR="00BD3F6E" w:rsidRPr="00F70818" w:rsidRDefault="00BD3F6E" w:rsidP="00BD3F6E">
    <w:pPr>
      <w:pStyle w:val="EPFooter"/>
      <w:rPr>
        <w:lang w:val="fr-BE"/>
      </w:rPr>
    </w:pPr>
    <w:r w:rsidRPr="00F70818">
      <w:rPr>
        <w:lang w:val="fr-BE"/>
      </w:rPr>
      <w:t>PE</w:t>
    </w:r>
    <w:r w:rsidRPr="00F70818">
      <w:rPr>
        <w:rStyle w:val="HideTWBExt"/>
        <w:lang w:val="fr-BE"/>
      </w:rPr>
      <w:t>&lt;NoPE&gt;</w:t>
    </w:r>
    <w:r w:rsidRPr="00F70818">
      <w:rPr>
        <w:lang w:val="fr-BE"/>
      </w:rPr>
      <w:t>777.005</w:t>
    </w:r>
    <w:r w:rsidRPr="00F70818">
      <w:rPr>
        <w:rStyle w:val="HideTWBExt"/>
        <w:lang w:val="fr-BE"/>
      </w:rPr>
      <w:t>&lt;/NoPE&gt;&lt;Version&gt;</w:t>
    </w:r>
    <w:r w:rsidRPr="00F70818">
      <w:rPr>
        <w:lang w:val="fr-BE"/>
      </w:rPr>
      <w:t>v01-00</w:t>
    </w:r>
    <w:r w:rsidRPr="00F70818">
      <w:rPr>
        <w:rStyle w:val="HideTWBExt"/>
        <w:lang w:val="fr-BE"/>
      </w:rPr>
      <w:t>&lt;/Version&gt;</w:t>
    </w:r>
    <w:r w:rsidRPr="00F70818">
      <w:rPr>
        <w:lang w:val="fr-BE"/>
      </w:rPr>
      <w:tab/>
    </w:r>
    <w:r w:rsidRPr="00F70818">
      <w:fldChar w:fldCharType="begin"/>
    </w:r>
    <w:r w:rsidRPr="00F70818">
      <w:rPr>
        <w:lang w:val="fr-BE"/>
      </w:rPr>
      <w:instrText xml:space="preserve"> PAGE  \* MERGEFORMAT </w:instrText>
    </w:r>
    <w:r w:rsidRPr="00F70818">
      <w:fldChar w:fldCharType="separate"/>
    </w:r>
    <w:r w:rsidR="006109D1" w:rsidRPr="00F70818">
      <w:rPr>
        <w:noProof/>
        <w:lang w:val="fr-BE"/>
      </w:rPr>
      <w:t>2</w:t>
    </w:r>
    <w:r w:rsidRPr="00F70818">
      <w:fldChar w:fldCharType="end"/>
    </w:r>
    <w:r w:rsidRPr="00F70818">
      <w:rPr>
        <w:lang w:val="fr-BE"/>
      </w:rPr>
      <w:t>/</w:t>
    </w:r>
    <w:r w:rsidR="00B95C65" w:rsidRPr="00F70818">
      <w:fldChar w:fldCharType="begin"/>
    </w:r>
    <w:r w:rsidR="00B95C65" w:rsidRPr="00F70818">
      <w:rPr>
        <w:lang w:val="fr-BE"/>
      </w:rPr>
      <w:instrText xml:space="preserve"> NUMPAGES  \* MERGEFORMAT </w:instrText>
    </w:r>
    <w:r w:rsidR="00B95C65" w:rsidRPr="00F70818">
      <w:fldChar w:fldCharType="separate"/>
    </w:r>
    <w:r w:rsidR="006109D1" w:rsidRPr="00F70818">
      <w:rPr>
        <w:noProof/>
        <w:lang w:val="fr-BE"/>
      </w:rPr>
      <w:t>6</w:t>
    </w:r>
    <w:r w:rsidR="00B95C65" w:rsidRPr="00F70818">
      <w:rPr>
        <w:noProof/>
      </w:rPr>
      <w:fldChar w:fldCharType="end"/>
    </w:r>
    <w:r w:rsidRPr="00F70818">
      <w:rPr>
        <w:lang w:val="fr-BE"/>
      </w:rPr>
      <w:tab/>
    </w:r>
    <w:r w:rsidRPr="00F70818">
      <w:rPr>
        <w:rStyle w:val="HideTWBExt"/>
        <w:lang w:val="fr-BE"/>
      </w:rPr>
      <w:t>&lt;PathFdR&gt;</w:t>
    </w:r>
    <w:r w:rsidR="006F38B6" w:rsidRPr="00F70818">
      <w:rPr>
        <w:lang w:val="fr-BE"/>
      </w:rPr>
      <w:t>PR\1327708EN.docx</w:t>
    </w:r>
    <w:r w:rsidRPr="00F70818">
      <w:rPr>
        <w:rStyle w:val="HideTWBExt"/>
        <w:lang w:val="fr-BE"/>
      </w:rPr>
      <w:t>&lt;/PathFdR&gt;</w:t>
    </w:r>
  </w:p>
  <w:p w14:paraId="4D3646A1" w14:textId="59659B6F" w:rsidR="00067497" w:rsidRPr="00F70818" w:rsidRDefault="00BD3F6E" w:rsidP="00BD3F6E">
    <w:pPr>
      <w:pStyle w:val="EPFooter2"/>
    </w:pPr>
    <w:r w:rsidRPr="00F7081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B87BB" w14:textId="2420297B" w:rsidR="00BD3F6E" w:rsidRPr="00F70818" w:rsidRDefault="00BD3F6E" w:rsidP="00BD3F6E">
    <w:pPr>
      <w:pStyle w:val="EPFooter"/>
    </w:pPr>
    <w:r w:rsidRPr="00F70818">
      <w:rPr>
        <w:rStyle w:val="HideTWBExt"/>
      </w:rPr>
      <w:t>&lt;PathFdR&gt;</w:t>
    </w:r>
    <w:r w:rsidR="006F38B6" w:rsidRPr="00F70818">
      <w:t>PR\1327708EN.docx</w:t>
    </w:r>
    <w:r w:rsidRPr="00F70818">
      <w:rPr>
        <w:rStyle w:val="HideTWBExt"/>
      </w:rPr>
      <w:t>&lt;/PathFdR&gt;</w:t>
    </w:r>
    <w:r w:rsidRPr="00F70818">
      <w:tab/>
    </w:r>
    <w:r w:rsidRPr="00F70818">
      <w:fldChar w:fldCharType="begin"/>
    </w:r>
    <w:r w:rsidRPr="00F70818">
      <w:instrText xml:space="preserve"> PAGE  \* MERGEFORMAT </w:instrText>
    </w:r>
    <w:r w:rsidRPr="00F70818">
      <w:fldChar w:fldCharType="separate"/>
    </w:r>
    <w:r w:rsidR="006109D1" w:rsidRPr="00F70818">
      <w:rPr>
        <w:noProof/>
      </w:rPr>
      <w:t>3</w:t>
    </w:r>
    <w:r w:rsidRPr="00F70818">
      <w:fldChar w:fldCharType="end"/>
    </w:r>
    <w:r w:rsidRPr="00F70818">
      <w:t>/</w:t>
    </w:r>
    <w:r w:rsidR="00280C1A" w:rsidRPr="00F70818">
      <w:fldChar w:fldCharType="begin"/>
    </w:r>
    <w:r w:rsidR="00280C1A" w:rsidRPr="00F70818">
      <w:instrText xml:space="preserve"> NUMPAGES  \* MERGEFORMAT </w:instrText>
    </w:r>
    <w:r w:rsidR="00280C1A" w:rsidRPr="00F70818">
      <w:fldChar w:fldCharType="separate"/>
    </w:r>
    <w:r w:rsidR="006109D1" w:rsidRPr="00F70818">
      <w:rPr>
        <w:noProof/>
      </w:rPr>
      <w:t>6</w:t>
    </w:r>
    <w:r w:rsidR="00280C1A" w:rsidRPr="00F70818">
      <w:rPr>
        <w:noProof/>
      </w:rPr>
      <w:fldChar w:fldCharType="end"/>
    </w:r>
    <w:r w:rsidRPr="00F70818">
      <w:tab/>
      <w:t>PE</w:t>
    </w:r>
    <w:r w:rsidRPr="00F70818">
      <w:rPr>
        <w:rStyle w:val="HideTWBExt"/>
      </w:rPr>
      <w:t>&lt;NoPE&gt;</w:t>
    </w:r>
    <w:r w:rsidRPr="00F70818">
      <w:t>777.005</w:t>
    </w:r>
    <w:r w:rsidRPr="00F70818">
      <w:rPr>
        <w:rStyle w:val="HideTWBExt"/>
      </w:rPr>
      <w:t>&lt;/NoPE&gt;&lt;Version&gt;</w:t>
    </w:r>
    <w:r w:rsidRPr="00F70818">
      <w:t>v01-00</w:t>
    </w:r>
    <w:r w:rsidRPr="00F70818">
      <w:rPr>
        <w:rStyle w:val="HideTWBExt"/>
      </w:rPr>
      <w:t>&lt;/Version&gt;</w:t>
    </w:r>
  </w:p>
  <w:p w14:paraId="05ACF2AA" w14:textId="441AC702" w:rsidR="00067497" w:rsidRPr="00F70818" w:rsidRDefault="00BD3F6E" w:rsidP="00BD3F6E">
    <w:pPr>
      <w:pStyle w:val="EPFooter2"/>
    </w:pPr>
    <w:r w:rsidRPr="00F70818">
      <w:tab/>
    </w:r>
    <w:r w:rsidRPr="00F7081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7F7C" w14:textId="16760FBB" w:rsidR="00BD3F6E" w:rsidRPr="00F70818" w:rsidRDefault="00BD3F6E" w:rsidP="00BD3F6E">
    <w:pPr>
      <w:pStyle w:val="EPFooter"/>
    </w:pPr>
    <w:r w:rsidRPr="00F70818">
      <w:rPr>
        <w:rStyle w:val="HideTWBExt"/>
      </w:rPr>
      <w:t>&lt;PathFdR&gt;</w:t>
    </w:r>
    <w:r w:rsidR="006F38B6" w:rsidRPr="00F70818">
      <w:t>PR\1327708EN.docx</w:t>
    </w:r>
    <w:r w:rsidRPr="00F70818">
      <w:rPr>
        <w:rStyle w:val="HideTWBExt"/>
      </w:rPr>
      <w:t>&lt;/PathFdR&gt;</w:t>
    </w:r>
    <w:r w:rsidRPr="00F70818">
      <w:tab/>
    </w:r>
    <w:r w:rsidRPr="00F70818">
      <w:tab/>
      <w:t>PE</w:t>
    </w:r>
    <w:r w:rsidRPr="00F70818">
      <w:rPr>
        <w:rStyle w:val="HideTWBExt"/>
      </w:rPr>
      <w:t>&lt;NoPE&gt;</w:t>
    </w:r>
    <w:r w:rsidRPr="00F70818">
      <w:t>777.005</w:t>
    </w:r>
    <w:r w:rsidRPr="00F70818">
      <w:rPr>
        <w:rStyle w:val="HideTWBExt"/>
      </w:rPr>
      <w:t>&lt;/NoPE&gt;&lt;Version&gt;</w:t>
    </w:r>
    <w:r w:rsidRPr="00F70818">
      <w:t>v01-00</w:t>
    </w:r>
    <w:r w:rsidRPr="00F70818">
      <w:rPr>
        <w:rStyle w:val="HideTWBExt"/>
      </w:rPr>
      <w:t>&lt;/Version&gt;</w:t>
    </w:r>
  </w:p>
  <w:p w14:paraId="101C7A4C" w14:textId="6233A1B2" w:rsidR="00067497" w:rsidRPr="00F70818" w:rsidRDefault="00BD3F6E" w:rsidP="00BD3F6E">
    <w:pPr>
      <w:pStyle w:val="EPFooter2"/>
    </w:pPr>
    <w:r w:rsidRPr="00F70818">
      <w:t>EN</w:t>
    </w:r>
    <w:r w:rsidRPr="00F70818">
      <w:tab/>
    </w:r>
    <w:r w:rsidRPr="00F70818">
      <w:rPr>
        <w:b w:val="0"/>
        <w:i/>
        <w:color w:val="C0C0C0"/>
        <w:sz w:val="22"/>
      </w:rPr>
      <w:t>United in diversity</w:t>
    </w:r>
    <w:r w:rsidRPr="00F7081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D7AA5" w14:textId="77777777" w:rsidR="00702918" w:rsidRPr="00F70818" w:rsidRDefault="00702918">
      <w:r w:rsidRPr="00F70818">
        <w:separator/>
      </w:r>
    </w:p>
  </w:footnote>
  <w:footnote w:type="continuationSeparator" w:id="0">
    <w:p w14:paraId="4F9BA220" w14:textId="77777777" w:rsidR="00702918" w:rsidRPr="00F70818" w:rsidRDefault="00702918">
      <w:r w:rsidRPr="00F70818">
        <w:continuationSeparator/>
      </w:r>
    </w:p>
  </w:footnote>
  <w:footnote w:id="1">
    <w:p w14:paraId="54510929" w14:textId="375B681B" w:rsidR="00AF1AB9" w:rsidRPr="00F70818" w:rsidRDefault="00AF1AB9">
      <w:pPr>
        <w:pStyle w:val="FootnoteText"/>
        <w:rPr>
          <w:sz w:val="20"/>
          <w:szCs w:val="18"/>
          <w:lang w:val="fi-FI"/>
        </w:rPr>
      </w:pPr>
      <w:r w:rsidRPr="00F70818">
        <w:rPr>
          <w:rStyle w:val="FootnoteReference"/>
          <w:sz w:val="20"/>
          <w:szCs w:val="18"/>
        </w:rPr>
        <w:footnoteRef/>
      </w:r>
      <w:r w:rsidRPr="00F70818">
        <w:rPr>
          <w:sz w:val="20"/>
          <w:szCs w:val="18"/>
          <w:lang w:val="fi-FI"/>
        </w:rPr>
        <w:t xml:space="preserve"> OJ L 433 I, 22.12.2020, p. 1, ELI: </w:t>
      </w:r>
      <w:hyperlink r:id="rId1" w:history="1">
        <w:r w:rsidRPr="00F70818">
          <w:rPr>
            <w:rStyle w:val="Hyperlink"/>
            <w:sz w:val="20"/>
            <w:szCs w:val="18"/>
            <w:lang w:val="fi-FI"/>
          </w:rPr>
          <w:t>http://data.europa.eu/eli/reg/2020/2092/oj</w:t>
        </w:r>
      </w:hyperlink>
      <w:r w:rsidRPr="00F70818">
        <w:rPr>
          <w:sz w:val="20"/>
          <w:szCs w:val="18"/>
          <w:lang w:val="fi-FI"/>
        </w:rPr>
        <w:t xml:space="preserve">. </w:t>
      </w:r>
    </w:p>
  </w:footnote>
  <w:footnote w:id="2">
    <w:p w14:paraId="4BC13404" w14:textId="798670FF" w:rsidR="00AF1AB9" w:rsidRPr="00F70818" w:rsidRDefault="00AF1AB9">
      <w:pPr>
        <w:pStyle w:val="FootnoteText"/>
        <w:rPr>
          <w:sz w:val="20"/>
          <w:szCs w:val="18"/>
          <w:lang w:val="fi-FI"/>
        </w:rPr>
      </w:pPr>
      <w:r w:rsidRPr="00F70818">
        <w:rPr>
          <w:rStyle w:val="FootnoteReference"/>
          <w:sz w:val="20"/>
          <w:szCs w:val="18"/>
        </w:rPr>
        <w:footnoteRef/>
      </w:r>
      <w:r w:rsidRPr="00F70818">
        <w:rPr>
          <w:sz w:val="20"/>
          <w:szCs w:val="18"/>
          <w:lang w:val="fi-FI"/>
        </w:rPr>
        <w:t xml:space="preserve"> OJ L 231, 30.6.2021, p. 159, ELI: </w:t>
      </w:r>
      <w:hyperlink r:id="rId2" w:history="1">
        <w:r w:rsidRPr="00F70818">
          <w:rPr>
            <w:rStyle w:val="Hyperlink"/>
            <w:sz w:val="20"/>
            <w:szCs w:val="18"/>
            <w:lang w:val="fi-FI"/>
          </w:rPr>
          <w:t>http://data.europa.eu/eli/reg/2021/1060/oj</w:t>
        </w:r>
      </w:hyperlink>
      <w:r w:rsidRPr="00F70818">
        <w:rPr>
          <w:sz w:val="20"/>
          <w:szCs w:val="18"/>
          <w:lang w:val="fi-FI"/>
        </w:rPr>
        <w:t xml:space="preserve">. </w:t>
      </w:r>
    </w:p>
  </w:footnote>
  <w:footnote w:id="3">
    <w:p w14:paraId="470579D2" w14:textId="4F91344E" w:rsidR="00AF1AB9" w:rsidRPr="00F70818" w:rsidRDefault="00AF1AB9">
      <w:pPr>
        <w:pStyle w:val="FootnoteText"/>
        <w:rPr>
          <w:lang w:val="fi-FI"/>
        </w:rPr>
      </w:pPr>
      <w:r w:rsidRPr="00F70818">
        <w:rPr>
          <w:rStyle w:val="FootnoteReference"/>
          <w:sz w:val="20"/>
          <w:szCs w:val="18"/>
        </w:rPr>
        <w:footnoteRef/>
      </w:r>
      <w:r w:rsidRPr="00F70818">
        <w:rPr>
          <w:sz w:val="20"/>
          <w:szCs w:val="18"/>
          <w:lang w:val="fi-FI"/>
        </w:rPr>
        <w:t xml:space="preserve"> OJ L 57, 18.2.2021, p. 17, ELI: </w:t>
      </w:r>
      <w:hyperlink r:id="rId3" w:history="1">
        <w:r w:rsidRPr="00F70818">
          <w:rPr>
            <w:rStyle w:val="Hyperlink"/>
            <w:sz w:val="20"/>
            <w:szCs w:val="18"/>
            <w:lang w:val="fi-FI"/>
          </w:rPr>
          <w:t>http://data.europa.eu/eli/reg/2021/241/oj</w:t>
        </w:r>
      </w:hyperlink>
      <w:r w:rsidRPr="00F70818">
        <w:rPr>
          <w:sz w:val="20"/>
          <w:szCs w:val="18"/>
          <w:lang w:val="fi-FI"/>
        </w:rPr>
        <w:t xml:space="preserve">. </w:t>
      </w:r>
    </w:p>
  </w:footnote>
  <w:footnote w:id="4">
    <w:p w14:paraId="760A5C1F" w14:textId="0EBD3316" w:rsidR="00F82528" w:rsidRPr="00F70818" w:rsidRDefault="00F82528">
      <w:pPr>
        <w:pStyle w:val="FootnoteText"/>
        <w:rPr>
          <w:lang w:val="fi-FI"/>
        </w:rPr>
      </w:pPr>
      <w:r w:rsidRPr="00F70818">
        <w:rPr>
          <w:rStyle w:val="FootnoteReference"/>
          <w:sz w:val="20"/>
          <w:szCs w:val="18"/>
        </w:rPr>
        <w:footnoteRef/>
      </w:r>
      <w:r w:rsidRPr="00F70818">
        <w:rPr>
          <w:sz w:val="20"/>
          <w:szCs w:val="18"/>
          <w:lang w:val="fi-FI"/>
        </w:rPr>
        <w:t xml:space="preserve"> OJ L, 2024/2509, 26.9.2024, ELI: </w:t>
      </w:r>
      <w:hyperlink r:id="rId4" w:history="1">
        <w:r w:rsidRPr="00F70818">
          <w:rPr>
            <w:rStyle w:val="Hyperlink"/>
            <w:sz w:val="20"/>
            <w:szCs w:val="18"/>
            <w:lang w:val="fi-FI"/>
          </w:rPr>
          <w:t>http://data.europa.eu/eli/reg/2024/2509/oj</w:t>
        </w:r>
      </w:hyperlink>
      <w:r w:rsidRPr="00F70818">
        <w:rPr>
          <w:sz w:val="20"/>
          <w:szCs w:val="18"/>
          <w:lang w:val="fi-FI"/>
        </w:rPr>
        <w:t xml:space="preserve">. </w:t>
      </w:r>
    </w:p>
  </w:footnote>
  <w:footnote w:id="5">
    <w:p w14:paraId="0235C745" w14:textId="3E657BC2" w:rsidR="00FE4FA5" w:rsidRPr="00F70818" w:rsidRDefault="00FE4FA5" w:rsidP="00B95C65">
      <w:pPr>
        <w:pStyle w:val="FootnoteText"/>
        <w:rPr>
          <w:sz w:val="20"/>
          <w:szCs w:val="18"/>
          <w:lang w:val="pl-PL"/>
        </w:rPr>
      </w:pPr>
      <w:r w:rsidRPr="00F70818">
        <w:rPr>
          <w:rStyle w:val="FootnoteReference"/>
          <w:sz w:val="20"/>
          <w:szCs w:val="18"/>
        </w:rPr>
        <w:footnoteRef/>
      </w:r>
      <w:r w:rsidR="00B95C65" w:rsidRPr="00F70818">
        <w:rPr>
          <w:rStyle w:val="FootnoteReference"/>
          <w:sz w:val="20"/>
          <w:szCs w:val="18"/>
          <w:lang w:val="pl-PL"/>
        </w:rPr>
        <w:t xml:space="preserve"> </w:t>
      </w:r>
      <w:r w:rsidRPr="00F70818">
        <w:rPr>
          <w:sz w:val="20"/>
          <w:szCs w:val="18"/>
          <w:lang w:val="pl-PL"/>
        </w:rPr>
        <w:t>OJ C 433, 23.12.2019, p. 66.</w:t>
      </w:r>
    </w:p>
  </w:footnote>
  <w:footnote w:id="6">
    <w:p w14:paraId="642A5CBC" w14:textId="334FD13A" w:rsidR="00FE4FA5" w:rsidRPr="00F70818" w:rsidRDefault="00FE4FA5" w:rsidP="00B95C65">
      <w:pPr>
        <w:pStyle w:val="FootnoteText"/>
        <w:rPr>
          <w:sz w:val="20"/>
          <w:szCs w:val="18"/>
          <w:lang w:val="pl-PL"/>
        </w:rPr>
      </w:pPr>
      <w:r w:rsidRPr="00F70818">
        <w:rPr>
          <w:rStyle w:val="FootnoteReference"/>
          <w:sz w:val="20"/>
          <w:szCs w:val="18"/>
        </w:rPr>
        <w:footnoteRef/>
      </w:r>
      <w:r w:rsidR="00B95C65" w:rsidRPr="00F70818">
        <w:rPr>
          <w:rStyle w:val="FootnoteReference"/>
          <w:sz w:val="20"/>
          <w:szCs w:val="18"/>
          <w:lang w:val="pl-PL"/>
        </w:rPr>
        <w:t xml:space="preserve"> </w:t>
      </w:r>
      <w:r w:rsidR="00127015" w:rsidRPr="00F70818">
        <w:rPr>
          <w:sz w:val="20"/>
          <w:szCs w:val="18"/>
          <w:lang w:val="pl-PL"/>
        </w:rPr>
        <w:t>OJ C 270, 7.7.2021, p. 91</w:t>
      </w:r>
      <w:r w:rsidRPr="00F70818">
        <w:rPr>
          <w:sz w:val="20"/>
          <w:szCs w:val="18"/>
          <w:lang w:val="pl-PL"/>
        </w:rPr>
        <w:t>.</w:t>
      </w:r>
    </w:p>
  </w:footnote>
  <w:footnote w:id="7">
    <w:p w14:paraId="48347AC1" w14:textId="181A7A76" w:rsidR="00FE4FA5" w:rsidRPr="00F70818" w:rsidRDefault="00FE4FA5" w:rsidP="00B95C65">
      <w:pPr>
        <w:pStyle w:val="FootnoteText"/>
        <w:rPr>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sz w:val="20"/>
          <w:szCs w:val="18"/>
          <w:lang w:val="pl-PL"/>
        </w:rPr>
        <w:t>OJ C 465, 6.12.2022, p. 147.</w:t>
      </w:r>
    </w:p>
  </w:footnote>
  <w:footnote w:id="8">
    <w:p w14:paraId="20562285" w14:textId="4AD8B2EB" w:rsidR="00FE4FA5" w:rsidRPr="00F70818" w:rsidRDefault="00FE4FA5" w:rsidP="00B95C65">
      <w:pPr>
        <w:pStyle w:val="FootnoteText"/>
        <w:rPr>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sz w:val="20"/>
          <w:szCs w:val="18"/>
          <w:lang w:val="pl-PL"/>
        </w:rPr>
        <w:t>OJ C 347, 9.9.2022, p. 1</w:t>
      </w:r>
      <w:r w:rsidR="00127015" w:rsidRPr="00F70818">
        <w:rPr>
          <w:sz w:val="20"/>
          <w:szCs w:val="18"/>
          <w:lang w:val="pl-PL"/>
        </w:rPr>
        <w:t>68</w:t>
      </w:r>
      <w:r w:rsidRPr="00F70818">
        <w:rPr>
          <w:sz w:val="20"/>
          <w:szCs w:val="18"/>
          <w:lang w:val="pl-PL"/>
        </w:rPr>
        <w:t>.</w:t>
      </w:r>
    </w:p>
  </w:footnote>
  <w:footnote w:id="9">
    <w:p w14:paraId="23770B14" w14:textId="2D8D420C" w:rsidR="00FE4FA5" w:rsidRPr="00F70818" w:rsidRDefault="00FE4FA5" w:rsidP="00B95C65">
      <w:pPr>
        <w:pStyle w:val="FootnoteText"/>
        <w:rPr>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sz w:val="20"/>
          <w:szCs w:val="18"/>
          <w:lang w:val="pl-PL"/>
        </w:rPr>
        <w:t>OJ C 125, 5.4.2023, p. 4</w:t>
      </w:r>
      <w:r w:rsidR="00127015" w:rsidRPr="00F70818">
        <w:rPr>
          <w:sz w:val="20"/>
          <w:szCs w:val="18"/>
          <w:lang w:val="pl-PL"/>
        </w:rPr>
        <w:t>63</w:t>
      </w:r>
      <w:r w:rsidRPr="00F70818">
        <w:rPr>
          <w:sz w:val="20"/>
          <w:szCs w:val="18"/>
          <w:lang w:val="pl-PL"/>
        </w:rPr>
        <w:t>.</w:t>
      </w:r>
    </w:p>
  </w:footnote>
  <w:footnote w:id="10">
    <w:p w14:paraId="28F0D20A" w14:textId="77777777" w:rsidR="00FE4FA5" w:rsidRPr="00F70818" w:rsidRDefault="00FE4FA5" w:rsidP="00B95C65">
      <w:pPr>
        <w:pStyle w:val="FootnoteText"/>
        <w:rPr>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sz w:val="20"/>
          <w:szCs w:val="18"/>
          <w:lang w:val="pl-PL"/>
        </w:rPr>
        <w:t>OJ C 167, 11.5.2023, p. 74.</w:t>
      </w:r>
    </w:p>
  </w:footnote>
  <w:footnote w:id="11">
    <w:p w14:paraId="39B67FF5" w14:textId="1D0DE601" w:rsidR="00FE4FA5" w:rsidRPr="00F70818" w:rsidRDefault="00FE4FA5" w:rsidP="00B95C65">
      <w:pPr>
        <w:pStyle w:val="FootnoteText"/>
        <w:rPr>
          <w:bCs/>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bCs/>
          <w:sz w:val="20"/>
          <w:szCs w:val="18"/>
          <w:lang w:val="pl-PL"/>
        </w:rPr>
        <w:t>OJ C, C/2023/1223, 21.12.2023, ELI: </w:t>
      </w:r>
      <w:hyperlink r:id="rId5" w:tgtFrame="_blank" w:tooltip="Gives access to this document through its ELI URI." w:history="1">
        <w:r w:rsidRPr="00F70818">
          <w:rPr>
            <w:rStyle w:val="Hyperlink"/>
            <w:bCs/>
            <w:sz w:val="20"/>
            <w:szCs w:val="18"/>
            <w:lang w:val="pl-PL"/>
          </w:rPr>
          <w:t>http://data.europa.eu/eli/C/2023/1223/oj</w:t>
        </w:r>
      </w:hyperlink>
      <w:r w:rsidRPr="00F70818">
        <w:rPr>
          <w:bCs/>
          <w:sz w:val="20"/>
          <w:szCs w:val="18"/>
          <w:lang w:val="pl-PL"/>
        </w:rPr>
        <w:t>.</w:t>
      </w:r>
    </w:p>
  </w:footnote>
  <w:footnote w:id="12">
    <w:p w14:paraId="2957A7EE" w14:textId="03389B1E" w:rsidR="00FE4FA5" w:rsidRPr="00F70818" w:rsidRDefault="00FE4FA5" w:rsidP="00B95C65">
      <w:pPr>
        <w:pStyle w:val="FootnoteText"/>
        <w:rPr>
          <w:bCs/>
          <w:sz w:val="20"/>
          <w:szCs w:val="18"/>
          <w:lang w:val="pl-PL"/>
        </w:rPr>
      </w:pPr>
      <w:r w:rsidRPr="00F70818">
        <w:rPr>
          <w:rStyle w:val="FootnoteReference"/>
          <w:sz w:val="20"/>
          <w:szCs w:val="18"/>
        </w:rPr>
        <w:footnoteRef/>
      </w:r>
      <w:r w:rsidRPr="00F70818">
        <w:rPr>
          <w:rStyle w:val="FootnoteReference"/>
          <w:sz w:val="20"/>
          <w:szCs w:val="18"/>
          <w:lang w:val="pl-PL"/>
        </w:rPr>
        <w:t xml:space="preserve"> </w:t>
      </w:r>
      <w:r w:rsidRPr="00F70818">
        <w:rPr>
          <w:bCs/>
          <w:sz w:val="20"/>
          <w:szCs w:val="18"/>
          <w:lang w:val="pl-PL"/>
        </w:rPr>
        <w:t>OJ C, C/2024/5742, 17.10.2024, ELI: </w:t>
      </w:r>
      <w:hyperlink r:id="rId6" w:tgtFrame="_blank" w:tooltip="Gives access to this document through its ELI URI." w:history="1">
        <w:r w:rsidRPr="00F70818">
          <w:rPr>
            <w:rStyle w:val="Hyperlink"/>
            <w:bCs/>
            <w:sz w:val="20"/>
            <w:szCs w:val="18"/>
            <w:lang w:val="pl-PL"/>
          </w:rPr>
          <w:t>http://data.europa.eu/eli/C/2024/5742/oj</w:t>
        </w:r>
      </w:hyperlink>
      <w:r w:rsidRPr="00F70818">
        <w:rPr>
          <w:bCs/>
          <w:sz w:val="20"/>
          <w:szCs w:val="18"/>
          <w:lang w:val="pl-PL"/>
        </w:rPr>
        <w:t>.</w:t>
      </w:r>
    </w:p>
  </w:footnote>
  <w:footnote w:id="13">
    <w:p w14:paraId="22D22BB5" w14:textId="77777777" w:rsidR="00FE4FA5" w:rsidRPr="00F70818" w:rsidRDefault="00FE4FA5" w:rsidP="00B95C65">
      <w:pPr>
        <w:pStyle w:val="FootnoteText"/>
        <w:rPr>
          <w:b/>
          <w:i/>
          <w:sz w:val="20"/>
          <w:szCs w:val="18"/>
          <w:lang w:val="en-GB"/>
        </w:rPr>
      </w:pPr>
      <w:r w:rsidRPr="00F70818">
        <w:rPr>
          <w:rStyle w:val="FootnoteReference"/>
          <w:sz w:val="20"/>
          <w:szCs w:val="18"/>
        </w:rPr>
        <w:footnoteRef/>
      </w:r>
      <w:r w:rsidRPr="00F70818">
        <w:rPr>
          <w:rStyle w:val="FootnoteReference"/>
          <w:sz w:val="20"/>
          <w:szCs w:val="18"/>
          <w:lang w:val="en-GB"/>
        </w:rPr>
        <w:t xml:space="preserve"> </w:t>
      </w:r>
      <w:r w:rsidRPr="00F70818">
        <w:rPr>
          <w:sz w:val="20"/>
          <w:szCs w:val="18"/>
          <w:lang w:val="en-GB"/>
        </w:rPr>
        <w:t xml:space="preserve">Texts adopted, </w:t>
      </w:r>
      <w:r w:rsidRPr="00F70818">
        <w:rPr>
          <w:rFonts w:eastAsiaTheme="majorEastAsia"/>
          <w:sz w:val="20"/>
          <w:szCs w:val="18"/>
          <w:lang w:val="en-GB"/>
        </w:rPr>
        <w:t>P9_TA(2024)0367</w:t>
      </w:r>
      <w:r w:rsidRPr="00F70818">
        <w:rPr>
          <w:sz w:val="20"/>
          <w:szCs w:val="18"/>
          <w:lang w:val="en-GB"/>
        </w:rPr>
        <w:t>.</w:t>
      </w:r>
    </w:p>
  </w:footnote>
  <w:footnote w:id="14">
    <w:p w14:paraId="2472E241" w14:textId="5BA02ECF" w:rsidR="004E7825" w:rsidRPr="00F70818" w:rsidRDefault="004E7825" w:rsidP="00956D89">
      <w:pPr>
        <w:pStyle w:val="FootnoteText"/>
        <w:rPr>
          <w:lang w:val="en-GB"/>
        </w:rPr>
      </w:pPr>
      <w:r w:rsidRPr="00F70818">
        <w:rPr>
          <w:rStyle w:val="FootnoteReference"/>
        </w:rPr>
        <w:footnoteRef/>
      </w:r>
      <w:r w:rsidRPr="00F70818">
        <w:rPr>
          <w:lang w:val="en-GB"/>
        </w:rPr>
        <w:t xml:space="preserve"> Commission Decision of 13 December 2023 on the reassessment, on the Commission’s initiative, of the fulfilment of the conditions under Article 4 of Regulation (EU, Euratom) 2020/2092 following Council Implementing Decision (EU) 2022/2506 of 15 December 2022 regarding Hungary, (C(2023)8999).</w:t>
      </w:r>
      <w:r w:rsidRPr="00F70818">
        <w:rPr>
          <w:lang w:val="en-GB"/>
        </w:rPr>
        <w:cr/>
      </w:r>
    </w:p>
  </w:footnote>
  <w:footnote w:id="15">
    <w:p w14:paraId="7534735F" w14:textId="5B734589" w:rsidR="006B4745" w:rsidRPr="00F70818" w:rsidRDefault="006B4745">
      <w:pPr>
        <w:pStyle w:val="FootnoteText"/>
        <w:rPr>
          <w:lang w:val="en-GB"/>
        </w:rPr>
      </w:pPr>
      <w:r w:rsidRPr="00F70818">
        <w:rPr>
          <w:rStyle w:val="FootnoteReference"/>
        </w:rPr>
        <w:footnoteRef/>
      </w:r>
      <w:r w:rsidRPr="00F70818">
        <w:rPr>
          <w:lang w:val="en-GB"/>
        </w:rPr>
        <w:t xml:space="preserve"> Commission Implementing Decision of 13 December 2023 on the approval and signature of the Commission assessment, in accordance with Article 15(4) of Regulation (EU) 2021/1060, of the fulfilment of the horizontal enabling condition ‘3</w:t>
      </w:r>
      <w:r w:rsidR="008607C2" w:rsidRPr="00F70818">
        <w:rPr>
          <w:lang w:val="en-GB"/>
        </w:rPr>
        <w:t>, (</w:t>
      </w:r>
      <w:r w:rsidR="008607C2" w:rsidRPr="00F70818">
        <w:rPr>
          <w:szCs w:val="24"/>
          <w:lang w:val="en-GB"/>
        </w:rPr>
        <w:t>C(2023)9014).</w:t>
      </w:r>
    </w:p>
  </w:footnote>
  <w:footnote w:id="16">
    <w:p w14:paraId="3AEFD447" w14:textId="7944454A" w:rsidR="00832751" w:rsidRPr="00F70818" w:rsidRDefault="00832751" w:rsidP="003E46FF">
      <w:pPr>
        <w:pStyle w:val="FootnoteText"/>
        <w:ind w:left="0" w:firstLine="0"/>
        <w:rPr>
          <w:lang w:val="en-GB"/>
        </w:rPr>
      </w:pPr>
      <w:r w:rsidRPr="00F70818">
        <w:rPr>
          <w:rStyle w:val="FootnoteReference"/>
        </w:rPr>
        <w:footnoteRef/>
      </w:r>
      <w:r w:rsidRPr="00F70818">
        <w:rPr>
          <w:lang w:val="en-GB"/>
        </w:rPr>
        <w:t xml:space="preserve"> </w:t>
      </w:r>
      <w:r w:rsidR="003E46FF" w:rsidRPr="00F70818">
        <w:rPr>
          <w:lang w:val="en-GB"/>
        </w:rPr>
        <w:t>Proposal of 16 July 2025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t>
      </w:r>
      <w:r w:rsidRPr="00F70818">
        <w:rPr>
          <w:lang w:val="en-GB"/>
        </w:rPr>
        <w:t>COM(2025)0565)</w:t>
      </w:r>
      <w:r w:rsidR="003E46FF" w:rsidRPr="00F70818">
        <w:rPr>
          <w:lang w:val="en-GB"/>
        </w:rPr>
        <w:t>)</w:t>
      </w:r>
      <w:r w:rsidRPr="00F70818">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E4F6" w14:textId="77777777" w:rsidR="00B95C65" w:rsidRPr="00F70818" w:rsidRDefault="00B95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92B1E" w14:textId="77777777" w:rsidR="00B95C65" w:rsidRPr="00F70818" w:rsidRDefault="00B95C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A124" w14:textId="77777777" w:rsidR="00B95C65" w:rsidRPr="00F70818" w:rsidRDefault="00B95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num w:numId="1" w16cid:durableId="1409227329">
    <w:abstractNumId w:val="9"/>
  </w:num>
  <w:num w:numId="2" w16cid:durableId="627013206">
    <w:abstractNumId w:val="9"/>
  </w:num>
  <w:num w:numId="3" w16cid:durableId="648091813">
    <w:abstractNumId w:val="7"/>
  </w:num>
  <w:num w:numId="4" w16cid:durableId="1342704656">
    <w:abstractNumId w:val="7"/>
  </w:num>
  <w:num w:numId="5" w16cid:durableId="244195860">
    <w:abstractNumId w:val="6"/>
  </w:num>
  <w:num w:numId="6" w16cid:durableId="1650398053">
    <w:abstractNumId w:val="6"/>
  </w:num>
  <w:num w:numId="7" w16cid:durableId="96945849">
    <w:abstractNumId w:val="5"/>
  </w:num>
  <w:num w:numId="8" w16cid:durableId="740635348">
    <w:abstractNumId w:val="5"/>
  </w:num>
  <w:num w:numId="9" w16cid:durableId="737244678">
    <w:abstractNumId w:val="4"/>
  </w:num>
  <w:num w:numId="10" w16cid:durableId="1369178675">
    <w:abstractNumId w:val="4"/>
  </w:num>
  <w:num w:numId="11" w16cid:durableId="1618675503">
    <w:abstractNumId w:val="8"/>
  </w:num>
  <w:num w:numId="12" w16cid:durableId="305429826">
    <w:abstractNumId w:val="8"/>
  </w:num>
  <w:num w:numId="13" w16cid:durableId="20517754">
    <w:abstractNumId w:val="3"/>
  </w:num>
  <w:num w:numId="14" w16cid:durableId="910890678">
    <w:abstractNumId w:val="3"/>
  </w:num>
  <w:num w:numId="15" w16cid:durableId="1019504545">
    <w:abstractNumId w:val="2"/>
  </w:num>
  <w:num w:numId="16" w16cid:durableId="1462767371">
    <w:abstractNumId w:val="2"/>
  </w:num>
  <w:num w:numId="17" w16cid:durableId="1718897978">
    <w:abstractNumId w:val="1"/>
  </w:num>
  <w:num w:numId="18" w16cid:durableId="16200749">
    <w:abstractNumId w:val="1"/>
  </w:num>
  <w:num w:numId="19" w16cid:durableId="240992580">
    <w:abstractNumId w:val="0"/>
  </w:num>
  <w:num w:numId="20" w16cid:durableId="643579659">
    <w:abstractNumId w:val="0"/>
  </w:num>
  <w:num w:numId="21" w16cid:durableId="1168402476">
    <w:abstractNumId w:val="9"/>
  </w:num>
  <w:num w:numId="22" w16cid:durableId="1100495109">
    <w:abstractNumId w:val="7"/>
  </w:num>
  <w:num w:numId="23" w16cid:durableId="1471943437">
    <w:abstractNumId w:val="6"/>
  </w:num>
  <w:num w:numId="24" w16cid:durableId="1210608971">
    <w:abstractNumId w:val="5"/>
  </w:num>
  <w:num w:numId="25" w16cid:durableId="5863398">
    <w:abstractNumId w:val="4"/>
  </w:num>
  <w:num w:numId="26" w16cid:durableId="515271087">
    <w:abstractNumId w:val="8"/>
  </w:num>
  <w:num w:numId="27" w16cid:durableId="509223201">
    <w:abstractNumId w:val="3"/>
  </w:num>
  <w:num w:numId="28" w16cid:durableId="2078897069">
    <w:abstractNumId w:val="2"/>
  </w:num>
  <w:num w:numId="29" w16cid:durableId="40981291">
    <w:abstractNumId w:val="1"/>
  </w:num>
  <w:num w:numId="30" w16cid:durableId="1071854384">
    <w:abstractNumId w:val="0"/>
  </w:num>
  <w:num w:numId="31" w16cid:durableId="374158657">
    <w:abstractNumId w:val="9"/>
  </w:num>
  <w:num w:numId="32" w16cid:durableId="1113672362">
    <w:abstractNumId w:val="7"/>
  </w:num>
  <w:num w:numId="33" w16cid:durableId="1264071643">
    <w:abstractNumId w:val="6"/>
  </w:num>
  <w:num w:numId="34" w16cid:durableId="1083531964">
    <w:abstractNumId w:val="5"/>
  </w:num>
  <w:num w:numId="35" w16cid:durableId="704185092">
    <w:abstractNumId w:val="4"/>
  </w:num>
  <w:num w:numId="36" w16cid:durableId="656808253">
    <w:abstractNumId w:val="8"/>
  </w:num>
  <w:num w:numId="37" w16cid:durableId="2058356073">
    <w:abstractNumId w:val="3"/>
  </w:num>
  <w:num w:numId="38" w16cid:durableId="2096314795">
    <w:abstractNumId w:val="2"/>
  </w:num>
  <w:num w:numId="39" w16cid:durableId="1449012749">
    <w:abstractNumId w:val="1"/>
  </w:num>
  <w:num w:numId="40" w16cid:durableId="1074738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DEMNU" w:val=" 2"/>
    <w:docVar w:name="COMKEY" w:val="LIBE"/>
    <w:docVar w:name="DOCMNU" w:val=" 3"/>
    <w:docVar w:name="DOCREFCMNU" w:val=" 2"/>
    <w:docVar w:name="LastEditedSection" w:val=" 1"/>
    <w:docVar w:name="strDocTypeID" w:val="PR_Consent_Interim"/>
    <w:docVar w:name="strSubDir" w:val="1327"/>
    <w:docVar w:name="TITLENLEMNU" w:val=" 2"/>
    <w:docVar w:name="TXTLANGUE" w:val="EN"/>
    <w:docVar w:name="TXTLANGUEMIN" w:val="en"/>
    <w:docVar w:name="TXTNRCOUNC" w:val="xxxxx/202x"/>
    <w:docVar w:name="TXTNRPE" w:val="777.005"/>
    <w:docVar w:name="TXTNRPROC" w:val="2018/0902R"/>
    <w:docVar w:name="TXTPEorAP" w:val="PE"/>
    <w:docVar w:name="TXTROUTE" w:val="PR\1327708EN.docx"/>
    <w:docVar w:name="TXTTITLE" w:val="for a for a Council decision determining, pursuant to Article 7(1) of the Treaty on European Union, the existence of a clear risk of a serious breach by Hungary of the values on which the Union is founded "/>
    <w:docVar w:name="TXTVERSION" w:val="01-00"/>
  </w:docVars>
  <w:rsids>
    <w:rsidRoot w:val="00702918"/>
    <w:rsid w:val="00021F22"/>
    <w:rsid w:val="00024F5C"/>
    <w:rsid w:val="00037969"/>
    <w:rsid w:val="000635FB"/>
    <w:rsid w:val="00067497"/>
    <w:rsid w:val="00073C4F"/>
    <w:rsid w:val="000766C7"/>
    <w:rsid w:val="000815C5"/>
    <w:rsid w:val="000A25F0"/>
    <w:rsid w:val="000D5806"/>
    <w:rsid w:val="000E4683"/>
    <w:rsid w:val="00115991"/>
    <w:rsid w:val="00122074"/>
    <w:rsid w:val="00127015"/>
    <w:rsid w:val="00140CD3"/>
    <w:rsid w:val="00162EBA"/>
    <w:rsid w:val="00171978"/>
    <w:rsid w:val="00192596"/>
    <w:rsid w:val="001B4E2B"/>
    <w:rsid w:val="001C2944"/>
    <w:rsid w:val="001D5FA8"/>
    <w:rsid w:val="001E03A0"/>
    <w:rsid w:val="00204F65"/>
    <w:rsid w:val="002055F8"/>
    <w:rsid w:val="002154FD"/>
    <w:rsid w:val="00236C5F"/>
    <w:rsid w:val="00272E93"/>
    <w:rsid w:val="00280C1A"/>
    <w:rsid w:val="0028783F"/>
    <w:rsid w:val="00296A1C"/>
    <w:rsid w:val="002C4972"/>
    <w:rsid w:val="002E6710"/>
    <w:rsid w:val="002F1539"/>
    <w:rsid w:val="00303492"/>
    <w:rsid w:val="003106F9"/>
    <w:rsid w:val="00310BC6"/>
    <w:rsid w:val="003142E7"/>
    <w:rsid w:val="00316765"/>
    <w:rsid w:val="003204BF"/>
    <w:rsid w:val="00322FD3"/>
    <w:rsid w:val="0032694A"/>
    <w:rsid w:val="0035103A"/>
    <w:rsid w:val="003762F3"/>
    <w:rsid w:val="003A1613"/>
    <w:rsid w:val="003B3FBA"/>
    <w:rsid w:val="003B430E"/>
    <w:rsid w:val="003D3402"/>
    <w:rsid w:val="003D483E"/>
    <w:rsid w:val="003E46FF"/>
    <w:rsid w:val="00404059"/>
    <w:rsid w:val="004238AA"/>
    <w:rsid w:val="00430EA0"/>
    <w:rsid w:val="00463EF7"/>
    <w:rsid w:val="00463F05"/>
    <w:rsid w:val="00467744"/>
    <w:rsid w:val="0048673E"/>
    <w:rsid w:val="00487D37"/>
    <w:rsid w:val="004A0754"/>
    <w:rsid w:val="004A2939"/>
    <w:rsid w:val="004B38DB"/>
    <w:rsid w:val="004C1AF6"/>
    <w:rsid w:val="004E5CDF"/>
    <w:rsid w:val="004E7825"/>
    <w:rsid w:val="00513F30"/>
    <w:rsid w:val="005B50CE"/>
    <w:rsid w:val="005C0B93"/>
    <w:rsid w:val="006053F6"/>
    <w:rsid w:val="006109D1"/>
    <w:rsid w:val="0063396F"/>
    <w:rsid w:val="0063611D"/>
    <w:rsid w:val="00680DDD"/>
    <w:rsid w:val="006909E1"/>
    <w:rsid w:val="006B4745"/>
    <w:rsid w:val="006F38B6"/>
    <w:rsid w:val="006F6D23"/>
    <w:rsid w:val="00702918"/>
    <w:rsid w:val="007162FD"/>
    <w:rsid w:val="00742BB4"/>
    <w:rsid w:val="00743ABF"/>
    <w:rsid w:val="00772517"/>
    <w:rsid w:val="0077773A"/>
    <w:rsid w:val="00781AD1"/>
    <w:rsid w:val="007853DD"/>
    <w:rsid w:val="007861DF"/>
    <w:rsid w:val="00786A07"/>
    <w:rsid w:val="007D2CAE"/>
    <w:rsid w:val="007E58A2"/>
    <w:rsid w:val="007E687B"/>
    <w:rsid w:val="007F1762"/>
    <w:rsid w:val="00803343"/>
    <w:rsid w:val="00832751"/>
    <w:rsid w:val="008607C2"/>
    <w:rsid w:val="008720FE"/>
    <w:rsid w:val="00881998"/>
    <w:rsid w:val="00892EF1"/>
    <w:rsid w:val="008972B1"/>
    <w:rsid w:val="008A223F"/>
    <w:rsid w:val="008C670B"/>
    <w:rsid w:val="008E32FC"/>
    <w:rsid w:val="0094561B"/>
    <w:rsid w:val="00953872"/>
    <w:rsid w:val="00956D89"/>
    <w:rsid w:val="009A7148"/>
    <w:rsid w:val="009B1487"/>
    <w:rsid w:val="009B7BFB"/>
    <w:rsid w:val="009C107E"/>
    <w:rsid w:val="009F2C8E"/>
    <w:rsid w:val="00A100E7"/>
    <w:rsid w:val="00A263EF"/>
    <w:rsid w:val="00A55FF6"/>
    <w:rsid w:val="00A67729"/>
    <w:rsid w:val="00A86CEF"/>
    <w:rsid w:val="00AA2B5C"/>
    <w:rsid w:val="00AA32D6"/>
    <w:rsid w:val="00AB1FEF"/>
    <w:rsid w:val="00AB6B96"/>
    <w:rsid w:val="00AC56E6"/>
    <w:rsid w:val="00AD3B1F"/>
    <w:rsid w:val="00AE705E"/>
    <w:rsid w:val="00AF1AB9"/>
    <w:rsid w:val="00AF4712"/>
    <w:rsid w:val="00AF6570"/>
    <w:rsid w:val="00B07AB0"/>
    <w:rsid w:val="00B32ED2"/>
    <w:rsid w:val="00B37E25"/>
    <w:rsid w:val="00B61295"/>
    <w:rsid w:val="00B67352"/>
    <w:rsid w:val="00B801D1"/>
    <w:rsid w:val="00B87D7F"/>
    <w:rsid w:val="00B95C65"/>
    <w:rsid w:val="00BA423D"/>
    <w:rsid w:val="00BC3795"/>
    <w:rsid w:val="00BD00AD"/>
    <w:rsid w:val="00BD04B8"/>
    <w:rsid w:val="00BD3F6E"/>
    <w:rsid w:val="00BE4A35"/>
    <w:rsid w:val="00BF6178"/>
    <w:rsid w:val="00BF70A5"/>
    <w:rsid w:val="00C04C3A"/>
    <w:rsid w:val="00C373E1"/>
    <w:rsid w:val="00C70A30"/>
    <w:rsid w:val="00C70FF0"/>
    <w:rsid w:val="00C738EE"/>
    <w:rsid w:val="00C747FC"/>
    <w:rsid w:val="00C85986"/>
    <w:rsid w:val="00C94DD9"/>
    <w:rsid w:val="00CA072A"/>
    <w:rsid w:val="00CF18C6"/>
    <w:rsid w:val="00D264CF"/>
    <w:rsid w:val="00D3134D"/>
    <w:rsid w:val="00D315A6"/>
    <w:rsid w:val="00D334B2"/>
    <w:rsid w:val="00D35263"/>
    <w:rsid w:val="00D52E0E"/>
    <w:rsid w:val="00D66899"/>
    <w:rsid w:val="00D7747A"/>
    <w:rsid w:val="00D803D8"/>
    <w:rsid w:val="00DF03BF"/>
    <w:rsid w:val="00DF1BBC"/>
    <w:rsid w:val="00E0465F"/>
    <w:rsid w:val="00E14752"/>
    <w:rsid w:val="00E219A2"/>
    <w:rsid w:val="00E55356"/>
    <w:rsid w:val="00E74640"/>
    <w:rsid w:val="00E912C6"/>
    <w:rsid w:val="00E97D67"/>
    <w:rsid w:val="00EB7F1C"/>
    <w:rsid w:val="00EC3F2C"/>
    <w:rsid w:val="00ED321B"/>
    <w:rsid w:val="00ED7536"/>
    <w:rsid w:val="00EE207E"/>
    <w:rsid w:val="00EE5C50"/>
    <w:rsid w:val="00EF3E4D"/>
    <w:rsid w:val="00F00AB8"/>
    <w:rsid w:val="00F04DF0"/>
    <w:rsid w:val="00F055F9"/>
    <w:rsid w:val="00F204A7"/>
    <w:rsid w:val="00F33E61"/>
    <w:rsid w:val="00F514EF"/>
    <w:rsid w:val="00F52FC4"/>
    <w:rsid w:val="00F55E6A"/>
    <w:rsid w:val="00F70818"/>
    <w:rsid w:val="00F82528"/>
    <w:rsid w:val="00FC300E"/>
    <w:rsid w:val="00FE4FA5"/>
    <w:rsid w:val="00FF06C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44673"/>
  <w15:chartTrackingRefBased/>
  <w15:docId w15:val="{FA1542DA-D387-4486-A51F-8DF1AC20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character" w:styleId="FootnoteReference">
    <w:name w:val="footnote reference"/>
    <w:uiPriority w:val="99"/>
    <w:rsid w:val="00FE4FA5"/>
    <w:rPr>
      <w:b w:val="0"/>
      <w:vertAlign w:val="superscript"/>
    </w:rPr>
  </w:style>
  <w:style w:type="paragraph" w:styleId="FootnoteText">
    <w:name w:val="footnote text"/>
    <w:basedOn w:val="Normal"/>
    <w:link w:val="FootnoteTextChar"/>
    <w:uiPriority w:val="99"/>
    <w:rsid w:val="00FE4FA5"/>
    <w:pPr>
      <w:keepLines/>
      <w:widowControl/>
      <w:spacing w:line="260" w:lineRule="exact"/>
      <w:ind w:left="425" w:hanging="425"/>
    </w:pPr>
    <w:rPr>
      <w:sz w:val="22"/>
      <w:lang w:val="fr-FR" w:eastAsia="fr-FR"/>
    </w:rPr>
  </w:style>
  <w:style w:type="character" w:customStyle="1" w:styleId="FootnoteTextChar">
    <w:name w:val="Footnote Text Char"/>
    <w:basedOn w:val="DefaultParagraphFont"/>
    <w:link w:val="FootnoteText"/>
    <w:uiPriority w:val="99"/>
    <w:rsid w:val="00FE4FA5"/>
    <w:rPr>
      <w:sz w:val="22"/>
      <w:lang w:val="fr-FR" w:eastAsia="fr-FR"/>
    </w:rPr>
  </w:style>
  <w:style w:type="character" w:styleId="Hyperlink">
    <w:name w:val="Hyperlink"/>
    <w:basedOn w:val="DefaultParagraphFont"/>
    <w:uiPriority w:val="99"/>
    <w:rsid w:val="00FE4FA5"/>
    <w:rPr>
      <w:color w:val="0563C1" w:themeColor="hyperlink"/>
      <w:u w:val="single"/>
    </w:rPr>
  </w:style>
  <w:style w:type="paragraph" w:styleId="Footer">
    <w:name w:val="footer"/>
    <w:basedOn w:val="Normal"/>
    <w:link w:val="FooterChar"/>
    <w:semiHidden/>
    <w:rsid w:val="00BF6178"/>
    <w:pPr>
      <w:tabs>
        <w:tab w:val="center" w:pos="4513"/>
        <w:tab w:val="right" w:pos="9026"/>
      </w:tabs>
    </w:pPr>
  </w:style>
  <w:style w:type="character" w:customStyle="1" w:styleId="FooterChar">
    <w:name w:val="Footer Char"/>
    <w:basedOn w:val="DefaultParagraphFont"/>
    <w:link w:val="Footer"/>
    <w:semiHidden/>
    <w:rsid w:val="00BF6178"/>
    <w:rPr>
      <w:sz w:val="24"/>
    </w:rPr>
  </w:style>
  <w:style w:type="paragraph" w:styleId="Revision">
    <w:name w:val="Revision"/>
    <w:hidden/>
    <w:uiPriority w:val="99"/>
    <w:semiHidden/>
    <w:rsid w:val="004B38DB"/>
    <w:rPr>
      <w:sz w:val="24"/>
    </w:rPr>
  </w:style>
  <w:style w:type="character" w:customStyle="1" w:styleId="UnresolvedMention1">
    <w:name w:val="Unresolved Mention1"/>
    <w:basedOn w:val="DefaultParagraphFont"/>
    <w:uiPriority w:val="99"/>
    <w:semiHidden/>
    <w:unhideWhenUsed/>
    <w:rsid w:val="00AF1AB9"/>
    <w:rPr>
      <w:color w:val="605E5C"/>
      <w:shd w:val="clear" w:color="auto" w:fill="E1DFDD"/>
    </w:rPr>
  </w:style>
  <w:style w:type="character" w:styleId="CommentReference">
    <w:name w:val="annotation reference"/>
    <w:basedOn w:val="DefaultParagraphFont"/>
    <w:rsid w:val="0063396F"/>
    <w:rPr>
      <w:sz w:val="16"/>
      <w:szCs w:val="16"/>
    </w:rPr>
  </w:style>
  <w:style w:type="paragraph" w:styleId="CommentText">
    <w:name w:val="annotation text"/>
    <w:basedOn w:val="Normal"/>
    <w:link w:val="CommentTextChar"/>
    <w:rsid w:val="0063396F"/>
    <w:rPr>
      <w:sz w:val="20"/>
    </w:rPr>
  </w:style>
  <w:style w:type="character" w:customStyle="1" w:styleId="CommentTextChar">
    <w:name w:val="Comment Text Char"/>
    <w:basedOn w:val="DefaultParagraphFont"/>
    <w:link w:val="CommentText"/>
    <w:rsid w:val="0063396F"/>
  </w:style>
  <w:style w:type="paragraph" w:styleId="CommentSubject">
    <w:name w:val="annotation subject"/>
    <w:basedOn w:val="CommentText"/>
    <w:next w:val="CommentText"/>
    <w:link w:val="CommentSubjectChar"/>
    <w:semiHidden/>
    <w:unhideWhenUsed/>
    <w:rsid w:val="0063396F"/>
    <w:rPr>
      <w:b/>
      <w:bCs/>
    </w:rPr>
  </w:style>
  <w:style w:type="character" w:customStyle="1" w:styleId="CommentSubjectChar">
    <w:name w:val="Comment Subject Char"/>
    <w:basedOn w:val="CommentTextChar"/>
    <w:link w:val="CommentSubject"/>
    <w:semiHidden/>
    <w:rsid w:val="0063396F"/>
    <w:rPr>
      <w:b/>
      <w:bCs/>
    </w:rPr>
  </w:style>
  <w:style w:type="paragraph" w:styleId="BalloonText">
    <w:name w:val="Balloon Text"/>
    <w:basedOn w:val="Normal"/>
    <w:link w:val="BalloonTextChar"/>
    <w:semiHidden/>
    <w:unhideWhenUsed/>
    <w:rsid w:val="008972B1"/>
    <w:rPr>
      <w:rFonts w:ascii="Segoe UI" w:hAnsi="Segoe UI" w:cs="Segoe UI"/>
      <w:sz w:val="18"/>
      <w:szCs w:val="18"/>
    </w:rPr>
  </w:style>
  <w:style w:type="character" w:customStyle="1" w:styleId="BalloonTextChar">
    <w:name w:val="Balloon Text Char"/>
    <w:basedOn w:val="DefaultParagraphFont"/>
    <w:link w:val="BalloonText"/>
    <w:semiHidden/>
    <w:rsid w:val="008972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16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reg/2021/106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42/oj" TargetMode="External"/><Relationship Id="rId5" Type="http://schemas.openxmlformats.org/officeDocument/2006/relationships/hyperlink" Target="http://data.europa.eu/eli/C/2023/1223/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49A00-FA07-4C8B-913B-9A23EF70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5267</Words>
  <Characters>29077</Characters>
  <Application>Microsoft Office Word</Application>
  <DocSecurity>0</DocSecurity>
  <Lines>468</Lines>
  <Paragraphs>122</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34222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CANCELA Rita</dc:creator>
  <cp:keywords/>
  <dc:description/>
  <cp:lastModifiedBy>MC CORMICK Shannon</cp:lastModifiedBy>
  <cp:revision>2</cp:revision>
  <cp:lastPrinted>2025-09-16T16:00:00Z</cp:lastPrinted>
  <dcterms:created xsi:type="dcterms:W3CDTF">2025-09-17T06:34:00Z</dcterms:created>
  <dcterms:modified xsi:type="dcterms:W3CDTF">2025-09-17T06:34:00Z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10.1.2 Build [20250715]</vt:lpwstr>
  </property>
  <property fmtid="{D5CDD505-2E9C-101B-9397-08002B2CF9AE}" pid="4" name="LastEdited with">
    <vt:lpwstr>10.1.2 Build [20250817]</vt:lpwstr>
  </property>
  <property fmtid="{D5CDD505-2E9C-101B-9397-08002B2CF9AE}" pid="5" name="&lt;FdR&gt;">
    <vt:lpwstr>1327708</vt:lpwstr>
  </property>
  <property fmtid="{D5CDD505-2E9C-101B-9397-08002B2CF9AE}" pid="6" name="&lt;Type&gt;">
    <vt:lpwstr>PR</vt:lpwstr>
  </property>
  <property fmtid="{D5CDD505-2E9C-101B-9397-08002B2CF9AE}" pid="7" name="&lt;ModelCod&gt;">
    <vt:lpwstr>\\eiciBRUpr1\pdocep$\DocEP\DOCS\General\PR\PR_NonLeg\Other\PR_Consent_Interim.dotx(12/08/2024 17:16:01)</vt:lpwstr>
  </property>
  <property fmtid="{D5CDD505-2E9C-101B-9397-08002B2CF9AE}" pid="8" name="&lt;ModelTra&gt;">
    <vt:lpwstr>\\eiciBRUpr1\pdocep$\DocEP\TRANSFIL\EN\PR_Consent_Interim.EN(13/08/2024 11:59:02)</vt:lpwstr>
  </property>
  <property fmtid="{D5CDD505-2E9C-101B-9397-08002B2CF9AE}" pid="9" name="&lt;Model&gt;">
    <vt:lpwstr>PR_Consent_Interim</vt:lpwstr>
  </property>
  <property fmtid="{D5CDD505-2E9C-101B-9397-08002B2CF9AE}" pid="10" name="FooterPath">
    <vt:lpwstr>PR\1327708EN.docx</vt:lpwstr>
  </property>
  <property fmtid="{D5CDD505-2E9C-101B-9397-08002B2CF9AE}" pid="11" name="PE number">
    <vt:lpwstr>777.005</vt:lpwstr>
  </property>
  <property fmtid="{D5CDD505-2E9C-101B-9397-08002B2CF9AE}" pid="12" name="SendToEpades">
    <vt:lpwstr>OK - 2025/09/15 13:19</vt:lpwstr>
  </property>
  <property fmtid="{D5CDD505-2E9C-101B-9397-08002B2CF9AE}" pid="13" name="Bookout">
    <vt:lpwstr>OK - 2025/09/17 08:34</vt:lpwstr>
  </property>
</Properties>
</file>