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1149C" w:rsidRPr="00B21DF7" w14:paraId="4DDA7A3B" w14:textId="77777777" w:rsidTr="00C85D0F">
        <w:trPr>
          <w:trHeight w:hRule="exact" w:val="1418"/>
        </w:trPr>
        <w:tc>
          <w:tcPr>
            <w:tcW w:w="6804" w:type="dxa"/>
            <w:shd w:val="clear" w:color="auto" w:fill="auto"/>
            <w:vAlign w:val="center"/>
          </w:tcPr>
          <w:p w14:paraId="56279AC1" w14:textId="77777777" w:rsidR="00B13D6F" w:rsidRPr="00B21DF7" w:rsidRDefault="00B02C1A" w:rsidP="00C85D0F">
            <w:pPr>
              <w:pStyle w:val="EPName"/>
            </w:pPr>
            <w:r w:rsidRPr="00B21DF7">
              <w:t>Europees Parlement</w:t>
            </w:r>
          </w:p>
          <w:p w14:paraId="4868B34E" w14:textId="77777777" w:rsidR="00B13D6F" w:rsidRPr="00B21DF7" w:rsidRDefault="00B02C1A" w:rsidP="00C85D0F">
            <w:pPr>
              <w:pStyle w:val="EPTerm"/>
            </w:pPr>
            <w:r w:rsidRPr="00B21DF7">
              <w:t>2024-2029</w:t>
            </w:r>
          </w:p>
        </w:tc>
        <w:tc>
          <w:tcPr>
            <w:tcW w:w="2268" w:type="dxa"/>
            <w:shd w:val="clear" w:color="auto" w:fill="auto"/>
          </w:tcPr>
          <w:p w14:paraId="73B3A554" w14:textId="77777777" w:rsidR="00B13D6F" w:rsidRPr="00B21DF7" w:rsidRDefault="00B02C1A" w:rsidP="00C85D0F">
            <w:pPr>
              <w:pStyle w:val="EPLogo"/>
            </w:pPr>
            <w:r w:rsidRPr="00B21DF7">
              <w:rPr>
                <w:noProof/>
                <w:lang w:eastAsia="ja-JP"/>
              </w:rPr>
              <w:drawing>
                <wp:inline distT="0" distB="0" distL="0" distR="0" wp14:anchorId="298EA236" wp14:editId="5FF1C8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19006DE" w14:textId="77777777" w:rsidR="00461601" w:rsidRPr="00B21DF7" w:rsidRDefault="00461601" w:rsidP="00461601">
      <w:pPr>
        <w:pStyle w:val="LineTop"/>
      </w:pPr>
    </w:p>
    <w:p w14:paraId="1D645FE5" w14:textId="77777777" w:rsidR="00461601" w:rsidRPr="00B21DF7" w:rsidRDefault="00B02C1A" w:rsidP="00461601">
      <w:pPr>
        <w:pStyle w:val="EPBody"/>
      </w:pPr>
      <w:r w:rsidRPr="00B21DF7">
        <w:rPr>
          <w:rStyle w:val="HideTWBExt"/>
        </w:rPr>
        <w:t>&lt;</w:t>
      </w:r>
      <w:r w:rsidRPr="00B21DF7">
        <w:rPr>
          <w:rStyle w:val="HideTWBExt"/>
          <w:i w:val="0"/>
        </w:rPr>
        <w:t>Commission</w:t>
      </w:r>
      <w:r w:rsidRPr="00B21DF7">
        <w:rPr>
          <w:rStyle w:val="HideTWBExt"/>
        </w:rPr>
        <w:t>&gt;</w:t>
      </w:r>
      <w:r w:rsidRPr="00B21DF7">
        <w:rPr>
          <w:rStyle w:val="HideTWBInt"/>
          <w:color w:val="auto"/>
        </w:rPr>
        <w:t>{LIBE}</w:t>
      </w:r>
      <w:r w:rsidRPr="00B21DF7">
        <w:t>Commissie burgerlijke vrijheden, justitie en binnenlandse zaken</w:t>
      </w:r>
      <w:r w:rsidRPr="00B21DF7">
        <w:rPr>
          <w:rStyle w:val="HideTWBExt"/>
        </w:rPr>
        <w:t>&lt;/</w:t>
      </w:r>
      <w:r w:rsidRPr="00B21DF7">
        <w:rPr>
          <w:rStyle w:val="HideTWBExt"/>
          <w:i w:val="0"/>
        </w:rPr>
        <w:t>Commission</w:t>
      </w:r>
      <w:r w:rsidRPr="00B21DF7">
        <w:rPr>
          <w:rStyle w:val="HideTWBExt"/>
        </w:rPr>
        <w:t>&gt;</w:t>
      </w:r>
    </w:p>
    <w:p w14:paraId="2EBFA797" w14:textId="77777777" w:rsidR="00461601" w:rsidRPr="00B21DF7" w:rsidRDefault="00461601" w:rsidP="00461601">
      <w:pPr>
        <w:pStyle w:val="LineBottom"/>
      </w:pPr>
    </w:p>
    <w:p w14:paraId="098D05B4" w14:textId="77777777" w:rsidR="00793EA9" w:rsidRPr="00B21DF7" w:rsidRDefault="00B02C1A">
      <w:pPr>
        <w:pStyle w:val="CoverReference"/>
      </w:pPr>
      <w:r w:rsidRPr="00B21DF7">
        <w:rPr>
          <w:rStyle w:val="HideTWBExt"/>
          <w:b w:val="0"/>
        </w:rPr>
        <w:t>&lt;RefProc&gt;</w:t>
      </w:r>
      <w:r w:rsidRPr="00B21DF7">
        <w:t>2025/0101</w:t>
      </w:r>
      <w:r w:rsidRPr="00B21DF7">
        <w:rPr>
          <w:rStyle w:val="HideTWBExt"/>
          <w:b w:val="0"/>
        </w:rPr>
        <w:t>&lt;/RefProc&gt;&lt;RefTypeProc&gt;</w:t>
      </w:r>
      <w:r w:rsidRPr="00B21DF7">
        <w:t>(COD)</w:t>
      </w:r>
      <w:r w:rsidRPr="00B21DF7">
        <w:rPr>
          <w:rStyle w:val="HideTWBExt"/>
          <w:b w:val="0"/>
        </w:rPr>
        <w:t>&lt;/RefTypeProc&gt;</w:t>
      </w:r>
    </w:p>
    <w:p w14:paraId="02208690" w14:textId="77777777" w:rsidR="00793EA9" w:rsidRPr="00B21DF7" w:rsidRDefault="00B02C1A">
      <w:pPr>
        <w:pStyle w:val="CoverDate"/>
      </w:pPr>
      <w:r w:rsidRPr="00B21DF7">
        <w:rPr>
          <w:rStyle w:val="HideTWBExt"/>
        </w:rPr>
        <w:t>&lt;Date&gt;</w:t>
      </w:r>
      <w:r w:rsidRPr="00B21DF7">
        <w:rPr>
          <w:rStyle w:val="HideTWBInt"/>
          <w:color w:val="auto"/>
        </w:rPr>
        <w:t>{26/09/2025}</w:t>
      </w:r>
      <w:r w:rsidRPr="00B21DF7">
        <w:t>26.9.2025</w:t>
      </w:r>
      <w:r w:rsidRPr="00B21DF7">
        <w:rPr>
          <w:rStyle w:val="HideTWBExt"/>
        </w:rPr>
        <w:t>&lt;/Date&gt;</w:t>
      </w:r>
    </w:p>
    <w:p w14:paraId="34D6F052" w14:textId="77777777" w:rsidR="00793EA9" w:rsidRPr="00B21DF7" w:rsidRDefault="00B02C1A">
      <w:pPr>
        <w:pStyle w:val="CoverDocType"/>
      </w:pPr>
      <w:r w:rsidRPr="00B21DF7">
        <w:rPr>
          <w:rStyle w:val="HideTWBExt"/>
          <w:b w:val="0"/>
        </w:rPr>
        <w:t>&lt;RefProcLect&gt;</w:t>
      </w:r>
      <w:r w:rsidRPr="00B21DF7">
        <w:t>***I</w:t>
      </w:r>
      <w:r w:rsidRPr="00B21DF7">
        <w:rPr>
          <w:rStyle w:val="HideTWBExt"/>
          <w:b w:val="0"/>
        </w:rPr>
        <w:t>&lt;/RefProcLect&gt;</w:t>
      </w:r>
    </w:p>
    <w:p w14:paraId="34CE4180" w14:textId="77777777" w:rsidR="00793EA9" w:rsidRPr="00B21DF7" w:rsidRDefault="00B02C1A">
      <w:pPr>
        <w:pStyle w:val="CoverDocType24a"/>
      </w:pPr>
      <w:r w:rsidRPr="00B21DF7">
        <w:rPr>
          <w:rStyle w:val="HideTWBExt"/>
          <w:b w:val="0"/>
        </w:rPr>
        <w:t>&lt;TitreType&gt;</w:t>
      </w:r>
      <w:r w:rsidRPr="00B21DF7">
        <w:t>ONTWERPVERSLAG</w:t>
      </w:r>
      <w:r w:rsidRPr="00B21DF7">
        <w:rPr>
          <w:rStyle w:val="HideTWBExt"/>
          <w:b w:val="0"/>
        </w:rPr>
        <w:t>&lt;/TitreType&gt;</w:t>
      </w:r>
    </w:p>
    <w:p w14:paraId="67B38F75" w14:textId="77777777" w:rsidR="00793EA9" w:rsidRPr="00B21DF7" w:rsidRDefault="00B02C1A">
      <w:pPr>
        <w:pStyle w:val="CoverNormal"/>
      </w:pPr>
      <w:r w:rsidRPr="00B21DF7">
        <w:rPr>
          <w:rStyle w:val="HideTWBExt"/>
        </w:rPr>
        <w:t>&lt;Titre&gt;</w:t>
      </w:r>
      <w:r w:rsidRPr="00B21DF7">
        <w:t>over het voorstel voor een verordening van het Europees Parlement en de Raad tot wijziging van Verordening (EU) 2024/1348 wat betreft de vaststelling van een lijst van veilige landen van herkomst op het niveau van de Unie</w:t>
      </w:r>
      <w:r w:rsidRPr="00B21DF7">
        <w:rPr>
          <w:rStyle w:val="HideTWBExt"/>
        </w:rPr>
        <w:t>&lt;/Titre&gt;</w:t>
      </w:r>
    </w:p>
    <w:p w14:paraId="6E93720A" w14:textId="77777777" w:rsidR="00793EA9" w:rsidRPr="00B21DF7" w:rsidRDefault="00B02C1A">
      <w:pPr>
        <w:pStyle w:val="CoverNormal24a"/>
      </w:pPr>
      <w:r w:rsidRPr="00B21DF7">
        <w:rPr>
          <w:rStyle w:val="HideTWBExt"/>
        </w:rPr>
        <w:t>&lt;DocRef&gt;</w:t>
      </w:r>
      <w:r w:rsidRPr="00B21DF7">
        <w:t>(COM(2025)0186 – C10</w:t>
      </w:r>
      <w:r w:rsidRPr="00B21DF7">
        <w:noBreakHyphen/>
        <w:t>0069/2025 – 2025/0101(COD))</w:t>
      </w:r>
      <w:r w:rsidRPr="00B21DF7">
        <w:rPr>
          <w:rStyle w:val="HideTWBExt"/>
        </w:rPr>
        <w:t>&lt;/DocRef&gt;</w:t>
      </w:r>
    </w:p>
    <w:p w14:paraId="298AD11C" w14:textId="77777777" w:rsidR="00793EA9" w:rsidRPr="00B21DF7" w:rsidRDefault="00B02C1A">
      <w:pPr>
        <w:pStyle w:val="CoverNormal24a"/>
      </w:pPr>
      <w:r w:rsidRPr="00B21DF7">
        <w:rPr>
          <w:rStyle w:val="HideTWBExt"/>
        </w:rPr>
        <w:t>&lt;Commission&gt;</w:t>
      </w:r>
      <w:r w:rsidRPr="00B21DF7">
        <w:rPr>
          <w:rStyle w:val="HideTWBInt"/>
          <w:color w:val="auto"/>
        </w:rPr>
        <w:t>{LIBE}</w:t>
      </w:r>
      <w:r w:rsidRPr="00B21DF7">
        <w:t>Commissie burgerlijke vrijheden, justitie en binnenlandse zaken</w:t>
      </w:r>
      <w:r w:rsidRPr="00B21DF7">
        <w:rPr>
          <w:rStyle w:val="HideTWBExt"/>
        </w:rPr>
        <w:t>&lt;/Commission&gt;</w:t>
      </w:r>
    </w:p>
    <w:p w14:paraId="4D84F32A" w14:textId="77777777" w:rsidR="00793EA9" w:rsidRPr="00B21DF7" w:rsidRDefault="00B02C1A">
      <w:pPr>
        <w:pStyle w:val="CoverNormal24a"/>
      </w:pPr>
      <w:r w:rsidRPr="00B21DF7">
        <w:t xml:space="preserve">Rapporteur: </w:t>
      </w:r>
      <w:r w:rsidRPr="00B21DF7">
        <w:rPr>
          <w:rStyle w:val="HideTWBExt"/>
        </w:rPr>
        <w:t>&lt;Depute&gt;</w:t>
      </w:r>
      <w:r w:rsidRPr="00B21DF7">
        <w:t>Alessandro Ciriani</w:t>
      </w:r>
      <w:r w:rsidRPr="00B21DF7">
        <w:rPr>
          <w:rStyle w:val="HideTWBExt"/>
        </w:rPr>
        <w:t>&lt;/Depute&gt;</w:t>
      </w:r>
    </w:p>
    <w:p w14:paraId="007183DA" w14:textId="77777777" w:rsidR="001C5B44" w:rsidRPr="00B21DF7" w:rsidRDefault="001C5B44" w:rsidP="001C5B44">
      <w:pPr>
        <w:pStyle w:val="CoverNormal"/>
      </w:pPr>
    </w:p>
    <w:p w14:paraId="1DDC03C3" w14:textId="44BD16AD" w:rsidR="0058429A" w:rsidRPr="00B21DF7" w:rsidRDefault="00B02C1A" w:rsidP="00894923">
      <w:r w:rsidRPr="00B21DF7">
        <w:br w:type="page"/>
      </w:r>
      <w:r w:rsidRPr="00B21DF7">
        <w:lastRenderedPageBreak/>
        <w:fldChar w:fldCharType="begin"/>
      </w:r>
      <w:r w:rsidRPr="00B21DF7">
        <w:instrText xml:space="preserve"> TITLE  \* MERGEFORMAT </w:instrText>
      </w:r>
      <w:r w:rsidRPr="00B21DF7">
        <w:fldChar w:fldCharType="separate"/>
      </w:r>
      <w:r>
        <w:t>PR_COD_1amCom</w:t>
      </w:r>
      <w:r w:rsidRPr="00B21DF7">
        <w:fldChar w:fldCharType="end"/>
      </w:r>
    </w:p>
    <w:p w14:paraId="1C8900D9" w14:textId="77777777" w:rsidR="0058429A" w:rsidRPr="00B21DF7" w:rsidRDefault="0058429A" w:rsidP="00894923"/>
    <w:p w14:paraId="4EF23BDE" w14:textId="77777777" w:rsidR="0058429A" w:rsidRPr="00B21DF7" w:rsidRDefault="0058429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1149C" w:rsidRPr="00B21DF7" w14:paraId="2996BBAC" w14:textId="77777777">
        <w:tc>
          <w:tcPr>
            <w:tcW w:w="5811" w:type="dxa"/>
          </w:tcPr>
          <w:p w14:paraId="3DEF8A3B" w14:textId="77777777" w:rsidR="0058429A" w:rsidRPr="00B21DF7" w:rsidRDefault="00B02C1A" w:rsidP="00894923">
            <w:pPr>
              <w:pStyle w:val="Lgendetitre"/>
            </w:pPr>
            <w:r w:rsidRPr="00B21DF7">
              <w:t>Verklaring van de gebruikte tekens</w:t>
            </w:r>
          </w:p>
        </w:tc>
      </w:tr>
      <w:tr w:rsidR="00D1149C" w:rsidRPr="00B21DF7" w14:paraId="65CF47E1" w14:textId="77777777" w:rsidTr="007452CB">
        <w:trPr>
          <w:cantSplit/>
          <w:trHeight w:val="1807"/>
        </w:trPr>
        <w:tc>
          <w:tcPr>
            <w:tcW w:w="5811" w:type="dxa"/>
            <w:tcBorders>
              <w:bottom w:val="single" w:sz="4" w:space="0" w:color="auto"/>
            </w:tcBorders>
          </w:tcPr>
          <w:p w14:paraId="16AA7ED8" w14:textId="77777777" w:rsidR="0058429A" w:rsidRPr="00B21DF7" w:rsidRDefault="00B02C1A" w:rsidP="003506ED">
            <w:pPr>
              <w:pStyle w:val="Lgendesigne"/>
            </w:pPr>
            <w:r w:rsidRPr="00B21DF7">
              <w:tab/>
              <w:t>*</w:t>
            </w:r>
            <w:r w:rsidRPr="00B21DF7">
              <w:tab/>
              <w:t>Raadplegingsprocedure</w:t>
            </w:r>
          </w:p>
          <w:p w14:paraId="25D0D147" w14:textId="77777777" w:rsidR="0058429A" w:rsidRPr="00B21DF7" w:rsidRDefault="00B02C1A" w:rsidP="003506ED">
            <w:pPr>
              <w:pStyle w:val="Lgendesigne"/>
            </w:pPr>
            <w:r w:rsidRPr="00B21DF7">
              <w:tab/>
              <w:t>***</w:t>
            </w:r>
            <w:r w:rsidRPr="00B21DF7">
              <w:tab/>
              <w:t>Goedkeuringsprocedure</w:t>
            </w:r>
          </w:p>
          <w:p w14:paraId="56F95C18" w14:textId="77777777" w:rsidR="0058429A" w:rsidRPr="00B21DF7" w:rsidRDefault="00B02C1A" w:rsidP="003506ED">
            <w:pPr>
              <w:pStyle w:val="Lgendesigne"/>
            </w:pPr>
            <w:r w:rsidRPr="00B21DF7">
              <w:tab/>
              <w:t>***I</w:t>
            </w:r>
            <w:r w:rsidRPr="00B21DF7">
              <w:tab/>
              <w:t>Gewone wetgevingsprocedure (eerste lezing)</w:t>
            </w:r>
          </w:p>
          <w:p w14:paraId="374EF39D" w14:textId="77777777" w:rsidR="0058429A" w:rsidRPr="00B21DF7" w:rsidRDefault="00B02C1A" w:rsidP="003506ED">
            <w:pPr>
              <w:pStyle w:val="Lgendesigne"/>
            </w:pPr>
            <w:r w:rsidRPr="00B21DF7">
              <w:tab/>
              <w:t>***II</w:t>
            </w:r>
            <w:r w:rsidRPr="00B21DF7">
              <w:tab/>
              <w:t>Gewone wetgevingsprocedure (tweede lezing)</w:t>
            </w:r>
          </w:p>
          <w:p w14:paraId="6AE4A147" w14:textId="77777777" w:rsidR="0058429A" w:rsidRPr="00B21DF7" w:rsidRDefault="00B02C1A" w:rsidP="003506ED">
            <w:pPr>
              <w:pStyle w:val="Lgendesigne"/>
            </w:pPr>
            <w:r w:rsidRPr="00B21DF7">
              <w:tab/>
              <w:t>***III</w:t>
            </w:r>
            <w:r w:rsidRPr="00B21DF7">
              <w:tab/>
              <w:t>Gewone wetgevingsprocedure (derde lezing)</w:t>
            </w:r>
          </w:p>
          <w:p w14:paraId="600C196D" w14:textId="77777777" w:rsidR="0058429A" w:rsidRPr="00B21DF7" w:rsidRDefault="0058429A" w:rsidP="003506ED">
            <w:pPr>
              <w:pStyle w:val="Lgendestandard"/>
            </w:pPr>
          </w:p>
          <w:p w14:paraId="4B385585" w14:textId="77777777" w:rsidR="0058429A" w:rsidRPr="00B21DF7" w:rsidRDefault="00B02C1A" w:rsidP="003506ED">
            <w:pPr>
              <w:pStyle w:val="Lgendestandard"/>
            </w:pPr>
            <w:r w:rsidRPr="00B21DF7">
              <w:t>(De aangeduide procedure is gebaseerd op de in de ontwerptekst voorgestelde rechtsgrond.)</w:t>
            </w:r>
          </w:p>
          <w:p w14:paraId="4B35B0DF" w14:textId="77777777" w:rsidR="0058429A" w:rsidRPr="00B21DF7" w:rsidRDefault="0058429A" w:rsidP="00B54EAF">
            <w:pPr>
              <w:pStyle w:val="Lgendestandard"/>
            </w:pPr>
          </w:p>
        </w:tc>
      </w:tr>
    </w:tbl>
    <w:p w14:paraId="5C058004" w14:textId="77777777" w:rsidR="0058429A" w:rsidRPr="00B21DF7" w:rsidRDefault="0058429A" w:rsidP="00894923"/>
    <w:p w14:paraId="5A0D0E44" w14:textId="77777777" w:rsidR="0058429A" w:rsidRPr="00B21DF7" w:rsidRDefault="0058429A" w:rsidP="00894923"/>
    <w:p w14:paraId="41E9275C" w14:textId="77777777" w:rsidR="0058429A" w:rsidRPr="00B21DF7" w:rsidRDefault="0058429A" w:rsidP="00894923"/>
    <w:p w14:paraId="2897DA67" w14:textId="77777777" w:rsidR="0058429A" w:rsidRPr="00B21DF7" w:rsidRDefault="0058429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1149C" w:rsidRPr="00B21DF7" w14:paraId="43D8F8C4" w14:textId="77777777">
        <w:tc>
          <w:tcPr>
            <w:tcW w:w="5811" w:type="dxa"/>
          </w:tcPr>
          <w:p w14:paraId="64A25D0F" w14:textId="77777777" w:rsidR="0058429A" w:rsidRPr="00B21DF7" w:rsidRDefault="00B02C1A" w:rsidP="00894923">
            <w:pPr>
              <w:pStyle w:val="Lgendetitre"/>
            </w:pPr>
            <w:r w:rsidRPr="00B21DF7">
              <w:t>Amendementen op een ontwerphandeling</w:t>
            </w:r>
          </w:p>
        </w:tc>
      </w:tr>
      <w:tr w:rsidR="00D1149C" w:rsidRPr="00B21DF7" w14:paraId="2A3BAF4A" w14:textId="77777777" w:rsidTr="00554250">
        <w:trPr>
          <w:trHeight w:val="4496"/>
        </w:trPr>
        <w:tc>
          <w:tcPr>
            <w:tcW w:w="5811" w:type="dxa"/>
          </w:tcPr>
          <w:p w14:paraId="75CC5BC1" w14:textId="77777777" w:rsidR="0058429A" w:rsidRPr="00B21DF7" w:rsidRDefault="00B02C1A" w:rsidP="003506ED">
            <w:pPr>
              <w:pStyle w:val="Lgendestandard"/>
              <w:rPr>
                <w:szCs w:val="24"/>
              </w:rPr>
            </w:pPr>
            <w:r w:rsidRPr="00B21DF7">
              <w:rPr>
                <w:b/>
              </w:rPr>
              <w:t>Amendementen van het Parlement in twee kolommen</w:t>
            </w:r>
          </w:p>
          <w:p w14:paraId="3BE8F22D" w14:textId="77777777" w:rsidR="0058429A" w:rsidRPr="00B21DF7" w:rsidRDefault="0058429A" w:rsidP="003506ED">
            <w:pPr>
              <w:pStyle w:val="Lgendestandard"/>
              <w:rPr>
                <w:szCs w:val="24"/>
              </w:rPr>
            </w:pPr>
          </w:p>
          <w:p w14:paraId="729F73F3" w14:textId="77777777" w:rsidR="0058429A" w:rsidRPr="00B21DF7" w:rsidRDefault="00B02C1A" w:rsidP="003506ED">
            <w:pPr>
              <w:pStyle w:val="Lgendestandard"/>
              <w:rPr>
                <w:szCs w:val="24"/>
              </w:rPr>
            </w:pPr>
            <w:r w:rsidRPr="00B21DF7">
              <w:t xml:space="preserve">Geschrapte tekstdelen worden in de linkerkolom in </w:t>
            </w:r>
            <w:r w:rsidRPr="00B21DF7">
              <w:rPr>
                <w:b/>
                <w:i/>
              </w:rPr>
              <w:t>vet cursief</w:t>
            </w:r>
            <w:r w:rsidRPr="00B21DF7">
              <w:t xml:space="preserve"> aangegeven. Vervangen tekstdelen worden in beide kolommen in </w:t>
            </w:r>
            <w:r w:rsidRPr="00B21DF7">
              <w:rPr>
                <w:b/>
                <w:i/>
              </w:rPr>
              <w:t>vet cursief</w:t>
            </w:r>
            <w:r w:rsidRPr="00B21DF7">
              <w:t xml:space="preserve"> aangegeven. Nieuwe tekst wordt in de rechterkolom in </w:t>
            </w:r>
            <w:r w:rsidRPr="00B21DF7">
              <w:rPr>
                <w:b/>
                <w:i/>
              </w:rPr>
              <w:t>vet cursief</w:t>
            </w:r>
            <w:r w:rsidRPr="00B21DF7">
              <w:t xml:space="preserve"> aangegeven.</w:t>
            </w:r>
          </w:p>
          <w:p w14:paraId="6A3015AE" w14:textId="77777777" w:rsidR="0058429A" w:rsidRPr="00B21DF7" w:rsidRDefault="0058429A" w:rsidP="003506ED">
            <w:pPr>
              <w:pStyle w:val="Lgendestandard"/>
              <w:rPr>
                <w:szCs w:val="24"/>
              </w:rPr>
            </w:pPr>
          </w:p>
          <w:p w14:paraId="51BC9D56" w14:textId="77777777" w:rsidR="0058429A" w:rsidRPr="00B21DF7" w:rsidRDefault="00B02C1A" w:rsidP="003506ED">
            <w:pPr>
              <w:pStyle w:val="Lgendestandard"/>
              <w:rPr>
                <w:szCs w:val="24"/>
              </w:rPr>
            </w:pPr>
            <w:r w:rsidRPr="00B21DF7">
              <w:t>In de eerste en tweede regel van de koptekst boven elk amendement wordt verwezen naar het tekstdeel in kwestie van de ontwerphandeling. Indien een amendement betrekking heeft op een bestaande handeling, waarop in de ontwerphandeling wijzigingen worden voorgesteld, bevat de koptekst bovendien een derde en vierde regel, die verwijzen naar de bestaande handeling respectievelijk naar de bepaling in kwestie.</w:t>
            </w:r>
          </w:p>
          <w:p w14:paraId="4BECC003" w14:textId="77777777" w:rsidR="0058429A" w:rsidRPr="00B21DF7" w:rsidRDefault="0058429A" w:rsidP="003506ED">
            <w:pPr>
              <w:pStyle w:val="Lgendestandard"/>
              <w:rPr>
                <w:szCs w:val="24"/>
              </w:rPr>
            </w:pPr>
          </w:p>
          <w:p w14:paraId="548F0FC6" w14:textId="77777777" w:rsidR="0058429A" w:rsidRPr="00B21DF7" w:rsidRDefault="00B02C1A" w:rsidP="003506ED">
            <w:pPr>
              <w:pStyle w:val="Lgendestandard"/>
              <w:rPr>
                <w:b/>
                <w:szCs w:val="24"/>
              </w:rPr>
            </w:pPr>
            <w:r w:rsidRPr="00B21DF7">
              <w:rPr>
                <w:b/>
              </w:rPr>
              <w:t>Amendementen van het Parlement in de vorm van een geconsolideerde tekst</w:t>
            </w:r>
          </w:p>
          <w:p w14:paraId="0F5D1339" w14:textId="77777777" w:rsidR="0058429A" w:rsidRPr="00B21DF7" w:rsidRDefault="0058429A" w:rsidP="003506ED">
            <w:pPr>
              <w:pStyle w:val="Lgendestandard"/>
              <w:rPr>
                <w:szCs w:val="24"/>
              </w:rPr>
            </w:pPr>
          </w:p>
          <w:p w14:paraId="00B72197" w14:textId="77777777" w:rsidR="0058429A" w:rsidRPr="00B21DF7" w:rsidRDefault="00B02C1A" w:rsidP="003506ED">
            <w:pPr>
              <w:pStyle w:val="Lgendestandard"/>
              <w:rPr>
                <w:szCs w:val="24"/>
              </w:rPr>
            </w:pPr>
            <w:r w:rsidRPr="00B21DF7">
              <w:t xml:space="preserve">Nieuwe tekstdelen worden in </w:t>
            </w:r>
            <w:r w:rsidRPr="00B21DF7">
              <w:rPr>
                <w:b/>
                <w:i/>
              </w:rPr>
              <w:t>vet cursief</w:t>
            </w:r>
            <w:r w:rsidRPr="00B21DF7">
              <w:t xml:space="preserve"> aangegeven. Geschrapte tekstdelen worden aangegeven met het symbool ▌ of worden doorgestreept. Waar tekstdelen vervangen worden, wordt de nieuwe tekst in </w:t>
            </w:r>
            <w:r w:rsidRPr="00B21DF7">
              <w:rPr>
                <w:b/>
                <w:i/>
              </w:rPr>
              <w:t>vet cursief</w:t>
            </w:r>
            <w:r w:rsidRPr="00B21DF7">
              <w:t xml:space="preserve"> aangegeven, terwijl de vervangen tekst wordt geschrapt of doorgestreept. </w:t>
            </w:r>
          </w:p>
          <w:p w14:paraId="0C9053F5" w14:textId="77777777" w:rsidR="0058429A" w:rsidRPr="00B21DF7" w:rsidRDefault="00B02C1A" w:rsidP="003506ED">
            <w:pPr>
              <w:pStyle w:val="Lgendestandard"/>
            </w:pPr>
            <w:r w:rsidRPr="00B21DF7">
              <w:t>Bij wijze van uitzondering worden zuiver technische wijzigingen die de diensten aanbrengen met het oog op de opstelling van de definitieve tekst, niet gemarkeerd.</w:t>
            </w:r>
          </w:p>
          <w:p w14:paraId="17F19707" w14:textId="77777777" w:rsidR="0058429A" w:rsidRPr="00B21DF7" w:rsidRDefault="0058429A" w:rsidP="0069092A">
            <w:pPr>
              <w:pStyle w:val="Lgendestandard"/>
            </w:pPr>
          </w:p>
        </w:tc>
      </w:tr>
    </w:tbl>
    <w:p w14:paraId="4EC06D81" w14:textId="77777777" w:rsidR="0058429A" w:rsidRPr="00B21DF7" w:rsidRDefault="0058429A" w:rsidP="00894923"/>
    <w:p w14:paraId="4735D839" w14:textId="77777777" w:rsidR="00793EA9" w:rsidRPr="00B21DF7" w:rsidRDefault="00793EA9" w:rsidP="00012351">
      <w:pPr>
        <w:widowControl/>
        <w:tabs>
          <w:tab w:val="center" w:pos="4677"/>
        </w:tabs>
      </w:pPr>
    </w:p>
    <w:p w14:paraId="77B4E981" w14:textId="77777777" w:rsidR="00793EA9" w:rsidRPr="00B21DF7" w:rsidRDefault="00B02C1A">
      <w:pPr>
        <w:pStyle w:val="TOCHeading"/>
      </w:pPr>
      <w:r w:rsidRPr="00B21DF7">
        <w:br w:type="page"/>
      </w:r>
      <w:r w:rsidRPr="00B21DF7">
        <w:lastRenderedPageBreak/>
        <w:t>INHOUD</w:t>
      </w:r>
    </w:p>
    <w:p w14:paraId="726F0228" w14:textId="77777777" w:rsidR="00793EA9" w:rsidRPr="00B21DF7" w:rsidRDefault="00B02C1A">
      <w:pPr>
        <w:pStyle w:val="TOCPage"/>
      </w:pPr>
      <w:r w:rsidRPr="00B21DF7">
        <w:t>Blz.</w:t>
      </w:r>
    </w:p>
    <w:p w14:paraId="3E2AA162" w14:textId="335E5C3E" w:rsidR="00B02C1A" w:rsidRDefault="00B02C1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21DF7">
        <w:rPr>
          <w:b/>
        </w:rPr>
        <w:fldChar w:fldCharType="begin"/>
      </w:r>
      <w:r w:rsidRPr="00B21DF7">
        <w:rPr>
          <w:b/>
        </w:rPr>
        <w:instrText xml:space="preserve"> TOC \t "PageHeading</w:instrText>
      </w:r>
      <w:r w:rsidR="009D3E2B" w:rsidRPr="00B21DF7">
        <w:rPr>
          <w:b/>
        </w:rPr>
        <w:instrText>;</w:instrText>
      </w:r>
      <w:r w:rsidRPr="00B21DF7">
        <w:rPr>
          <w:b/>
        </w:rPr>
        <w:instrText xml:space="preserve">1" </w:instrText>
      </w:r>
      <w:r w:rsidRPr="00B21DF7">
        <w:rPr>
          <w:b/>
        </w:rPr>
        <w:fldChar w:fldCharType="separate"/>
      </w:r>
      <w:r>
        <w:rPr>
          <w:noProof/>
        </w:rPr>
        <w:t>ONTWERPWETGEVINGSRESOLUTIE VAN HET EUROPEES PARLEMENT</w:t>
      </w:r>
      <w:r>
        <w:rPr>
          <w:noProof/>
        </w:rPr>
        <w:tab/>
      </w:r>
      <w:r>
        <w:rPr>
          <w:noProof/>
        </w:rPr>
        <w:fldChar w:fldCharType="begin"/>
      </w:r>
      <w:r>
        <w:rPr>
          <w:noProof/>
        </w:rPr>
        <w:instrText xml:space="preserve"> PAGEREF _Toc210981873 \h </w:instrText>
      </w:r>
      <w:r>
        <w:rPr>
          <w:noProof/>
        </w:rPr>
      </w:r>
      <w:r>
        <w:rPr>
          <w:noProof/>
        </w:rPr>
        <w:fldChar w:fldCharType="separate"/>
      </w:r>
      <w:r>
        <w:rPr>
          <w:noProof/>
        </w:rPr>
        <w:t>5</w:t>
      </w:r>
      <w:r>
        <w:rPr>
          <w:noProof/>
        </w:rPr>
        <w:fldChar w:fldCharType="end"/>
      </w:r>
    </w:p>
    <w:p w14:paraId="047E11D5" w14:textId="5D46BF8D" w:rsidR="00B02C1A" w:rsidRDefault="00B02C1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TOELICHTING</w:t>
      </w:r>
      <w:r>
        <w:rPr>
          <w:noProof/>
        </w:rPr>
        <w:tab/>
      </w:r>
      <w:r>
        <w:rPr>
          <w:noProof/>
        </w:rPr>
        <w:fldChar w:fldCharType="begin"/>
      </w:r>
      <w:r>
        <w:rPr>
          <w:noProof/>
        </w:rPr>
        <w:instrText xml:space="preserve"> PAGEREF _Toc210981874 \h </w:instrText>
      </w:r>
      <w:r>
        <w:rPr>
          <w:noProof/>
        </w:rPr>
      </w:r>
      <w:r>
        <w:rPr>
          <w:noProof/>
        </w:rPr>
        <w:fldChar w:fldCharType="separate"/>
      </w:r>
      <w:r>
        <w:rPr>
          <w:noProof/>
        </w:rPr>
        <w:t>14</w:t>
      </w:r>
      <w:r>
        <w:rPr>
          <w:noProof/>
        </w:rPr>
        <w:fldChar w:fldCharType="end"/>
      </w:r>
    </w:p>
    <w:p w14:paraId="00338599" w14:textId="737EDB10" w:rsidR="002346B0" w:rsidRPr="00B21DF7" w:rsidRDefault="00B02C1A" w:rsidP="00C23324">
      <w:r w:rsidRPr="00B21DF7">
        <w:rPr>
          <w:b/>
        </w:rPr>
        <w:fldChar w:fldCharType="end"/>
      </w:r>
    </w:p>
    <w:p w14:paraId="5398E385" w14:textId="77777777" w:rsidR="00793EA9" w:rsidRPr="00B21DF7" w:rsidRDefault="00B02C1A">
      <w:pPr>
        <w:pStyle w:val="PageHeading"/>
      </w:pPr>
      <w:r w:rsidRPr="00B21DF7">
        <w:br w:type="page"/>
      </w:r>
      <w:r w:rsidRPr="00B21DF7">
        <w:lastRenderedPageBreak/>
        <w:br w:type="page"/>
      </w:r>
      <w:bookmarkStart w:id="0" w:name="_Toc210981873"/>
      <w:r w:rsidRPr="00B21DF7">
        <w:lastRenderedPageBreak/>
        <w:t>ONTWERPWETGEVINGSRESOLUTIE VAN HET EUROPEES PARLEMENT</w:t>
      </w:r>
      <w:bookmarkEnd w:id="0"/>
    </w:p>
    <w:p w14:paraId="2B5D5437" w14:textId="77777777" w:rsidR="00793EA9" w:rsidRPr="00B21DF7" w:rsidRDefault="00B02C1A">
      <w:pPr>
        <w:pStyle w:val="NormalBold"/>
      </w:pPr>
      <w:r w:rsidRPr="00B21DF7">
        <w:t>over het voorstel voor een verordening van het Europees Parlement en de Raad tot wijziging van Verordening (EU) 2024/1348 wat betreft de vaststelling van een lijst van veilige landen van herkomst op het niveau van de Unie</w:t>
      </w:r>
    </w:p>
    <w:p w14:paraId="36747D40" w14:textId="77777777" w:rsidR="00793EA9" w:rsidRPr="00B21DF7" w:rsidRDefault="00B02C1A">
      <w:pPr>
        <w:pStyle w:val="NormalBold12a"/>
      </w:pPr>
      <w:r w:rsidRPr="00B21DF7">
        <w:t>(COM(2025)0186 – C10</w:t>
      </w:r>
      <w:r w:rsidRPr="00B21DF7">
        <w:noBreakHyphen/>
        <w:t>0069/2025 – 2025/0101(COD))</w:t>
      </w:r>
    </w:p>
    <w:p w14:paraId="2DF5CDBA" w14:textId="77777777" w:rsidR="00793EA9" w:rsidRPr="00B21DF7" w:rsidRDefault="00B02C1A" w:rsidP="00A910C9">
      <w:pPr>
        <w:pStyle w:val="NormalBold"/>
      </w:pPr>
      <w:r w:rsidRPr="00B21DF7">
        <w:t>(Gewone wetgevingsprocedure: eerste lezing)</w:t>
      </w:r>
    </w:p>
    <w:p w14:paraId="49E22B5E" w14:textId="77777777" w:rsidR="00793EA9" w:rsidRPr="00B21DF7" w:rsidRDefault="00B02C1A" w:rsidP="00A910C9">
      <w:pPr>
        <w:pStyle w:val="EPComma"/>
      </w:pPr>
      <w:r w:rsidRPr="00B21DF7">
        <w:rPr>
          <w:i/>
        </w:rPr>
        <w:t>Het Europees Parlement</w:t>
      </w:r>
      <w:r w:rsidRPr="00B21DF7">
        <w:t>,</w:t>
      </w:r>
    </w:p>
    <w:p w14:paraId="04A683FA" w14:textId="77777777" w:rsidR="00793EA9" w:rsidRPr="00B21DF7" w:rsidRDefault="00B02C1A">
      <w:pPr>
        <w:pStyle w:val="NormalHanging12a"/>
      </w:pPr>
      <w:r w:rsidRPr="00B21DF7">
        <w:t>–</w:t>
      </w:r>
      <w:r w:rsidRPr="00B21DF7">
        <w:tab/>
        <w:t>gezien het voorstel van de Commissie aan het Europees Parlement en de Raad (COM(2025)0186),</w:t>
      </w:r>
    </w:p>
    <w:p w14:paraId="0321C499" w14:textId="77777777" w:rsidR="00793EA9" w:rsidRPr="00B21DF7" w:rsidRDefault="00B02C1A">
      <w:pPr>
        <w:pStyle w:val="NormalHanging12a"/>
      </w:pPr>
      <w:r w:rsidRPr="00B21DF7">
        <w:t>–</w:t>
      </w:r>
      <w:r w:rsidRPr="00B21DF7">
        <w:tab/>
        <w:t>gezien artikel 294, lid 2, en artikel 78, lid 2, punt d), van het Verdrag betreffende de werking van de Europese Unie, op grond waarvan het voorstel door de Commissie bij het Parlement is ingediend (C10</w:t>
      </w:r>
      <w:r w:rsidRPr="00B21DF7">
        <w:noBreakHyphen/>
        <w:t>0069/2025),</w:t>
      </w:r>
    </w:p>
    <w:p w14:paraId="417FCC97" w14:textId="77777777" w:rsidR="00A26F46" w:rsidRPr="00B21DF7" w:rsidRDefault="00B02C1A" w:rsidP="00A26F46">
      <w:pPr>
        <w:pStyle w:val="NormalHanging12a"/>
      </w:pPr>
      <w:r w:rsidRPr="00B21DF7">
        <w:t>–</w:t>
      </w:r>
      <w:r w:rsidRPr="00B21DF7">
        <w:tab/>
        <w:t>gezien artikel 294, lid 3, van het Verdrag betreffende de werking van de Europese Unie,</w:t>
      </w:r>
    </w:p>
    <w:p w14:paraId="5ED8A0BC" w14:textId="77777777" w:rsidR="0058429A" w:rsidRPr="00B21DF7" w:rsidRDefault="00B02C1A" w:rsidP="00AD7FA6">
      <w:pPr>
        <w:pStyle w:val="NormalHanging12a"/>
      </w:pPr>
      <w:r w:rsidRPr="00B21DF7">
        <w:t>–</w:t>
      </w:r>
      <w:r w:rsidRPr="00B21DF7">
        <w:tab/>
        <w:t>gezien het advies van het Europees Economisch en Sociaal Comité,</w:t>
      </w:r>
    </w:p>
    <w:p w14:paraId="379B4203" w14:textId="77777777" w:rsidR="0058429A" w:rsidRPr="00B21DF7" w:rsidRDefault="00B02C1A" w:rsidP="0058429A">
      <w:pPr>
        <w:pStyle w:val="NormalHanging12a"/>
      </w:pPr>
      <w:r w:rsidRPr="00B21DF7">
        <w:t>–</w:t>
      </w:r>
      <w:r w:rsidRPr="00B21DF7">
        <w:tab/>
        <w:t>gezien het advies van het Comité van de Regio’s,</w:t>
      </w:r>
    </w:p>
    <w:p w14:paraId="5A402E47" w14:textId="77777777" w:rsidR="00793EA9" w:rsidRPr="00B21DF7" w:rsidRDefault="00B02C1A">
      <w:pPr>
        <w:pStyle w:val="NormalHanging12a"/>
      </w:pPr>
      <w:r w:rsidRPr="00B21DF7">
        <w:t>–</w:t>
      </w:r>
      <w:r w:rsidRPr="00B21DF7">
        <w:tab/>
        <w:t>gezien artikel 60 van zijn Reglement,</w:t>
      </w:r>
    </w:p>
    <w:p w14:paraId="6B3C34AE" w14:textId="77777777" w:rsidR="006A2F5D" w:rsidRPr="00B21DF7" w:rsidRDefault="00B02C1A" w:rsidP="006A2F5D">
      <w:pPr>
        <w:pStyle w:val="NormalHanging12a"/>
      </w:pPr>
      <w:r w:rsidRPr="00B21DF7">
        <w:t>–</w:t>
      </w:r>
      <w:r w:rsidRPr="00B21DF7">
        <w:tab/>
        <w:t>gezien het advies van de Subcommissie mensenrechten,</w:t>
      </w:r>
    </w:p>
    <w:p w14:paraId="7FBDDDB6" w14:textId="77777777" w:rsidR="006A2F5D" w:rsidRPr="00B21DF7" w:rsidRDefault="00B02C1A" w:rsidP="006A2F5D">
      <w:pPr>
        <w:pStyle w:val="NormalHanging12a"/>
      </w:pPr>
      <w:r w:rsidRPr="00B21DF7">
        <w:t>–</w:t>
      </w:r>
      <w:r w:rsidRPr="00B21DF7">
        <w:tab/>
        <w:t>gezien het verslag van de Commissie burgerlijke vrijheden, justitie en binnenlandse zaken (A10</w:t>
      </w:r>
      <w:r w:rsidRPr="00B21DF7">
        <w:noBreakHyphen/>
        <w:t>0000/2025),</w:t>
      </w:r>
    </w:p>
    <w:p w14:paraId="31EF7B8A" w14:textId="77777777" w:rsidR="009F6C2F" w:rsidRPr="00B21DF7" w:rsidRDefault="00B02C1A" w:rsidP="009F6C2F">
      <w:pPr>
        <w:pStyle w:val="NormalHanging12a"/>
      </w:pPr>
      <w:r w:rsidRPr="00B21DF7">
        <w:t>1.</w:t>
      </w:r>
      <w:r w:rsidRPr="00B21DF7">
        <w:tab/>
        <w:t>stelt onderstaand standpunt in eerste lezing vast;</w:t>
      </w:r>
    </w:p>
    <w:p w14:paraId="4B6330AD" w14:textId="77777777" w:rsidR="006B28A1" w:rsidRPr="00B21DF7" w:rsidRDefault="00B02C1A">
      <w:pPr>
        <w:widowControl/>
      </w:pPr>
      <w:r w:rsidRPr="00B21DF7">
        <w:br w:type="page"/>
      </w:r>
    </w:p>
    <w:p w14:paraId="374F4AFE" w14:textId="77777777" w:rsidR="006B28A1" w:rsidRPr="00B21DF7" w:rsidRDefault="006B28A1" w:rsidP="006B28A1">
      <w:pPr>
        <w:pStyle w:val="NormalHanging12a"/>
        <w:rPr>
          <w:rStyle w:val="HideTWBExt"/>
          <w:rFonts w:ascii="Times New Roman" w:hAnsi="Times New Roman"/>
          <w:noProof w:val="0"/>
          <w:vanish w:val="0"/>
          <w:color w:val="auto"/>
          <w:sz w:val="24"/>
        </w:rPr>
      </w:pPr>
    </w:p>
    <w:p w14:paraId="77FCCC8F" w14:textId="77777777" w:rsidR="006B28A1" w:rsidRPr="00B21DF7" w:rsidRDefault="00B02C1A" w:rsidP="006B28A1">
      <w:pPr>
        <w:pStyle w:val="AMNumberTabs0"/>
        <w:keepNext/>
      </w:pPr>
      <w:r w:rsidRPr="00B21DF7">
        <w:rPr>
          <w:rStyle w:val="HideTWBExt"/>
          <w:b w:val="0"/>
        </w:rPr>
        <w:t>&lt;RepeatBlock-Amend&gt;&lt;Amend&gt;</w:t>
      </w:r>
      <w:r w:rsidRPr="00B21DF7">
        <w:t>Amendement</w:t>
      </w:r>
      <w:r w:rsidRPr="00B21DF7">
        <w:tab/>
      </w:r>
      <w:r w:rsidRPr="00B21DF7">
        <w:tab/>
      </w:r>
      <w:r w:rsidRPr="00B21DF7">
        <w:rPr>
          <w:rStyle w:val="HideTWBExt"/>
          <w:b w:val="0"/>
        </w:rPr>
        <w:t>&lt;NumAm&gt;</w:t>
      </w:r>
      <w:r w:rsidRPr="00B21DF7">
        <w:t>1</w:t>
      </w:r>
      <w:r w:rsidRPr="00B21DF7">
        <w:rPr>
          <w:rStyle w:val="HideTWBExt"/>
          <w:b w:val="0"/>
        </w:rPr>
        <w:t>&lt;/NumAm&gt;</w:t>
      </w:r>
    </w:p>
    <w:p w14:paraId="3840856F"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1E4BB3FD" w14:textId="77777777" w:rsidR="006B28A1" w:rsidRPr="00B21DF7" w:rsidRDefault="00B02C1A" w:rsidP="006B28A1">
      <w:pPr>
        <w:pStyle w:val="NormalBold"/>
      </w:pPr>
      <w:r w:rsidRPr="00B21DF7">
        <w:rPr>
          <w:rStyle w:val="HideTWBExt"/>
          <w:b w:val="0"/>
        </w:rPr>
        <w:t>&lt;Article&gt;</w:t>
      </w:r>
      <w:r w:rsidRPr="00B21DF7">
        <w:t>Overweging 6</w:t>
      </w:r>
      <w:r w:rsidRPr="00B21D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3DBBA997" w14:textId="77777777" w:rsidTr="006B28A1">
        <w:trPr>
          <w:jc w:val="center"/>
        </w:trPr>
        <w:tc>
          <w:tcPr>
            <w:tcW w:w="9752" w:type="dxa"/>
            <w:gridSpan w:val="2"/>
          </w:tcPr>
          <w:p w14:paraId="5944C162" w14:textId="77777777" w:rsidR="006B28A1" w:rsidRPr="00B21DF7" w:rsidRDefault="006B28A1">
            <w:pPr>
              <w:keepNext/>
            </w:pPr>
          </w:p>
        </w:tc>
      </w:tr>
      <w:tr w:rsidR="00D1149C" w:rsidRPr="00B21DF7" w14:paraId="2A87EC53" w14:textId="77777777" w:rsidTr="006B28A1">
        <w:trPr>
          <w:jc w:val="center"/>
        </w:trPr>
        <w:tc>
          <w:tcPr>
            <w:tcW w:w="4876" w:type="dxa"/>
            <w:hideMark/>
          </w:tcPr>
          <w:p w14:paraId="6365C94A" w14:textId="77777777" w:rsidR="006B28A1" w:rsidRPr="00B21DF7" w:rsidRDefault="00B02C1A">
            <w:pPr>
              <w:pStyle w:val="ColumnHeading"/>
              <w:keepNext/>
            </w:pPr>
            <w:r w:rsidRPr="00B21DF7">
              <w:t>Door de Commissie voorgestelde tekst</w:t>
            </w:r>
          </w:p>
        </w:tc>
        <w:tc>
          <w:tcPr>
            <w:tcW w:w="4876" w:type="dxa"/>
            <w:hideMark/>
          </w:tcPr>
          <w:p w14:paraId="52E80801" w14:textId="77777777" w:rsidR="006B28A1" w:rsidRPr="00B21DF7" w:rsidRDefault="00B02C1A">
            <w:pPr>
              <w:pStyle w:val="ColumnHeading"/>
              <w:keepNext/>
            </w:pPr>
            <w:r w:rsidRPr="00B21DF7">
              <w:t>Amendement</w:t>
            </w:r>
          </w:p>
        </w:tc>
      </w:tr>
      <w:tr w:rsidR="00D1149C" w:rsidRPr="00B21DF7" w14:paraId="607E9FC4" w14:textId="77777777" w:rsidTr="006B28A1">
        <w:trPr>
          <w:jc w:val="center"/>
        </w:trPr>
        <w:tc>
          <w:tcPr>
            <w:tcW w:w="4876" w:type="dxa"/>
            <w:hideMark/>
          </w:tcPr>
          <w:p w14:paraId="3B81FD73" w14:textId="77777777" w:rsidR="006B28A1" w:rsidRPr="00B21DF7" w:rsidRDefault="00B02C1A">
            <w:pPr>
              <w:pStyle w:val="Normal6"/>
            </w:pPr>
            <w:r w:rsidRPr="00B21DF7">
              <w:t>(6)</w:t>
            </w:r>
            <w:r w:rsidRPr="00B21DF7">
              <w:tab/>
              <w:t xml:space="preserve">De status van kandidaat-lidstaat wordt toegekend door de Europese Raad na een unaniem </w:t>
            </w:r>
            <w:r w:rsidRPr="00B21DF7">
              <w:t>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kandidaat-lidstaat van de EU is toegekend, als veilige landen van herkomst moeten worde</w:t>
            </w:r>
            <w:r w:rsidRPr="00B21DF7">
              <w:t xml:space="preserve">n aangemerkt, tenzij er sprake is van de volgende omstandigheden: er is een ernstige en individuele bedreiging van het leven of de persoon van een burger als gevolg van willekeurig geweld in het kader van een internationaal of binnenlands gewapend conflict in het land; er zijn beperkende maatregelen in de zin van het vijfde deel, titel IV, van het Verdrag betreffende de werking van de Europese Unie vastgesteld naar aanleiding van het </w:t>
            </w:r>
            <w:r w:rsidRPr="00B21DF7">
              <w:rPr>
                <w:b/>
                <w:i/>
              </w:rPr>
              <w:t>optreden</w:t>
            </w:r>
            <w:r w:rsidRPr="00B21DF7">
              <w:t xml:space="preserve"> van </w:t>
            </w:r>
            <w:r w:rsidRPr="00B21DF7">
              <w:rPr>
                <w:b/>
                <w:i/>
              </w:rPr>
              <w:t>het</w:t>
            </w:r>
            <w:r w:rsidRPr="00B21DF7">
              <w:t xml:space="preserve"> land</w:t>
            </w:r>
            <w:r w:rsidRPr="00B21DF7">
              <w:rPr>
                <w:b/>
                <w:i/>
              </w:rPr>
              <w:t>; of</w:t>
            </w:r>
            <w:r w:rsidRPr="00B21DF7">
              <w:t xml:space="preserve"> het EU-brede erkenningspercentage voor verzoeker</w:t>
            </w:r>
            <w:r w:rsidRPr="00B21DF7">
              <w:t>s uit het land is hoger dan 20 %.</w:t>
            </w:r>
          </w:p>
        </w:tc>
        <w:tc>
          <w:tcPr>
            <w:tcW w:w="4876" w:type="dxa"/>
            <w:hideMark/>
          </w:tcPr>
          <w:p w14:paraId="04E501B1" w14:textId="77777777" w:rsidR="006B28A1" w:rsidRPr="00B21DF7" w:rsidRDefault="00B02C1A">
            <w:pPr>
              <w:pStyle w:val="Normal6"/>
              <w:rPr>
                <w:szCs w:val="24"/>
              </w:rPr>
            </w:pPr>
            <w:r w:rsidRPr="00B21DF7">
              <w:t>(6)</w:t>
            </w:r>
            <w:r w:rsidRPr="00B21DF7">
              <w:tab/>
              <w:t xml:space="preserve">De status van kandidaat-lidstaat wordt toegekend door de Europese Raad na een unaniem besluit, op aanbeveling van de Europese Commissie. Wat met name de politieke criteria voor het EU-lidmaatschap betreft, is gebleken dat de kandidaat-lidstaten van de EU vooruitgang hebben geboekt op het gebied van stabiele instellingen die de democratie, de rechtsstaat, de mensenrechten en het respect voor en de bescherming van minderheden garanderen. Daarom kan worden geconcludeerd dat derde landen waaraan de status van </w:t>
            </w:r>
            <w:r w:rsidRPr="00B21DF7">
              <w:t xml:space="preserve">kandidaat-lidstaat van de EU is toegekend, als veilige landen van herkomst moeten worden aangemerkt, tenzij er sprake is van </w:t>
            </w:r>
            <w:r w:rsidRPr="00B21DF7">
              <w:rPr>
                <w:b/>
                <w:i/>
              </w:rPr>
              <w:t xml:space="preserve">een </w:t>
            </w:r>
            <w:r w:rsidRPr="00B21DF7">
              <w:t>de volgende omstandigheden: er is een ernstige en individuele bedreiging van het leven of de persoon van een burger als gevolg van willekeurig geweld in het kader van een internationaal of binnenlands gewapend conflict in het land</w:t>
            </w:r>
            <w:r w:rsidRPr="00B21DF7">
              <w:rPr>
                <w:b/>
                <w:i/>
              </w:rPr>
              <w:t>, tenzij de bedreiging beperkt is tot een specifiek geografisch gebied en de burger toegang heeft tot effectieve bescherming in een ander deel van het la</w:t>
            </w:r>
            <w:r w:rsidRPr="00B21DF7">
              <w:rPr>
                <w:b/>
                <w:i/>
              </w:rPr>
              <w:t>nd</w:t>
            </w:r>
            <w:r w:rsidRPr="00B21DF7">
              <w:t xml:space="preserve">; er zijn beperkende maatregelen in de zin van het vijfde deel, titel IV, van het Verdrag betreffende de werking van de Europese Unie vastgesteld naar aanleiding van </w:t>
            </w:r>
            <w:r w:rsidRPr="00B21DF7">
              <w:rPr>
                <w:b/>
                <w:i/>
              </w:rPr>
              <w:t xml:space="preserve">optreden van </w:t>
            </w:r>
            <w:r w:rsidRPr="00B21DF7">
              <w:t xml:space="preserve">het </w:t>
            </w:r>
            <w:r w:rsidRPr="00B21DF7">
              <w:rPr>
                <w:b/>
                <w:i/>
              </w:rPr>
              <w:t>land dat gevolgen heeft voor de grondrechten en fundamentele vrijheden en dat relevant is voor de aanwijzing</w:t>
            </w:r>
            <w:r w:rsidRPr="00B21DF7">
              <w:t xml:space="preserve"> van </w:t>
            </w:r>
            <w:r w:rsidRPr="00B21DF7">
              <w:rPr>
                <w:b/>
                <w:i/>
              </w:rPr>
              <w:t>een derde land als veilig</w:t>
            </w:r>
            <w:r w:rsidRPr="00B21DF7">
              <w:t xml:space="preserve"> land</w:t>
            </w:r>
            <w:r w:rsidRPr="00B21DF7">
              <w:rPr>
                <w:b/>
                <w:i/>
              </w:rPr>
              <w:t xml:space="preserve"> van herkomst;</w:t>
            </w:r>
            <w:r w:rsidRPr="00B21DF7">
              <w:t xml:space="preserve"> het EU-brede erkenningspercentage voor verzoekers uit het land is hoger dan 20 %.</w:t>
            </w:r>
          </w:p>
        </w:tc>
      </w:tr>
    </w:tbl>
    <w:p w14:paraId="74C41271" w14:textId="77777777" w:rsidR="006B28A1" w:rsidRPr="00B21DF7" w:rsidRDefault="00B02C1A" w:rsidP="006B28A1">
      <w:pPr>
        <w:pStyle w:val="Olang"/>
        <w:rPr>
          <w:sz w:val="24"/>
          <w:szCs w:val="24"/>
        </w:rPr>
      </w:pPr>
      <w:r w:rsidRPr="00B21DF7">
        <w:rPr>
          <w:sz w:val="24"/>
          <w:szCs w:val="24"/>
        </w:rPr>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21047D00" w14:textId="77777777" w:rsidR="006B28A1" w:rsidRPr="00B21DF7" w:rsidRDefault="00B02C1A" w:rsidP="006B28A1">
      <w:pPr>
        <w:rPr>
          <w:szCs w:val="24"/>
        </w:rPr>
      </w:pPr>
      <w:r w:rsidRPr="00B21DF7">
        <w:rPr>
          <w:rStyle w:val="HideTWBExt"/>
        </w:rPr>
        <w:t>&lt;/Amend&gt;</w:t>
      </w:r>
    </w:p>
    <w:p w14:paraId="443C3DE5" w14:textId="77777777" w:rsidR="006B28A1" w:rsidRPr="00B21DF7" w:rsidRDefault="00B02C1A" w:rsidP="006B28A1">
      <w:pPr>
        <w:pStyle w:val="AMNumberTabs0"/>
        <w:keepNext/>
      </w:pPr>
      <w:r w:rsidRPr="00B21DF7">
        <w:rPr>
          <w:rStyle w:val="HideTWBExt"/>
          <w:b w:val="0"/>
        </w:rPr>
        <w:lastRenderedPageBreak/>
        <w:t>&lt;Amend&gt;</w:t>
      </w:r>
      <w:r w:rsidRPr="00B21DF7">
        <w:t>Amendement</w:t>
      </w:r>
      <w:r w:rsidRPr="00B21DF7">
        <w:tab/>
      </w:r>
      <w:r w:rsidRPr="00B21DF7">
        <w:tab/>
      </w:r>
      <w:r w:rsidRPr="00B21DF7">
        <w:rPr>
          <w:rStyle w:val="HideTWBExt"/>
          <w:b w:val="0"/>
        </w:rPr>
        <w:t>&lt;NumAm&gt;</w:t>
      </w:r>
      <w:r w:rsidRPr="00B21DF7">
        <w:t>2</w:t>
      </w:r>
      <w:r w:rsidRPr="00B21DF7">
        <w:rPr>
          <w:rStyle w:val="HideTWBExt"/>
          <w:b w:val="0"/>
        </w:rPr>
        <w:t>&lt;/NumAm&gt;</w:t>
      </w:r>
    </w:p>
    <w:p w14:paraId="561F4C50"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09BF75E7" w14:textId="77777777" w:rsidR="006B28A1" w:rsidRPr="00B21DF7" w:rsidRDefault="00B02C1A" w:rsidP="006B28A1">
      <w:pPr>
        <w:pStyle w:val="NormalBold"/>
      </w:pPr>
      <w:r w:rsidRPr="00B21DF7">
        <w:rPr>
          <w:rStyle w:val="HideTWBExt"/>
          <w:b w:val="0"/>
        </w:rPr>
        <w:t>&lt;Article&gt;</w:t>
      </w:r>
      <w:r w:rsidRPr="00B21DF7">
        <w:t>Overweging 6 bis (nieuw)</w:t>
      </w:r>
      <w:r w:rsidRPr="00B21D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4D53DADF" w14:textId="77777777" w:rsidTr="006B28A1">
        <w:trPr>
          <w:jc w:val="center"/>
        </w:trPr>
        <w:tc>
          <w:tcPr>
            <w:tcW w:w="9752" w:type="dxa"/>
            <w:gridSpan w:val="2"/>
          </w:tcPr>
          <w:p w14:paraId="111AD46C" w14:textId="77777777" w:rsidR="006B28A1" w:rsidRPr="00B21DF7" w:rsidRDefault="006B28A1">
            <w:pPr>
              <w:keepNext/>
            </w:pPr>
          </w:p>
        </w:tc>
      </w:tr>
      <w:tr w:rsidR="00D1149C" w:rsidRPr="00B21DF7" w14:paraId="0BF76D1F" w14:textId="77777777" w:rsidTr="006B28A1">
        <w:trPr>
          <w:jc w:val="center"/>
        </w:trPr>
        <w:tc>
          <w:tcPr>
            <w:tcW w:w="4876" w:type="dxa"/>
            <w:hideMark/>
          </w:tcPr>
          <w:p w14:paraId="25007A39" w14:textId="77777777" w:rsidR="006B28A1" w:rsidRPr="00B21DF7" w:rsidRDefault="00B02C1A">
            <w:pPr>
              <w:pStyle w:val="ColumnHeading"/>
              <w:keepNext/>
            </w:pPr>
            <w:r w:rsidRPr="00B21DF7">
              <w:t>Door de Commissie voorgestelde tekst</w:t>
            </w:r>
          </w:p>
        </w:tc>
        <w:tc>
          <w:tcPr>
            <w:tcW w:w="4876" w:type="dxa"/>
            <w:hideMark/>
          </w:tcPr>
          <w:p w14:paraId="1E5DB50D" w14:textId="77777777" w:rsidR="006B28A1" w:rsidRPr="00B21DF7" w:rsidRDefault="00B02C1A">
            <w:pPr>
              <w:pStyle w:val="ColumnHeading"/>
              <w:keepNext/>
            </w:pPr>
            <w:r w:rsidRPr="00B21DF7">
              <w:t>Amendement</w:t>
            </w:r>
          </w:p>
        </w:tc>
      </w:tr>
      <w:tr w:rsidR="00D1149C" w:rsidRPr="00B21DF7" w14:paraId="5237D79D" w14:textId="77777777" w:rsidTr="006B28A1">
        <w:trPr>
          <w:jc w:val="center"/>
        </w:trPr>
        <w:tc>
          <w:tcPr>
            <w:tcW w:w="4876" w:type="dxa"/>
          </w:tcPr>
          <w:p w14:paraId="2E21F6FC" w14:textId="77777777" w:rsidR="006B28A1" w:rsidRPr="00B21DF7" w:rsidRDefault="006B28A1">
            <w:pPr>
              <w:pStyle w:val="Normal6"/>
            </w:pPr>
          </w:p>
        </w:tc>
        <w:tc>
          <w:tcPr>
            <w:tcW w:w="4876" w:type="dxa"/>
            <w:hideMark/>
          </w:tcPr>
          <w:p w14:paraId="680CE847" w14:textId="77777777" w:rsidR="006B28A1" w:rsidRPr="00B21DF7" w:rsidRDefault="00B02C1A">
            <w:pPr>
              <w:pStyle w:val="Normal6"/>
              <w:rPr>
                <w:szCs w:val="24"/>
              </w:rPr>
            </w:pPr>
            <w:r w:rsidRPr="00B21DF7">
              <w:rPr>
                <w:b/>
                <w:i/>
              </w:rPr>
              <w:t>(6 bis)</w:t>
            </w:r>
            <w:r w:rsidRPr="00B21DF7">
              <w:rPr>
                <w:b/>
                <w:i/>
              </w:rPr>
              <w:tab/>
              <w:t xml:space="preserve">Om een uniforme toepassing van deze verordening te waarborgen in alle </w:t>
            </w:r>
            <w:r w:rsidRPr="00B21DF7">
              <w:rPr>
                <w:b/>
                <w:i/>
              </w:rPr>
              <w:t>lidstaten moet een duidelijk en gecoördineerd mechanisme worden ingesteld om te bepalen wanneer een kandidaat-lidstaat niet langer als een veilig land van herkomst mag worden beschouwd. Om rechtszekerheid te bieden moet de Commissie regelmatig objectieve beoordelingen van de relevante omstandigheden uitvoeren en, in voorkomend geval, haar conclusies aan de lidstaten meedelen door middel van een formele kennisgeving. Deze kennisgeving moet openbaar worden gemaakt en moet vanaf een bepaalde datum in de hele U</w:t>
            </w:r>
            <w:r w:rsidRPr="00B21DF7">
              <w:rPr>
                <w:b/>
                <w:i/>
              </w:rPr>
              <w:t>nie op uniforme wijze van kracht worden.</w:t>
            </w:r>
          </w:p>
        </w:tc>
      </w:tr>
    </w:tbl>
    <w:p w14:paraId="43578A7C" w14:textId="77777777" w:rsidR="006B28A1" w:rsidRPr="00B21DF7" w:rsidRDefault="00B02C1A" w:rsidP="006B28A1">
      <w:pPr>
        <w:pStyle w:val="Olang"/>
        <w:rPr>
          <w:sz w:val="24"/>
          <w:szCs w:val="24"/>
        </w:rPr>
      </w:pPr>
      <w:r w:rsidRPr="00B21DF7">
        <w:rPr>
          <w:sz w:val="24"/>
          <w:szCs w:val="24"/>
        </w:rPr>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106898D5" w14:textId="77777777" w:rsidR="006B28A1" w:rsidRPr="00B21DF7" w:rsidRDefault="00B02C1A" w:rsidP="006B28A1">
      <w:pPr>
        <w:rPr>
          <w:szCs w:val="24"/>
        </w:rPr>
      </w:pPr>
      <w:r w:rsidRPr="00B21DF7">
        <w:rPr>
          <w:rStyle w:val="HideTWBExt"/>
        </w:rPr>
        <w:t>&lt;/Amend&gt;</w:t>
      </w:r>
    </w:p>
    <w:p w14:paraId="17BBD86E" w14:textId="77777777" w:rsidR="006B28A1" w:rsidRPr="00B21DF7" w:rsidRDefault="00B02C1A" w:rsidP="006B28A1">
      <w:pPr>
        <w:pStyle w:val="AMNumberTabs0"/>
        <w:keepNext/>
      </w:pPr>
      <w:r w:rsidRPr="00B21DF7">
        <w:rPr>
          <w:rStyle w:val="HideTWBExt"/>
          <w:b w:val="0"/>
        </w:rPr>
        <w:t>&lt;Amend&gt;</w:t>
      </w:r>
      <w:r w:rsidRPr="00B21DF7">
        <w:t>Amendement</w:t>
      </w:r>
      <w:r w:rsidRPr="00B21DF7">
        <w:tab/>
      </w:r>
      <w:r w:rsidRPr="00B21DF7">
        <w:tab/>
      </w:r>
      <w:r w:rsidRPr="00B21DF7">
        <w:rPr>
          <w:rStyle w:val="HideTWBExt"/>
          <w:b w:val="0"/>
        </w:rPr>
        <w:t>&lt;NumAm&gt;</w:t>
      </w:r>
      <w:r w:rsidRPr="00B21DF7">
        <w:t>3</w:t>
      </w:r>
      <w:r w:rsidRPr="00B21DF7">
        <w:rPr>
          <w:rStyle w:val="HideTWBExt"/>
          <w:b w:val="0"/>
        </w:rPr>
        <w:t>&lt;/NumAm&gt;</w:t>
      </w:r>
    </w:p>
    <w:p w14:paraId="1C6ABE84"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461B9D87" w14:textId="77777777" w:rsidR="006B28A1" w:rsidRPr="00B21DF7" w:rsidRDefault="00B02C1A" w:rsidP="006B28A1">
      <w:pPr>
        <w:pStyle w:val="NormalBold"/>
      </w:pPr>
      <w:r w:rsidRPr="00B21DF7">
        <w:rPr>
          <w:rStyle w:val="HideTWBExt"/>
          <w:b w:val="0"/>
        </w:rPr>
        <w:t>&lt;Article&gt;</w:t>
      </w:r>
      <w:r w:rsidRPr="00B21DF7">
        <w:t>Overweging 11</w:t>
      </w:r>
      <w:r w:rsidRPr="00B21D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70327F3D" w14:textId="77777777" w:rsidTr="006B28A1">
        <w:trPr>
          <w:jc w:val="center"/>
        </w:trPr>
        <w:tc>
          <w:tcPr>
            <w:tcW w:w="9752" w:type="dxa"/>
            <w:gridSpan w:val="2"/>
          </w:tcPr>
          <w:p w14:paraId="2C771A23" w14:textId="77777777" w:rsidR="006B28A1" w:rsidRPr="00B21DF7" w:rsidRDefault="006B28A1">
            <w:pPr>
              <w:keepNext/>
            </w:pPr>
          </w:p>
        </w:tc>
      </w:tr>
      <w:tr w:rsidR="00D1149C" w:rsidRPr="00B21DF7" w14:paraId="6C7271A0" w14:textId="77777777" w:rsidTr="006B28A1">
        <w:trPr>
          <w:jc w:val="center"/>
        </w:trPr>
        <w:tc>
          <w:tcPr>
            <w:tcW w:w="4876" w:type="dxa"/>
            <w:hideMark/>
          </w:tcPr>
          <w:p w14:paraId="5C482EC9" w14:textId="77777777" w:rsidR="006B28A1" w:rsidRPr="00B21DF7" w:rsidRDefault="00B02C1A">
            <w:pPr>
              <w:pStyle w:val="ColumnHeading"/>
              <w:keepNext/>
            </w:pPr>
            <w:r w:rsidRPr="00B21DF7">
              <w:t>Door de Commissie voorgestelde tekst</w:t>
            </w:r>
          </w:p>
        </w:tc>
        <w:tc>
          <w:tcPr>
            <w:tcW w:w="4876" w:type="dxa"/>
            <w:hideMark/>
          </w:tcPr>
          <w:p w14:paraId="5837B6F3" w14:textId="77777777" w:rsidR="006B28A1" w:rsidRPr="00B21DF7" w:rsidRDefault="00B02C1A">
            <w:pPr>
              <w:pStyle w:val="ColumnHeading"/>
              <w:keepNext/>
            </w:pPr>
            <w:r w:rsidRPr="00B21DF7">
              <w:t>Amendement</w:t>
            </w:r>
          </w:p>
        </w:tc>
      </w:tr>
      <w:tr w:rsidR="00D1149C" w:rsidRPr="00B21DF7" w14:paraId="4282501B" w14:textId="77777777" w:rsidTr="006B28A1">
        <w:trPr>
          <w:jc w:val="center"/>
        </w:trPr>
        <w:tc>
          <w:tcPr>
            <w:tcW w:w="4876" w:type="dxa"/>
            <w:hideMark/>
          </w:tcPr>
          <w:p w14:paraId="7D7DEFCC" w14:textId="77777777" w:rsidR="006B28A1" w:rsidRPr="00B21DF7" w:rsidRDefault="00B02C1A">
            <w:pPr>
              <w:pStyle w:val="Normal6"/>
            </w:pPr>
            <w:r w:rsidRPr="00B21DF7">
              <w:t>(11)</w:t>
            </w:r>
            <w:r w:rsidRPr="00B21DF7">
              <w:tab/>
              <w:t xml:space="preserve">Volgens de informatie van het Asielagentschap wijzen negen lidstaten India momenteel op nationaal niveau aan als veilig land van herkomst, en in 2024 bedroeg het Uniebrede erkenningspercentage voor verzoekers uit India 2 %. Het land </w:t>
            </w:r>
            <w:r w:rsidRPr="00B21DF7">
              <w:t xml:space="preserve">heeft de belangrijkste internationale mensenrechteninstrumenten geratificeerd. India is een constitutionele republiek en een parlementaire democratie. Er zijn geen aanwijzingen dat burgers van India worden uitgezet, verwijderd of uitgeleverd aan landen waar zij risico zouden lopen op de doodstraf, foltering, vervolging of onmenselijke of </w:t>
            </w:r>
            <w:r w:rsidRPr="00B21DF7">
              <w:lastRenderedPageBreak/>
              <w:t>vernederende behandeling. In het algemeen bestaat er geen reëel risico op ernstige schade in de zin van artikel 15 van Verordening (EU) 2024/1347. Hoewel India de doodstraf</w:t>
            </w:r>
            <w:r w:rsidRPr="00B21DF7">
              <w:t xml:space="preserve"> heeft opgenomen in zijn strafrecht en het land het Tweede Facultatieve Protocol bij het Internationaal Verdrag inzake burgerrechten en politieke rechten, gericht op de afschaffing van de doodstraf, niet heeft ondertekend, wordt de doodstraf sinds 2020 in de praktijk niet meer uitgevoerd. India heeft het VN-Verdrag tegen foltering en andere wrede, onmenselijke of onterende behandeling of bestraffing </w:t>
            </w:r>
            <w:r w:rsidRPr="00B21DF7">
              <w:rPr>
                <w:b/>
                <w:i/>
              </w:rPr>
              <w:t>geratificeerd</w:t>
            </w:r>
            <w:r w:rsidRPr="00B21DF7">
              <w:t>. Er vindt geen gewapend conflict plaats in India en daarom is er geen sprake van een bedreiging</w:t>
            </w:r>
            <w:r w:rsidRPr="00B21DF7">
              <w:t xml:space="preserve"> door willekeurig geweld in het kader van een internationaal of binnenlands gewapend conflict. In het algemeen is er in het land geen sprake van vervolging in de zin van artikel 9 van Verordening (EU) 2024/1347.</w:t>
            </w:r>
          </w:p>
        </w:tc>
        <w:tc>
          <w:tcPr>
            <w:tcW w:w="4876" w:type="dxa"/>
            <w:hideMark/>
          </w:tcPr>
          <w:p w14:paraId="63655BDE" w14:textId="77777777" w:rsidR="006B28A1" w:rsidRPr="00B21DF7" w:rsidRDefault="00B02C1A">
            <w:pPr>
              <w:pStyle w:val="Normal6"/>
              <w:rPr>
                <w:szCs w:val="24"/>
              </w:rPr>
            </w:pPr>
            <w:r w:rsidRPr="00B21DF7">
              <w:lastRenderedPageBreak/>
              <w:t>(11)</w:t>
            </w:r>
            <w:r w:rsidRPr="00B21DF7">
              <w:tab/>
              <w:t>Volgens de informatie van het Asielagentschap wijzen negen lidstaten India momenteel op nationaal niveau aan als veilig land van herkomst, en in 2024 bedroeg het Uniebrede erkenningspercentage voor verzoekers uit India 2 %. Het land heeft de belangrijkste internationale mensenrechteninstrumenten geratificeerd. India is een constitutionele republiek en een parlementaire democratie. Er zijn geen aanwijzingen dat burgers van India worden uitgezet, verwijderd of uitgeleverd aan landen waar zij risico zouden lo</w:t>
            </w:r>
            <w:r w:rsidRPr="00B21DF7">
              <w:t xml:space="preserve">pen op de doodstraf, foltering, vervolging of onmenselijke of </w:t>
            </w:r>
            <w:r w:rsidRPr="00B21DF7">
              <w:lastRenderedPageBreak/>
              <w:t xml:space="preserve">vernederende behandeling. In het algemeen bestaat er geen reëel risico op ernstige schade in de zin van artikel 15 van Verordening (EU) 2024/1347. Hoewel India de doodstraf heeft opgenomen in zijn strafrecht en het land het Tweede Facultatieve Protocol bij het Internationaal Verdrag inzake burgerrechten en politieke rechten, gericht op de afschaffing van de doodstraf, niet heeft ondertekend, wordt de doodstraf sinds 2020 in de praktijk niet meer </w:t>
            </w:r>
            <w:r w:rsidRPr="00B21DF7">
              <w:t xml:space="preserve">uitgevoerd. India heeft het VN-Verdrag tegen foltering en andere wrede, onmenselijke of onterende behandeling of bestraffing </w:t>
            </w:r>
            <w:r w:rsidRPr="00B21DF7">
              <w:rPr>
                <w:b/>
                <w:i/>
              </w:rPr>
              <w:t>ondertekend</w:t>
            </w:r>
            <w:r w:rsidRPr="00B21DF7">
              <w:t>. Er vindt geen gewapend conflict plaats in India en daarom is er geen sprake van een bedreiging door willekeurig geweld in het kader van een internationaal of binnenlands gewapend conflict. In het algemeen is er in het land geen sprake van vervolging in de zin van artikel 9 van Verordening (EU) 2024/1347.</w:t>
            </w:r>
          </w:p>
        </w:tc>
      </w:tr>
    </w:tbl>
    <w:p w14:paraId="1C47EA56" w14:textId="77777777" w:rsidR="006B28A1" w:rsidRPr="00B21DF7" w:rsidRDefault="00B02C1A" w:rsidP="006B28A1">
      <w:pPr>
        <w:pStyle w:val="Olang"/>
        <w:rPr>
          <w:sz w:val="24"/>
          <w:szCs w:val="24"/>
        </w:rPr>
      </w:pPr>
      <w:r w:rsidRPr="00B21DF7">
        <w:rPr>
          <w:sz w:val="24"/>
          <w:szCs w:val="24"/>
        </w:rPr>
        <w:lastRenderedPageBreak/>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0DF5A682" w14:textId="77777777" w:rsidR="006B28A1" w:rsidRPr="00B21DF7" w:rsidRDefault="00B02C1A" w:rsidP="006B28A1">
      <w:pPr>
        <w:rPr>
          <w:szCs w:val="24"/>
        </w:rPr>
      </w:pPr>
      <w:r w:rsidRPr="00B21DF7">
        <w:rPr>
          <w:rStyle w:val="HideTWBExt"/>
        </w:rPr>
        <w:t>&lt;/Amend&gt;</w:t>
      </w:r>
    </w:p>
    <w:p w14:paraId="240184B9" w14:textId="77777777" w:rsidR="006B28A1" w:rsidRPr="00B21DF7" w:rsidRDefault="00B02C1A" w:rsidP="006B28A1">
      <w:pPr>
        <w:pStyle w:val="AMNumberTabs0"/>
        <w:keepNext/>
      </w:pPr>
      <w:r w:rsidRPr="00B21DF7">
        <w:rPr>
          <w:rStyle w:val="HideTWBExt"/>
          <w:b w:val="0"/>
        </w:rPr>
        <w:t>&lt;Amend&gt;</w:t>
      </w:r>
      <w:r w:rsidRPr="00B21DF7">
        <w:t>Amendement</w:t>
      </w:r>
      <w:r w:rsidRPr="00B21DF7">
        <w:tab/>
      </w:r>
      <w:r w:rsidRPr="00B21DF7">
        <w:tab/>
      </w:r>
      <w:r w:rsidRPr="00B21DF7">
        <w:rPr>
          <w:rStyle w:val="HideTWBExt"/>
          <w:b w:val="0"/>
        </w:rPr>
        <w:t>&lt;NumAm&gt;</w:t>
      </w:r>
      <w:r w:rsidRPr="00B21DF7">
        <w:t>4</w:t>
      </w:r>
      <w:r w:rsidRPr="00B21DF7">
        <w:rPr>
          <w:rStyle w:val="HideTWBExt"/>
          <w:b w:val="0"/>
        </w:rPr>
        <w:t>&lt;/NumAm&gt;</w:t>
      </w:r>
    </w:p>
    <w:p w14:paraId="694D6939"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59CA9C80" w14:textId="77777777" w:rsidR="006B28A1" w:rsidRPr="00B21DF7" w:rsidRDefault="00B02C1A" w:rsidP="006B28A1">
      <w:pPr>
        <w:pStyle w:val="NormalBold"/>
      </w:pPr>
      <w:r w:rsidRPr="00B21DF7">
        <w:rPr>
          <w:rStyle w:val="HideTWBExt"/>
          <w:b w:val="0"/>
        </w:rPr>
        <w:t>&lt;Article&gt;</w:t>
      </w:r>
      <w:r w:rsidRPr="00B21DF7">
        <w:t>Overweging 16</w:t>
      </w:r>
      <w:r w:rsidRPr="00B21D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34718E22" w14:textId="77777777" w:rsidTr="006B28A1">
        <w:trPr>
          <w:jc w:val="center"/>
        </w:trPr>
        <w:tc>
          <w:tcPr>
            <w:tcW w:w="9752" w:type="dxa"/>
            <w:gridSpan w:val="2"/>
          </w:tcPr>
          <w:p w14:paraId="4CE2D0D0" w14:textId="77777777" w:rsidR="006B28A1" w:rsidRPr="00B21DF7" w:rsidRDefault="006B28A1">
            <w:pPr>
              <w:keepNext/>
            </w:pPr>
          </w:p>
        </w:tc>
      </w:tr>
      <w:tr w:rsidR="00D1149C" w:rsidRPr="00B21DF7" w14:paraId="51183AF1" w14:textId="77777777" w:rsidTr="006B28A1">
        <w:trPr>
          <w:jc w:val="center"/>
        </w:trPr>
        <w:tc>
          <w:tcPr>
            <w:tcW w:w="4876" w:type="dxa"/>
            <w:hideMark/>
          </w:tcPr>
          <w:p w14:paraId="03668EA3" w14:textId="77777777" w:rsidR="006B28A1" w:rsidRPr="00B21DF7" w:rsidRDefault="00B02C1A">
            <w:pPr>
              <w:pStyle w:val="ColumnHeading"/>
              <w:keepNext/>
            </w:pPr>
            <w:r w:rsidRPr="00B21DF7">
              <w:t>Door de Commissie voorgestelde tekst</w:t>
            </w:r>
          </w:p>
        </w:tc>
        <w:tc>
          <w:tcPr>
            <w:tcW w:w="4876" w:type="dxa"/>
            <w:hideMark/>
          </w:tcPr>
          <w:p w14:paraId="107AC65B" w14:textId="77777777" w:rsidR="006B28A1" w:rsidRPr="00B21DF7" w:rsidRDefault="00B02C1A">
            <w:pPr>
              <w:pStyle w:val="ColumnHeading"/>
              <w:keepNext/>
            </w:pPr>
            <w:r w:rsidRPr="00B21DF7">
              <w:t>Amendement</w:t>
            </w:r>
          </w:p>
        </w:tc>
      </w:tr>
      <w:tr w:rsidR="00D1149C" w:rsidRPr="00B21DF7" w14:paraId="23F48053" w14:textId="77777777" w:rsidTr="006B28A1">
        <w:trPr>
          <w:jc w:val="center"/>
        </w:trPr>
        <w:tc>
          <w:tcPr>
            <w:tcW w:w="4876" w:type="dxa"/>
            <w:hideMark/>
          </w:tcPr>
          <w:p w14:paraId="299A1DFF" w14:textId="77777777" w:rsidR="006B28A1" w:rsidRPr="00B21DF7" w:rsidRDefault="00B02C1A">
            <w:pPr>
              <w:pStyle w:val="Normal6"/>
            </w:pPr>
            <w:r w:rsidRPr="00B21DF7">
              <w:t>(16)</w:t>
            </w:r>
            <w:r w:rsidRPr="00B21DF7">
              <w:tab/>
            </w:r>
            <w:r w:rsidRPr="00B21DF7">
              <w:t xml:space="preserve">Aangezien er in het algemeen geen risico op vervolging of ernstige schade in de zin van Verordening (EU) 2024/1347 bestaat in Bangladesh, Colombia, Egypte, India, Marokko en Tunesië, noch in Kosovo (een potentiële kandidaat voor het lidmaatschap van de Unie), zoals ook blijkt uit de zeer lage erkenningspercentages, </w:t>
            </w:r>
            <w:r w:rsidRPr="00B21DF7">
              <w:rPr>
                <w:b/>
                <w:i/>
              </w:rPr>
              <w:t>moeten</w:t>
            </w:r>
            <w:r w:rsidRPr="00B21DF7">
              <w:t xml:space="preserve"> zij op het niveau van de Unie als veilige landen van herkomst worden aangewezen.</w:t>
            </w:r>
          </w:p>
        </w:tc>
        <w:tc>
          <w:tcPr>
            <w:tcW w:w="4876" w:type="dxa"/>
            <w:hideMark/>
          </w:tcPr>
          <w:p w14:paraId="187D8F70" w14:textId="77777777" w:rsidR="006B28A1" w:rsidRPr="00B21DF7" w:rsidRDefault="00B02C1A">
            <w:pPr>
              <w:pStyle w:val="Normal6"/>
              <w:rPr>
                <w:szCs w:val="24"/>
              </w:rPr>
            </w:pPr>
            <w:r w:rsidRPr="00B21DF7">
              <w:t>(16)</w:t>
            </w:r>
            <w:r w:rsidRPr="00B21DF7">
              <w:tab/>
              <w:t xml:space="preserve">Aangezien er in het algemeen geen risico op vervolging of ernstige schade in de zin van Verordening (EU) 2024/1347 bestaat in Bangladesh, Colombia, Egypte, India, Marokko en Tunesië, noch in Kosovo (een potentiële kandidaat voor het lidmaatschap van de Unie), zoals ook blijkt uit de zeer lage erkenningspercentages, </w:t>
            </w:r>
            <w:r w:rsidRPr="00B21DF7">
              <w:rPr>
                <w:b/>
                <w:i/>
              </w:rPr>
              <w:t>kan worden geconcludeerd dat</w:t>
            </w:r>
            <w:r w:rsidRPr="00B21DF7">
              <w:t xml:space="preserve"> zij </w:t>
            </w:r>
            <w:r w:rsidRPr="00B21DF7">
              <w:rPr>
                <w:b/>
                <w:i/>
              </w:rPr>
              <w:t xml:space="preserve">voldoen aan de criteria om </w:t>
            </w:r>
            <w:r w:rsidRPr="00B21DF7">
              <w:t xml:space="preserve">op het niveau van de Unie als veilige landen van herkomst </w:t>
            </w:r>
            <w:r w:rsidRPr="00B21DF7">
              <w:rPr>
                <w:b/>
                <w:i/>
              </w:rPr>
              <w:t xml:space="preserve">te </w:t>
            </w:r>
            <w:r w:rsidRPr="00B21DF7">
              <w:t xml:space="preserve">worden aangewezen. </w:t>
            </w:r>
            <w:r w:rsidRPr="00B21DF7">
              <w:rPr>
                <w:b/>
                <w:i/>
              </w:rPr>
              <w:t>Dit doet geen afbreuk aan de mogelijkheid voor de lids</w:t>
            </w:r>
            <w:r w:rsidRPr="00B21DF7">
              <w:rPr>
                <w:b/>
                <w:i/>
              </w:rPr>
              <w:t xml:space="preserve">taten om op nationaal niveau andere derde landen als veilige landen van herkomst aan te wijzen, noch aan de </w:t>
            </w:r>
            <w:r w:rsidRPr="00B21DF7">
              <w:rPr>
                <w:b/>
                <w:i/>
              </w:rPr>
              <w:lastRenderedPageBreak/>
              <w:t>eventuele toekomstige aanwijzing van andere derde landen als veilige landen van herkomst op het niveau van de Unie door middel van toekomstige wijzigingen van Verordening (EU) 2024/1348.</w:t>
            </w:r>
          </w:p>
        </w:tc>
      </w:tr>
    </w:tbl>
    <w:p w14:paraId="75EBB250" w14:textId="77777777" w:rsidR="006B28A1" w:rsidRPr="00B21DF7" w:rsidRDefault="00B02C1A" w:rsidP="006B28A1">
      <w:pPr>
        <w:pStyle w:val="Olang"/>
        <w:rPr>
          <w:sz w:val="24"/>
          <w:szCs w:val="24"/>
        </w:rPr>
      </w:pPr>
      <w:r w:rsidRPr="00B21DF7">
        <w:rPr>
          <w:sz w:val="24"/>
          <w:szCs w:val="24"/>
        </w:rPr>
        <w:lastRenderedPageBreak/>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6E248FCF" w14:textId="77777777" w:rsidR="006B28A1" w:rsidRPr="00B21DF7" w:rsidRDefault="00B02C1A" w:rsidP="006B28A1">
      <w:pPr>
        <w:pStyle w:val="JustificationTitle"/>
        <w:rPr>
          <w:noProof w:val="0"/>
        </w:rPr>
      </w:pPr>
      <w:r w:rsidRPr="00B21DF7">
        <w:rPr>
          <w:rStyle w:val="HideTWBExt"/>
          <w:i w:val="0"/>
        </w:rPr>
        <w:t>&lt;TitreJust&gt;</w:t>
      </w:r>
      <w:r w:rsidRPr="00B21DF7">
        <w:t>Motivering</w:t>
      </w:r>
      <w:r w:rsidRPr="00B21DF7">
        <w:rPr>
          <w:rStyle w:val="HideTWBExt"/>
          <w:i w:val="0"/>
        </w:rPr>
        <w:t>&lt;/TitreJust&gt;</w:t>
      </w:r>
    </w:p>
    <w:p w14:paraId="0BADF602" w14:textId="77777777" w:rsidR="006B28A1" w:rsidRPr="00B21DF7" w:rsidRDefault="00B02C1A" w:rsidP="006B28A1">
      <w:pPr>
        <w:pStyle w:val="Normal12Italic"/>
        <w:rPr>
          <w:noProof w:val="0"/>
        </w:rPr>
      </w:pPr>
      <w:r w:rsidRPr="00B21DF7">
        <w:t>Om ervoor te zorgen dat de Unie en haar lidstaten flexibel kunnen blijven reageren op veranderende omstandigheden, moet worden verduidelijkt dat de vaststelling van een gemeenschappelijke lijst van veilige landen van herkomst op het niveau van de Unie de lidstaten niet belet om andere derde landen als veilig aan te wijzen of deze aanwijzing te handhaven, en dat het niet is uitgesloten dat in de toekomst extra derde landen in de EU-lijst worden opgenomen.</w:t>
      </w:r>
    </w:p>
    <w:p w14:paraId="2BC35D4E" w14:textId="77777777" w:rsidR="006B28A1" w:rsidRPr="00B21DF7" w:rsidRDefault="00B02C1A" w:rsidP="006B28A1">
      <w:r w:rsidRPr="00B21DF7">
        <w:rPr>
          <w:rStyle w:val="HideTWBExt"/>
        </w:rPr>
        <w:t>&lt;/Amend&gt;</w:t>
      </w:r>
    </w:p>
    <w:p w14:paraId="00DF441E" w14:textId="77777777" w:rsidR="006B28A1" w:rsidRPr="00B21DF7" w:rsidRDefault="00B02C1A" w:rsidP="006B28A1">
      <w:pPr>
        <w:pStyle w:val="AMNumberTabs0"/>
        <w:keepNext/>
      </w:pPr>
      <w:r w:rsidRPr="00B21DF7">
        <w:rPr>
          <w:rStyle w:val="HideTWBExt"/>
          <w:b w:val="0"/>
        </w:rPr>
        <w:t>&lt;Amend&gt;</w:t>
      </w:r>
      <w:r w:rsidRPr="00B21DF7">
        <w:t>Amendement</w:t>
      </w:r>
      <w:r w:rsidRPr="00B21DF7">
        <w:tab/>
      </w:r>
      <w:r w:rsidRPr="00B21DF7">
        <w:tab/>
      </w:r>
      <w:r w:rsidRPr="00B21DF7">
        <w:rPr>
          <w:rStyle w:val="HideTWBExt"/>
          <w:b w:val="0"/>
        </w:rPr>
        <w:t>&lt;NumAm&gt;</w:t>
      </w:r>
      <w:r w:rsidRPr="00B21DF7">
        <w:t>5</w:t>
      </w:r>
      <w:r w:rsidRPr="00B21DF7">
        <w:rPr>
          <w:rStyle w:val="HideTWBExt"/>
          <w:b w:val="0"/>
        </w:rPr>
        <w:t>&lt;/NumAm&gt;</w:t>
      </w:r>
    </w:p>
    <w:p w14:paraId="1044F104"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3FDEF02F" w14:textId="77777777" w:rsidR="006B28A1" w:rsidRPr="00B21DF7" w:rsidRDefault="00B02C1A" w:rsidP="006B28A1">
      <w:pPr>
        <w:pStyle w:val="NormalBold"/>
      </w:pPr>
      <w:r w:rsidRPr="00B21DF7">
        <w:rPr>
          <w:rStyle w:val="HideTWBExt"/>
          <w:b w:val="0"/>
        </w:rPr>
        <w:t>&lt;Article&gt;</w:t>
      </w:r>
      <w:r w:rsidRPr="00B21DF7">
        <w:t>Overweging 18</w:t>
      </w:r>
      <w:r w:rsidRPr="00B21DF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32AE7474" w14:textId="77777777" w:rsidTr="006B28A1">
        <w:trPr>
          <w:jc w:val="center"/>
        </w:trPr>
        <w:tc>
          <w:tcPr>
            <w:tcW w:w="9752" w:type="dxa"/>
            <w:gridSpan w:val="2"/>
          </w:tcPr>
          <w:p w14:paraId="66B11639" w14:textId="77777777" w:rsidR="006B28A1" w:rsidRPr="00B21DF7" w:rsidRDefault="006B28A1">
            <w:pPr>
              <w:keepNext/>
            </w:pPr>
          </w:p>
        </w:tc>
      </w:tr>
      <w:tr w:rsidR="00D1149C" w:rsidRPr="00B21DF7" w14:paraId="6E3568CB" w14:textId="77777777" w:rsidTr="006B28A1">
        <w:trPr>
          <w:jc w:val="center"/>
        </w:trPr>
        <w:tc>
          <w:tcPr>
            <w:tcW w:w="4876" w:type="dxa"/>
            <w:hideMark/>
          </w:tcPr>
          <w:p w14:paraId="69B6679F" w14:textId="77777777" w:rsidR="006B28A1" w:rsidRPr="00B21DF7" w:rsidRDefault="00B02C1A">
            <w:pPr>
              <w:pStyle w:val="ColumnHeading"/>
              <w:keepNext/>
            </w:pPr>
            <w:r w:rsidRPr="00B21DF7">
              <w:t>Door de Commissie voorgestelde tekst</w:t>
            </w:r>
          </w:p>
        </w:tc>
        <w:tc>
          <w:tcPr>
            <w:tcW w:w="4876" w:type="dxa"/>
            <w:hideMark/>
          </w:tcPr>
          <w:p w14:paraId="15B224AB" w14:textId="77777777" w:rsidR="006B28A1" w:rsidRPr="00B21DF7" w:rsidRDefault="00B02C1A">
            <w:pPr>
              <w:pStyle w:val="ColumnHeading"/>
              <w:keepNext/>
            </w:pPr>
            <w:r w:rsidRPr="00B21DF7">
              <w:t>Amendement</w:t>
            </w:r>
          </w:p>
        </w:tc>
      </w:tr>
      <w:tr w:rsidR="00D1149C" w:rsidRPr="00B21DF7" w14:paraId="7A0D8C92" w14:textId="77777777" w:rsidTr="006B28A1">
        <w:trPr>
          <w:jc w:val="center"/>
        </w:trPr>
        <w:tc>
          <w:tcPr>
            <w:tcW w:w="4876" w:type="dxa"/>
            <w:hideMark/>
          </w:tcPr>
          <w:p w14:paraId="12022830" w14:textId="77777777" w:rsidR="006B28A1" w:rsidRPr="00B21DF7" w:rsidRDefault="00B02C1A">
            <w:pPr>
              <w:pStyle w:val="Normal6"/>
            </w:pPr>
            <w:r w:rsidRPr="00B21DF7">
              <w:t>(18)</w:t>
            </w:r>
            <w:r w:rsidRPr="00B21DF7">
              <w:tab/>
              <w:t xml:space="preserve">Aangezien de migratiesituatie snel kan veranderen en de druk toeneemt als gevolg van de aankomst van gemengde </w:t>
            </w:r>
            <w:r w:rsidRPr="00B21DF7">
              <w:t>migrantenstromen met een hoog percentage verzoekers die weinig kans hebben op het verkrijgen van internationale bescherming, moeten de lidstaten de in artikel </w:t>
            </w:r>
            <w:r w:rsidRPr="00B21DF7">
              <w:rPr>
                <w:b/>
                <w:i/>
              </w:rPr>
              <w:t>41</w:t>
            </w:r>
            <w:r w:rsidRPr="00B21DF7">
              <w:t>, lid 1, punt j), van Verordening (EU) 2024/1348 bedoelde grond voor een versnelde behandeling van verzoeken kunnen toepassen vanaf een eerdere datum dan de algemene toepassingsdatum van die verordening. Hierdoor zouden de lidstaten sneller en flexibel kunnen reageren op veranderingen in de migratiestromen. Aangezien verzoeken van dergelijke verzoek</w:t>
            </w:r>
            <w:r w:rsidRPr="00B21DF7">
              <w:t xml:space="preserve">ers waarschijnlijk ongegrond zijn, zou de snelle behandeling ervan in een versnelde procedure of grensprocedure de asiel- en migratieautoriteiten in staat stellen echte verzoeken efficiënter te beoordelen, sneller beslissingen te nemen en zo bij te dragen tot een betere en geloofwaardigere werking van het asiel- en terugkeerbeleid, </w:t>
            </w:r>
            <w:r w:rsidRPr="00B21DF7">
              <w:lastRenderedPageBreak/>
              <w:t>met volledige inachtneming van de grondrechten.</w:t>
            </w:r>
          </w:p>
        </w:tc>
        <w:tc>
          <w:tcPr>
            <w:tcW w:w="4876" w:type="dxa"/>
            <w:hideMark/>
          </w:tcPr>
          <w:p w14:paraId="77CC7766" w14:textId="77777777" w:rsidR="006B28A1" w:rsidRPr="00B21DF7" w:rsidRDefault="00B02C1A">
            <w:pPr>
              <w:pStyle w:val="Normal6"/>
              <w:rPr>
                <w:szCs w:val="24"/>
              </w:rPr>
            </w:pPr>
            <w:r w:rsidRPr="00B21DF7">
              <w:lastRenderedPageBreak/>
              <w:t>(18)</w:t>
            </w:r>
            <w:r w:rsidRPr="00B21DF7">
              <w:tab/>
              <w:t>Aangezien de migratiesituatie snel kan veranderen en de druk toeneemt als gevolg van de aankomst van gemengde migrantenstromen met een hoog percentage verzoekers die weinig kans hebben op het verkrijgen van internationale bescherming, moeten de lidstaten de in artikel </w:t>
            </w:r>
            <w:r w:rsidRPr="00B21DF7">
              <w:rPr>
                <w:b/>
                <w:i/>
              </w:rPr>
              <w:t>42</w:t>
            </w:r>
            <w:r w:rsidRPr="00B21DF7">
              <w:t>, lid 1, punt j), van Verordening (EU) 2024/1348 bedoelde grond voor een versnelde behandeling van verzoeken kunnen toepassen vanaf een eerdere datum dan de algemene toepassingsdatum van die verordening. Hierdoor zouden de lidstaten sneller</w:t>
            </w:r>
            <w:r w:rsidRPr="00B21DF7">
              <w:t xml:space="preserve"> en flexibel kunnen reageren op veranderingen in de migratiestromen. Aangezien verzoeken van dergelijke verzoekers waarschijnlijk ongegrond zijn, zou de snelle behandeling ervan in een versnelde procedure of grensprocedure de asiel- en migratieautoriteiten in staat stellen echte verzoeken efficiënter te beoordelen, sneller beslissingen te nemen en zo bij te dragen tot een betere en geloofwaardigere werking van het asiel- en terugkeerbeleid, </w:t>
            </w:r>
            <w:r w:rsidRPr="00B21DF7">
              <w:lastRenderedPageBreak/>
              <w:t>met volledige inachtneming van de grondrechten.</w:t>
            </w:r>
          </w:p>
        </w:tc>
      </w:tr>
    </w:tbl>
    <w:p w14:paraId="74D6BB71" w14:textId="77777777" w:rsidR="006B28A1" w:rsidRPr="00B21DF7" w:rsidRDefault="00B02C1A" w:rsidP="006B28A1">
      <w:pPr>
        <w:pStyle w:val="Olang"/>
        <w:rPr>
          <w:sz w:val="24"/>
          <w:szCs w:val="24"/>
        </w:rPr>
      </w:pPr>
      <w:r w:rsidRPr="00B21DF7">
        <w:rPr>
          <w:sz w:val="24"/>
          <w:szCs w:val="24"/>
        </w:rPr>
        <w:lastRenderedPageBreak/>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6CE1C85F" w14:textId="77777777" w:rsidR="006B28A1" w:rsidRPr="00B21DF7" w:rsidRDefault="00B02C1A" w:rsidP="006B28A1">
      <w:pPr>
        <w:rPr>
          <w:szCs w:val="24"/>
        </w:rPr>
      </w:pPr>
      <w:r w:rsidRPr="00B21DF7">
        <w:rPr>
          <w:rStyle w:val="HideTWBExt"/>
        </w:rPr>
        <w:t>&lt;/Amend&gt;</w:t>
      </w:r>
    </w:p>
    <w:p w14:paraId="2CD0DB20" w14:textId="77777777" w:rsidR="006B28A1" w:rsidRPr="00B21DF7" w:rsidRDefault="00B02C1A" w:rsidP="006B28A1">
      <w:pPr>
        <w:pStyle w:val="AMNumberTabs0"/>
        <w:keepNext/>
      </w:pPr>
      <w:r w:rsidRPr="00B21DF7">
        <w:rPr>
          <w:rStyle w:val="HideTWBExt"/>
          <w:b w:val="0"/>
        </w:rPr>
        <w:t>&lt;Amend&gt;</w:t>
      </w:r>
      <w:r w:rsidRPr="00B21DF7">
        <w:t>Amendement</w:t>
      </w:r>
      <w:r w:rsidRPr="00B21DF7">
        <w:tab/>
      </w:r>
      <w:r w:rsidRPr="00B21DF7">
        <w:tab/>
      </w:r>
      <w:r w:rsidRPr="00B21DF7">
        <w:rPr>
          <w:rStyle w:val="HideTWBExt"/>
          <w:b w:val="0"/>
        </w:rPr>
        <w:t>&lt;NumAm&gt;</w:t>
      </w:r>
      <w:r w:rsidRPr="00B21DF7">
        <w:t>6</w:t>
      </w:r>
      <w:r w:rsidRPr="00B21DF7">
        <w:rPr>
          <w:rStyle w:val="HideTWBExt"/>
          <w:b w:val="0"/>
        </w:rPr>
        <w:t>&lt;/NumAm&gt;</w:t>
      </w:r>
    </w:p>
    <w:p w14:paraId="637322C7"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530A296C" w14:textId="77777777" w:rsidR="006B28A1" w:rsidRPr="00B21DF7" w:rsidRDefault="00B02C1A" w:rsidP="006B28A1">
      <w:pPr>
        <w:pStyle w:val="NormalBold"/>
      </w:pPr>
      <w:r w:rsidRPr="00B21DF7">
        <w:rPr>
          <w:rStyle w:val="HideTWBExt"/>
          <w:b w:val="0"/>
        </w:rPr>
        <w:t>&lt;Article&gt;</w:t>
      </w:r>
      <w:r w:rsidRPr="00B21DF7">
        <w:t>Artikel 1 – alinea 1 – punt 1 – a</w:t>
      </w:r>
      <w:r w:rsidRPr="00B21DF7">
        <w:rPr>
          <w:rStyle w:val="HideTWBExt"/>
          <w:b w:val="0"/>
        </w:rPr>
        <w:t>&lt;/Article&gt;</w:t>
      </w:r>
    </w:p>
    <w:p w14:paraId="47E3FB1C" w14:textId="77777777" w:rsidR="006B28A1" w:rsidRPr="00B21DF7" w:rsidRDefault="00B02C1A" w:rsidP="006B28A1">
      <w:pPr>
        <w:keepNext/>
      </w:pPr>
      <w:r w:rsidRPr="00B21DF7">
        <w:rPr>
          <w:rStyle w:val="HideTWBExt"/>
        </w:rPr>
        <w:t>&lt;DocAmend2&gt;</w:t>
      </w:r>
      <w:r w:rsidRPr="00B21DF7">
        <w:t>Verordening (EU) 2024/1348</w:t>
      </w:r>
      <w:r w:rsidRPr="00B21DF7">
        <w:rPr>
          <w:rStyle w:val="HideTWBExt"/>
        </w:rPr>
        <w:t>&lt;/DocAmend2&gt;</w:t>
      </w:r>
    </w:p>
    <w:p w14:paraId="10254A13" w14:textId="77777777" w:rsidR="006B28A1" w:rsidRPr="00B21DF7" w:rsidRDefault="00B02C1A" w:rsidP="006B28A1">
      <w:r w:rsidRPr="00B21DF7">
        <w:rPr>
          <w:rStyle w:val="HideTWBExt"/>
        </w:rPr>
        <w:t>&lt;Article2&gt;</w:t>
      </w:r>
      <w:r w:rsidRPr="00B21DF7">
        <w:t>Artikel 62 – lid 1 – inleidende formule</w:t>
      </w:r>
      <w:r w:rsidRPr="00B21D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2B273D41" w14:textId="77777777" w:rsidTr="006B28A1">
        <w:trPr>
          <w:jc w:val="center"/>
        </w:trPr>
        <w:tc>
          <w:tcPr>
            <w:tcW w:w="9752" w:type="dxa"/>
            <w:gridSpan w:val="2"/>
          </w:tcPr>
          <w:p w14:paraId="019779C5" w14:textId="77777777" w:rsidR="006B28A1" w:rsidRPr="00B21DF7" w:rsidRDefault="006B28A1">
            <w:pPr>
              <w:keepNext/>
            </w:pPr>
          </w:p>
        </w:tc>
      </w:tr>
      <w:tr w:rsidR="00D1149C" w:rsidRPr="00B21DF7" w14:paraId="60378F20" w14:textId="77777777" w:rsidTr="006B28A1">
        <w:trPr>
          <w:jc w:val="center"/>
        </w:trPr>
        <w:tc>
          <w:tcPr>
            <w:tcW w:w="4876" w:type="dxa"/>
            <w:hideMark/>
          </w:tcPr>
          <w:p w14:paraId="1B65B36B" w14:textId="77777777" w:rsidR="006B28A1" w:rsidRPr="00B21DF7" w:rsidRDefault="00B02C1A">
            <w:pPr>
              <w:pStyle w:val="ColumnHeading"/>
              <w:keepNext/>
            </w:pPr>
            <w:r w:rsidRPr="00B21DF7">
              <w:t>Door de Commissie voorgestelde tekst</w:t>
            </w:r>
          </w:p>
        </w:tc>
        <w:tc>
          <w:tcPr>
            <w:tcW w:w="4876" w:type="dxa"/>
            <w:hideMark/>
          </w:tcPr>
          <w:p w14:paraId="27A0D5D2" w14:textId="77777777" w:rsidR="006B28A1" w:rsidRPr="00B21DF7" w:rsidRDefault="00B02C1A">
            <w:pPr>
              <w:pStyle w:val="ColumnHeading"/>
              <w:keepNext/>
            </w:pPr>
            <w:r w:rsidRPr="00B21DF7">
              <w:t>Amendement</w:t>
            </w:r>
          </w:p>
        </w:tc>
      </w:tr>
      <w:tr w:rsidR="00D1149C" w:rsidRPr="00B21DF7" w14:paraId="7AAA89E0" w14:textId="77777777" w:rsidTr="006B28A1">
        <w:trPr>
          <w:jc w:val="center"/>
        </w:trPr>
        <w:tc>
          <w:tcPr>
            <w:tcW w:w="4876" w:type="dxa"/>
            <w:hideMark/>
          </w:tcPr>
          <w:p w14:paraId="4E7A98CD" w14:textId="77777777" w:rsidR="006B28A1" w:rsidRPr="00B21DF7" w:rsidRDefault="00B02C1A">
            <w:pPr>
              <w:pStyle w:val="Normal6"/>
            </w:pPr>
            <w:r w:rsidRPr="00B21DF7">
              <w:t>1.</w:t>
            </w:r>
            <w:r w:rsidRPr="00B21DF7">
              <w:tab/>
              <w:t xml:space="preserve">De landen waaraan de status van </w:t>
            </w:r>
            <w:r w:rsidRPr="00B21DF7">
              <w:t>kandidaat-lidstaat voor lidmaatschap van de Unie is toegekend, worden op het niveau van de Unie als veilige landen van herkomst aangewezen, tenzij er sprake is van een van de volgende omstandigheden:</w:t>
            </w:r>
          </w:p>
        </w:tc>
        <w:tc>
          <w:tcPr>
            <w:tcW w:w="4876" w:type="dxa"/>
            <w:hideMark/>
          </w:tcPr>
          <w:p w14:paraId="5044CE48" w14:textId="77777777" w:rsidR="006B28A1" w:rsidRPr="00B21DF7" w:rsidRDefault="00B02C1A">
            <w:pPr>
              <w:pStyle w:val="Normal6"/>
              <w:rPr>
                <w:szCs w:val="24"/>
              </w:rPr>
            </w:pPr>
            <w:r w:rsidRPr="00B21DF7">
              <w:t>1.</w:t>
            </w:r>
            <w:r w:rsidRPr="00B21DF7">
              <w:tab/>
              <w:t xml:space="preserve">De landen waaraan de status van kandidaat-lidstaat voor lidmaatschap van de Unie is toegekend, worden op het niveau van de Unie als veilige landen van herkomst aangewezen, tenzij er </w:t>
            </w:r>
            <w:r w:rsidRPr="00B21DF7">
              <w:rPr>
                <w:b/>
                <w:i/>
              </w:rPr>
              <w:t xml:space="preserve">met betrekking tot deze landen </w:t>
            </w:r>
            <w:r w:rsidRPr="00B21DF7">
              <w:t>sprake is van een van de volgende omstandigheden:</w:t>
            </w:r>
          </w:p>
        </w:tc>
      </w:tr>
    </w:tbl>
    <w:p w14:paraId="7B7861E3" w14:textId="77777777" w:rsidR="006B28A1" w:rsidRPr="00B21DF7" w:rsidRDefault="00B02C1A" w:rsidP="006B28A1">
      <w:pPr>
        <w:pStyle w:val="Olang"/>
        <w:rPr>
          <w:sz w:val="24"/>
          <w:szCs w:val="24"/>
        </w:rPr>
      </w:pPr>
      <w:r w:rsidRPr="00B21DF7">
        <w:rPr>
          <w:sz w:val="24"/>
          <w:szCs w:val="24"/>
        </w:rPr>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54504A0F" w14:textId="77777777" w:rsidR="006B28A1" w:rsidRPr="00B21DF7" w:rsidRDefault="00B02C1A" w:rsidP="006B28A1">
      <w:pPr>
        <w:rPr>
          <w:szCs w:val="24"/>
        </w:rPr>
      </w:pPr>
      <w:r w:rsidRPr="00B21DF7">
        <w:rPr>
          <w:rStyle w:val="HideTWBExt"/>
        </w:rPr>
        <w:t>&lt;/Amend&gt;</w:t>
      </w:r>
    </w:p>
    <w:p w14:paraId="27360063" w14:textId="77777777" w:rsidR="006B28A1" w:rsidRPr="00B21DF7" w:rsidRDefault="00B02C1A" w:rsidP="006B28A1">
      <w:pPr>
        <w:pStyle w:val="AMNumberTabs0"/>
        <w:keepNext/>
      </w:pPr>
      <w:r w:rsidRPr="00B21DF7">
        <w:rPr>
          <w:rStyle w:val="HideTWBExt"/>
          <w:b w:val="0"/>
        </w:rPr>
        <w:t>&lt;Amend&gt;</w:t>
      </w:r>
      <w:r w:rsidRPr="00B21DF7">
        <w:t>Amendement</w:t>
      </w:r>
      <w:r w:rsidRPr="00B21DF7">
        <w:tab/>
      </w:r>
      <w:r w:rsidRPr="00B21DF7">
        <w:tab/>
      </w:r>
      <w:r w:rsidRPr="00B21DF7">
        <w:rPr>
          <w:rStyle w:val="HideTWBExt"/>
          <w:b w:val="0"/>
        </w:rPr>
        <w:t>&lt;NumAm&gt;</w:t>
      </w:r>
      <w:r w:rsidRPr="00B21DF7">
        <w:t>7</w:t>
      </w:r>
      <w:r w:rsidRPr="00B21DF7">
        <w:rPr>
          <w:rStyle w:val="HideTWBExt"/>
          <w:b w:val="0"/>
        </w:rPr>
        <w:t>&lt;/NumAm&gt;</w:t>
      </w:r>
    </w:p>
    <w:p w14:paraId="5DB98EC2"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32A69C8B" w14:textId="77777777" w:rsidR="006B28A1" w:rsidRPr="00B21DF7" w:rsidRDefault="00B02C1A" w:rsidP="006B28A1">
      <w:pPr>
        <w:pStyle w:val="NormalBold"/>
      </w:pPr>
      <w:r w:rsidRPr="00B21DF7">
        <w:rPr>
          <w:rStyle w:val="HideTWBExt"/>
          <w:b w:val="0"/>
        </w:rPr>
        <w:t>&lt;Article&gt;</w:t>
      </w:r>
      <w:r w:rsidRPr="00B21DF7">
        <w:t>Artikel 1 – alinea 1 – punt 1 – a</w:t>
      </w:r>
      <w:r w:rsidRPr="00B21DF7">
        <w:rPr>
          <w:rStyle w:val="HideTWBExt"/>
          <w:b w:val="0"/>
        </w:rPr>
        <w:t>&lt;/Article&gt;</w:t>
      </w:r>
    </w:p>
    <w:p w14:paraId="3CD041D6" w14:textId="77777777" w:rsidR="006B28A1" w:rsidRPr="00B21DF7" w:rsidRDefault="00B02C1A" w:rsidP="006B28A1">
      <w:pPr>
        <w:keepNext/>
      </w:pPr>
      <w:r w:rsidRPr="00B21DF7">
        <w:rPr>
          <w:rStyle w:val="HideTWBExt"/>
        </w:rPr>
        <w:t>&lt;DocAmend2&gt;</w:t>
      </w:r>
      <w:r w:rsidRPr="00B21DF7">
        <w:t>Verordening (EU) 2024/1348</w:t>
      </w:r>
      <w:r w:rsidRPr="00B21DF7">
        <w:rPr>
          <w:rStyle w:val="HideTWBExt"/>
        </w:rPr>
        <w:t>&lt;/DocAmend2&gt;</w:t>
      </w:r>
    </w:p>
    <w:p w14:paraId="1C7A7135" w14:textId="77777777" w:rsidR="006B28A1" w:rsidRPr="00B21DF7" w:rsidRDefault="00B02C1A" w:rsidP="006B28A1">
      <w:r w:rsidRPr="00B21DF7">
        <w:rPr>
          <w:rStyle w:val="HideTWBExt"/>
        </w:rPr>
        <w:t>&lt;Article2&gt;</w:t>
      </w:r>
      <w:r w:rsidRPr="00B21DF7">
        <w:t>Artikel 62 – lid 1 – punt a</w:t>
      </w:r>
      <w:r w:rsidRPr="00B21D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1339BCFA" w14:textId="77777777" w:rsidTr="006B28A1">
        <w:trPr>
          <w:jc w:val="center"/>
        </w:trPr>
        <w:tc>
          <w:tcPr>
            <w:tcW w:w="9752" w:type="dxa"/>
            <w:gridSpan w:val="2"/>
          </w:tcPr>
          <w:p w14:paraId="2055B627" w14:textId="77777777" w:rsidR="006B28A1" w:rsidRPr="00B21DF7" w:rsidRDefault="006B28A1">
            <w:pPr>
              <w:keepNext/>
            </w:pPr>
          </w:p>
        </w:tc>
      </w:tr>
      <w:tr w:rsidR="00D1149C" w:rsidRPr="00B21DF7" w14:paraId="24BE4823" w14:textId="77777777" w:rsidTr="006B28A1">
        <w:trPr>
          <w:jc w:val="center"/>
        </w:trPr>
        <w:tc>
          <w:tcPr>
            <w:tcW w:w="4876" w:type="dxa"/>
            <w:hideMark/>
          </w:tcPr>
          <w:p w14:paraId="29138F40" w14:textId="77777777" w:rsidR="006B28A1" w:rsidRPr="00B21DF7" w:rsidRDefault="00B02C1A">
            <w:pPr>
              <w:pStyle w:val="ColumnHeading"/>
              <w:keepNext/>
            </w:pPr>
            <w:r w:rsidRPr="00B21DF7">
              <w:t>Door de Commissie voorgestelde tekst</w:t>
            </w:r>
          </w:p>
        </w:tc>
        <w:tc>
          <w:tcPr>
            <w:tcW w:w="4876" w:type="dxa"/>
            <w:hideMark/>
          </w:tcPr>
          <w:p w14:paraId="6E6B4837" w14:textId="77777777" w:rsidR="006B28A1" w:rsidRPr="00B21DF7" w:rsidRDefault="00B02C1A">
            <w:pPr>
              <w:pStyle w:val="ColumnHeading"/>
              <w:keepNext/>
            </w:pPr>
            <w:r w:rsidRPr="00B21DF7">
              <w:t>Amendement</w:t>
            </w:r>
          </w:p>
        </w:tc>
      </w:tr>
      <w:tr w:rsidR="00D1149C" w:rsidRPr="00B21DF7" w14:paraId="6C7A24FD" w14:textId="77777777" w:rsidTr="006B28A1">
        <w:trPr>
          <w:jc w:val="center"/>
        </w:trPr>
        <w:tc>
          <w:tcPr>
            <w:tcW w:w="4876" w:type="dxa"/>
            <w:hideMark/>
          </w:tcPr>
          <w:p w14:paraId="32E23EC2" w14:textId="77777777" w:rsidR="006B28A1" w:rsidRPr="00B21DF7" w:rsidRDefault="00B02C1A">
            <w:pPr>
              <w:pStyle w:val="Normal6"/>
            </w:pPr>
            <w:r w:rsidRPr="00B21DF7">
              <w:t>a)</w:t>
            </w:r>
            <w:r w:rsidRPr="00B21DF7">
              <w:tab/>
              <w:t>er is een ernstige en individuele bedreiging van het leven of de persoon van een burger als gevolg van willekeurig geweld in het kader van een internationaal of binnenlands gewapend conflict in het land;</w:t>
            </w:r>
          </w:p>
        </w:tc>
        <w:tc>
          <w:tcPr>
            <w:tcW w:w="4876" w:type="dxa"/>
            <w:hideMark/>
          </w:tcPr>
          <w:p w14:paraId="2C8E5C5D" w14:textId="77777777" w:rsidR="006B28A1" w:rsidRPr="00B21DF7" w:rsidRDefault="00B02C1A">
            <w:pPr>
              <w:pStyle w:val="Normal6"/>
              <w:rPr>
                <w:szCs w:val="24"/>
              </w:rPr>
            </w:pPr>
            <w:r w:rsidRPr="00B21DF7">
              <w:t>a)</w:t>
            </w:r>
            <w:r w:rsidRPr="00B21DF7">
              <w:tab/>
              <w:t>er is een ernstige en individuele bedreiging van het leven of de persoon van een burger als gevolg van willekeurig geweld in het kader van een internationaal of binnenlands gewapend conflict in het land</w:t>
            </w:r>
            <w:r w:rsidRPr="00B21DF7">
              <w:rPr>
                <w:b/>
                <w:i/>
              </w:rPr>
              <w:t>, tenzij de bedreiging beperkt is tot een specifiek geografisch gebied en de burger toegang heeft tot effectieve bescherming in een ander deel van het land</w:t>
            </w:r>
            <w:r w:rsidRPr="00B21DF7">
              <w:t>;</w:t>
            </w:r>
          </w:p>
        </w:tc>
      </w:tr>
    </w:tbl>
    <w:p w14:paraId="24E9E982" w14:textId="77777777" w:rsidR="006B28A1" w:rsidRPr="00B21DF7" w:rsidRDefault="00B02C1A" w:rsidP="006B28A1">
      <w:pPr>
        <w:pStyle w:val="Olang"/>
        <w:rPr>
          <w:sz w:val="24"/>
          <w:szCs w:val="24"/>
        </w:rPr>
      </w:pPr>
      <w:r w:rsidRPr="00B21DF7">
        <w:rPr>
          <w:sz w:val="24"/>
          <w:szCs w:val="24"/>
        </w:rPr>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3CAFF3C6" w14:textId="77777777" w:rsidR="006B28A1" w:rsidRPr="00B21DF7" w:rsidRDefault="00B02C1A" w:rsidP="006B28A1">
      <w:pPr>
        <w:rPr>
          <w:szCs w:val="24"/>
        </w:rPr>
      </w:pPr>
      <w:r w:rsidRPr="00B21DF7">
        <w:rPr>
          <w:rStyle w:val="HideTWBExt"/>
        </w:rPr>
        <w:t>&lt;/Amend&gt;</w:t>
      </w:r>
    </w:p>
    <w:p w14:paraId="4527BAB6" w14:textId="77777777" w:rsidR="006B28A1" w:rsidRPr="00B21DF7" w:rsidRDefault="00B02C1A" w:rsidP="006B28A1">
      <w:pPr>
        <w:pStyle w:val="AMNumberTabs0"/>
        <w:keepNext/>
      </w:pPr>
      <w:r w:rsidRPr="00B21DF7">
        <w:rPr>
          <w:rStyle w:val="HideTWBExt"/>
          <w:b w:val="0"/>
        </w:rPr>
        <w:lastRenderedPageBreak/>
        <w:t>&lt;Amend&gt;</w:t>
      </w:r>
      <w:r w:rsidRPr="00B21DF7">
        <w:t>Amendement</w:t>
      </w:r>
      <w:r w:rsidRPr="00B21DF7">
        <w:tab/>
      </w:r>
      <w:r w:rsidRPr="00B21DF7">
        <w:tab/>
      </w:r>
      <w:r w:rsidRPr="00B21DF7">
        <w:rPr>
          <w:rStyle w:val="HideTWBExt"/>
          <w:b w:val="0"/>
        </w:rPr>
        <w:t>&lt;NumAm&gt;</w:t>
      </w:r>
      <w:r w:rsidRPr="00B21DF7">
        <w:t>8</w:t>
      </w:r>
      <w:r w:rsidRPr="00B21DF7">
        <w:rPr>
          <w:rStyle w:val="HideTWBExt"/>
          <w:b w:val="0"/>
        </w:rPr>
        <w:t>&lt;/NumAm&gt;</w:t>
      </w:r>
    </w:p>
    <w:p w14:paraId="2032B268"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53F314E6" w14:textId="77777777" w:rsidR="006B28A1" w:rsidRPr="00B21DF7" w:rsidRDefault="00B02C1A" w:rsidP="006B28A1">
      <w:pPr>
        <w:pStyle w:val="NormalBold"/>
      </w:pPr>
      <w:r w:rsidRPr="00B21DF7">
        <w:rPr>
          <w:rStyle w:val="HideTWBExt"/>
          <w:b w:val="0"/>
        </w:rPr>
        <w:t>&lt;Article&gt;</w:t>
      </w:r>
      <w:r w:rsidRPr="00B21DF7">
        <w:t>Artikel 1 – alinea 1 – punt 1 – a</w:t>
      </w:r>
      <w:r w:rsidRPr="00B21DF7">
        <w:rPr>
          <w:rStyle w:val="HideTWBExt"/>
          <w:b w:val="0"/>
        </w:rPr>
        <w:t>&lt;/Article&gt;</w:t>
      </w:r>
    </w:p>
    <w:p w14:paraId="2F75A295" w14:textId="77777777" w:rsidR="006B28A1" w:rsidRPr="00B21DF7" w:rsidRDefault="00B02C1A" w:rsidP="006B28A1">
      <w:pPr>
        <w:keepNext/>
      </w:pPr>
      <w:r w:rsidRPr="00B21DF7">
        <w:rPr>
          <w:rStyle w:val="HideTWBExt"/>
        </w:rPr>
        <w:t>&lt;DocAmend2&gt;</w:t>
      </w:r>
      <w:r w:rsidRPr="00B21DF7">
        <w:t>Verordening (EU) 2024/1348</w:t>
      </w:r>
      <w:r w:rsidRPr="00B21DF7">
        <w:rPr>
          <w:rStyle w:val="HideTWBExt"/>
        </w:rPr>
        <w:t>&lt;/DocAmend2&gt;</w:t>
      </w:r>
    </w:p>
    <w:p w14:paraId="4EEAFE9A" w14:textId="77777777" w:rsidR="006B28A1" w:rsidRPr="00B21DF7" w:rsidRDefault="00B02C1A" w:rsidP="006B28A1">
      <w:r w:rsidRPr="00B21DF7">
        <w:rPr>
          <w:rStyle w:val="HideTWBExt"/>
        </w:rPr>
        <w:t>&lt;Article2&gt;</w:t>
      </w:r>
      <w:r w:rsidRPr="00B21DF7">
        <w:t>Artikel 62 – lid 1 – punt b</w:t>
      </w:r>
      <w:r w:rsidRPr="00B21D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42E63243" w14:textId="77777777" w:rsidTr="006B28A1">
        <w:trPr>
          <w:jc w:val="center"/>
        </w:trPr>
        <w:tc>
          <w:tcPr>
            <w:tcW w:w="9752" w:type="dxa"/>
            <w:gridSpan w:val="2"/>
          </w:tcPr>
          <w:p w14:paraId="283636EF" w14:textId="77777777" w:rsidR="006B28A1" w:rsidRPr="00B21DF7" w:rsidRDefault="006B28A1">
            <w:pPr>
              <w:keepNext/>
            </w:pPr>
          </w:p>
        </w:tc>
      </w:tr>
      <w:tr w:rsidR="00D1149C" w:rsidRPr="00B21DF7" w14:paraId="0F6DCA4C" w14:textId="77777777" w:rsidTr="006B28A1">
        <w:trPr>
          <w:jc w:val="center"/>
        </w:trPr>
        <w:tc>
          <w:tcPr>
            <w:tcW w:w="4876" w:type="dxa"/>
            <w:hideMark/>
          </w:tcPr>
          <w:p w14:paraId="1422FA1A" w14:textId="77777777" w:rsidR="006B28A1" w:rsidRPr="00B21DF7" w:rsidRDefault="00B02C1A">
            <w:pPr>
              <w:pStyle w:val="ColumnHeading"/>
              <w:keepNext/>
            </w:pPr>
            <w:r w:rsidRPr="00B21DF7">
              <w:t>Door de Commissie voorgestelde tekst</w:t>
            </w:r>
          </w:p>
        </w:tc>
        <w:tc>
          <w:tcPr>
            <w:tcW w:w="4876" w:type="dxa"/>
            <w:hideMark/>
          </w:tcPr>
          <w:p w14:paraId="1CE16F0B" w14:textId="77777777" w:rsidR="006B28A1" w:rsidRPr="00B21DF7" w:rsidRDefault="00B02C1A">
            <w:pPr>
              <w:pStyle w:val="ColumnHeading"/>
              <w:keepNext/>
            </w:pPr>
            <w:r w:rsidRPr="00B21DF7">
              <w:t>Amendement</w:t>
            </w:r>
          </w:p>
        </w:tc>
      </w:tr>
      <w:tr w:rsidR="00D1149C" w:rsidRPr="00B21DF7" w14:paraId="466FD2AB" w14:textId="77777777" w:rsidTr="006B28A1">
        <w:trPr>
          <w:jc w:val="center"/>
        </w:trPr>
        <w:tc>
          <w:tcPr>
            <w:tcW w:w="4876" w:type="dxa"/>
            <w:hideMark/>
          </w:tcPr>
          <w:p w14:paraId="01F67C29" w14:textId="77777777" w:rsidR="006B28A1" w:rsidRPr="00B21DF7" w:rsidRDefault="00B02C1A">
            <w:pPr>
              <w:pStyle w:val="Normal6"/>
            </w:pPr>
            <w:r w:rsidRPr="00B21DF7">
              <w:t>b)</w:t>
            </w:r>
            <w:r w:rsidRPr="00B21DF7">
              <w:tab/>
            </w:r>
            <w:r w:rsidRPr="00B21DF7">
              <w:t xml:space="preserve">er zijn beperkende maatregelen in de zin van het vijfde deel, titel IV, van het Verdrag betreffende de werking van de Europese Unie vastgesteld naar aanleiding van </w:t>
            </w:r>
            <w:r w:rsidRPr="00B21DF7">
              <w:rPr>
                <w:b/>
                <w:i/>
              </w:rPr>
              <w:t xml:space="preserve">het </w:t>
            </w:r>
            <w:r w:rsidRPr="00B21DF7">
              <w:t>optreden van het land;</w:t>
            </w:r>
          </w:p>
        </w:tc>
        <w:tc>
          <w:tcPr>
            <w:tcW w:w="4876" w:type="dxa"/>
            <w:hideMark/>
          </w:tcPr>
          <w:p w14:paraId="6805ED5C" w14:textId="77777777" w:rsidR="006B28A1" w:rsidRPr="00B21DF7" w:rsidRDefault="00B02C1A">
            <w:pPr>
              <w:pStyle w:val="Normal6"/>
              <w:rPr>
                <w:szCs w:val="24"/>
              </w:rPr>
            </w:pPr>
            <w:r w:rsidRPr="00B21DF7">
              <w:t>b)</w:t>
            </w:r>
            <w:r w:rsidRPr="00B21DF7">
              <w:tab/>
              <w:t>er zijn beperkende maatregelen in de zin van het vijfde deel, titel IV, van het Verdrag betreffende de werking van de Europese Unie vastgesteld naar aanleiding van optreden van het land</w:t>
            </w:r>
            <w:r w:rsidRPr="00B21DF7">
              <w:rPr>
                <w:b/>
                <w:i/>
              </w:rPr>
              <w:t xml:space="preserve"> dat gevolgen heeft voor de grondrechten en fundamentele vrijheden en dat relevant is voor de aanmerking van een derde land als veilig land van herkomst overeenkomstig artikel 61</w:t>
            </w:r>
            <w:r w:rsidRPr="00B21DF7">
              <w:t>;</w:t>
            </w:r>
          </w:p>
        </w:tc>
      </w:tr>
    </w:tbl>
    <w:p w14:paraId="4AF1B859" w14:textId="77777777" w:rsidR="006B28A1" w:rsidRPr="00B21DF7" w:rsidRDefault="00B02C1A" w:rsidP="006B28A1">
      <w:pPr>
        <w:pStyle w:val="Olang"/>
        <w:rPr>
          <w:sz w:val="24"/>
          <w:szCs w:val="24"/>
        </w:rPr>
      </w:pPr>
      <w:r w:rsidRPr="00B21DF7">
        <w:rPr>
          <w:sz w:val="24"/>
          <w:szCs w:val="24"/>
        </w:rPr>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3639FA16" w14:textId="77777777" w:rsidR="006B28A1" w:rsidRPr="00B21DF7" w:rsidRDefault="00B02C1A" w:rsidP="006B28A1">
      <w:pPr>
        <w:rPr>
          <w:szCs w:val="24"/>
        </w:rPr>
      </w:pPr>
      <w:r w:rsidRPr="00B21DF7">
        <w:rPr>
          <w:rStyle w:val="HideTWBExt"/>
        </w:rPr>
        <w:t>&lt;/Amend&gt;</w:t>
      </w:r>
    </w:p>
    <w:p w14:paraId="693BE9F8" w14:textId="77777777" w:rsidR="006B28A1" w:rsidRPr="00B21DF7" w:rsidRDefault="00B02C1A" w:rsidP="006B28A1">
      <w:pPr>
        <w:pStyle w:val="AMNumberTabs0"/>
        <w:keepNext/>
      </w:pPr>
      <w:r w:rsidRPr="00B21DF7">
        <w:rPr>
          <w:rStyle w:val="HideTWBExt"/>
          <w:b w:val="0"/>
        </w:rPr>
        <w:t>&lt;Amend&gt;</w:t>
      </w:r>
      <w:r w:rsidRPr="00B21DF7">
        <w:t>Amendement</w:t>
      </w:r>
      <w:r w:rsidRPr="00B21DF7">
        <w:tab/>
      </w:r>
      <w:r w:rsidRPr="00B21DF7">
        <w:tab/>
      </w:r>
      <w:r w:rsidRPr="00B21DF7">
        <w:rPr>
          <w:rStyle w:val="HideTWBExt"/>
          <w:b w:val="0"/>
        </w:rPr>
        <w:t>&lt;NumAm&gt;</w:t>
      </w:r>
      <w:r w:rsidRPr="00B21DF7">
        <w:t>9</w:t>
      </w:r>
      <w:r w:rsidRPr="00B21DF7">
        <w:rPr>
          <w:rStyle w:val="HideTWBExt"/>
          <w:b w:val="0"/>
        </w:rPr>
        <w:t>&lt;/NumAm&gt;</w:t>
      </w:r>
    </w:p>
    <w:p w14:paraId="3A8BAFFA"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1BEADE58" w14:textId="77777777" w:rsidR="006B28A1" w:rsidRPr="00B21DF7" w:rsidRDefault="00B02C1A" w:rsidP="006B28A1">
      <w:pPr>
        <w:pStyle w:val="NormalBold"/>
      </w:pPr>
      <w:r w:rsidRPr="00B21DF7">
        <w:rPr>
          <w:rStyle w:val="HideTWBExt"/>
          <w:b w:val="0"/>
        </w:rPr>
        <w:t>&lt;Article&gt;</w:t>
      </w:r>
      <w:r w:rsidRPr="00B21DF7">
        <w:t>Artikel 1 – alinea 1 – punt 1 – a</w:t>
      </w:r>
      <w:r w:rsidRPr="00B21DF7">
        <w:rPr>
          <w:rStyle w:val="HideTWBExt"/>
          <w:b w:val="0"/>
        </w:rPr>
        <w:t>&lt;/Article&gt;</w:t>
      </w:r>
    </w:p>
    <w:p w14:paraId="1C608540" w14:textId="77777777" w:rsidR="006B28A1" w:rsidRPr="00B21DF7" w:rsidRDefault="00B02C1A" w:rsidP="006B28A1">
      <w:pPr>
        <w:keepNext/>
      </w:pPr>
      <w:r w:rsidRPr="00B21DF7">
        <w:rPr>
          <w:rStyle w:val="HideTWBExt"/>
        </w:rPr>
        <w:t>&lt;DocAmend2&gt;</w:t>
      </w:r>
      <w:r w:rsidRPr="00B21DF7">
        <w:t>Verordening (EU) 2024/1348</w:t>
      </w:r>
      <w:r w:rsidRPr="00B21DF7">
        <w:rPr>
          <w:rStyle w:val="HideTWBExt"/>
        </w:rPr>
        <w:t>&lt;/DocAmend2&gt;</w:t>
      </w:r>
    </w:p>
    <w:p w14:paraId="3DE4B354" w14:textId="77777777" w:rsidR="006B28A1" w:rsidRPr="00B21DF7" w:rsidRDefault="00B02C1A" w:rsidP="006B28A1">
      <w:r w:rsidRPr="00B21DF7">
        <w:rPr>
          <w:rStyle w:val="HideTWBExt"/>
        </w:rPr>
        <w:t>&lt;Article2&gt;</w:t>
      </w:r>
      <w:r w:rsidRPr="00B21DF7">
        <w:t>Artikel 62 – lid 1 – alinea 1 bis (nieuw)</w:t>
      </w:r>
      <w:r w:rsidRPr="00B21D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37B56F79" w14:textId="77777777" w:rsidTr="006B28A1">
        <w:trPr>
          <w:jc w:val="center"/>
        </w:trPr>
        <w:tc>
          <w:tcPr>
            <w:tcW w:w="9752" w:type="dxa"/>
            <w:gridSpan w:val="2"/>
          </w:tcPr>
          <w:p w14:paraId="09C07782" w14:textId="77777777" w:rsidR="006B28A1" w:rsidRPr="00B21DF7" w:rsidRDefault="006B28A1">
            <w:pPr>
              <w:keepNext/>
            </w:pPr>
          </w:p>
        </w:tc>
      </w:tr>
      <w:tr w:rsidR="00D1149C" w:rsidRPr="00B21DF7" w14:paraId="349D0BBB" w14:textId="77777777" w:rsidTr="006B28A1">
        <w:trPr>
          <w:jc w:val="center"/>
        </w:trPr>
        <w:tc>
          <w:tcPr>
            <w:tcW w:w="4876" w:type="dxa"/>
            <w:hideMark/>
          </w:tcPr>
          <w:p w14:paraId="4682461B" w14:textId="77777777" w:rsidR="006B28A1" w:rsidRPr="00B21DF7" w:rsidRDefault="00B02C1A">
            <w:pPr>
              <w:pStyle w:val="ColumnHeading"/>
              <w:keepNext/>
            </w:pPr>
            <w:r w:rsidRPr="00B21DF7">
              <w:t>Door de Commissie voorgestelde tekst</w:t>
            </w:r>
          </w:p>
        </w:tc>
        <w:tc>
          <w:tcPr>
            <w:tcW w:w="4876" w:type="dxa"/>
            <w:hideMark/>
          </w:tcPr>
          <w:p w14:paraId="0EC848C9" w14:textId="77777777" w:rsidR="006B28A1" w:rsidRPr="00B21DF7" w:rsidRDefault="00B02C1A">
            <w:pPr>
              <w:pStyle w:val="ColumnHeading"/>
              <w:keepNext/>
            </w:pPr>
            <w:r w:rsidRPr="00B21DF7">
              <w:t>Amendement</w:t>
            </w:r>
          </w:p>
        </w:tc>
      </w:tr>
      <w:tr w:rsidR="00D1149C" w:rsidRPr="00B21DF7" w14:paraId="622E66B7" w14:textId="77777777" w:rsidTr="006B28A1">
        <w:trPr>
          <w:jc w:val="center"/>
        </w:trPr>
        <w:tc>
          <w:tcPr>
            <w:tcW w:w="4876" w:type="dxa"/>
          </w:tcPr>
          <w:p w14:paraId="07D7CE11" w14:textId="77777777" w:rsidR="006B28A1" w:rsidRPr="00B21DF7" w:rsidRDefault="006B28A1">
            <w:pPr>
              <w:pStyle w:val="Normal6"/>
            </w:pPr>
          </w:p>
        </w:tc>
        <w:tc>
          <w:tcPr>
            <w:tcW w:w="4876" w:type="dxa"/>
            <w:hideMark/>
          </w:tcPr>
          <w:p w14:paraId="7D092070" w14:textId="77777777" w:rsidR="006B28A1" w:rsidRPr="00B21DF7" w:rsidRDefault="00B02C1A">
            <w:pPr>
              <w:pStyle w:val="Normal6"/>
              <w:rPr>
                <w:szCs w:val="24"/>
              </w:rPr>
            </w:pPr>
            <w:r w:rsidRPr="00B21DF7">
              <w:rPr>
                <w:b/>
                <w:i/>
              </w:rPr>
              <w:t xml:space="preserve">De Commissie beoordeelt regelmatig of een van de onder a), b) of c) bedoelde </w:t>
            </w:r>
            <w:r w:rsidRPr="00B21DF7">
              <w:rPr>
                <w:b/>
                <w:i/>
              </w:rPr>
              <w:t>omstandigheden van toepassing is op een kandidaat-lidstaat van de Unie. Als dit het geval is, zendt zij een formele kennisgeving aan de lidstaten, met vermelding van de datum met ingang waarvan het betrokken land op het niveau van de Unie niet langer als veilig land van herkomst wordt beschouwd.</w:t>
            </w:r>
          </w:p>
        </w:tc>
      </w:tr>
    </w:tbl>
    <w:p w14:paraId="29276867" w14:textId="77777777" w:rsidR="006B28A1" w:rsidRPr="00B21DF7" w:rsidRDefault="00B02C1A" w:rsidP="006B28A1">
      <w:pPr>
        <w:pStyle w:val="Olang"/>
        <w:rPr>
          <w:sz w:val="24"/>
          <w:szCs w:val="24"/>
        </w:rPr>
      </w:pPr>
      <w:r w:rsidRPr="00B21DF7">
        <w:rPr>
          <w:sz w:val="24"/>
          <w:szCs w:val="24"/>
        </w:rPr>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67DCFCCD" w14:textId="77777777" w:rsidR="006B28A1" w:rsidRPr="00B21DF7" w:rsidRDefault="00B02C1A" w:rsidP="006B28A1">
      <w:pPr>
        <w:pStyle w:val="JustificationTitle"/>
        <w:rPr>
          <w:noProof w:val="0"/>
        </w:rPr>
      </w:pPr>
      <w:r w:rsidRPr="00B21DF7">
        <w:rPr>
          <w:rStyle w:val="HideTWBExt"/>
          <w:i w:val="0"/>
        </w:rPr>
        <w:t>&lt;TitreJust&gt;</w:t>
      </w:r>
      <w:r w:rsidRPr="00B21DF7">
        <w:t>Motivering</w:t>
      </w:r>
      <w:r w:rsidRPr="00B21DF7">
        <w:rPr>
          <w:rStyle w:val="HideTWBExt"/>
          <w:i w:val="0"/>
        </w:rPr>
        <w:t>&lt;/TitreJust&gt;</w:t>
      </w:r>
    </w:p>
    <w:p w14:paraId="23DB25F5" w14:textId="77777777" w:rsidR="006B28A1" w:rsidRPr="00B21DF7" w:rsidRDefault="00B02C1A" w:rsidP="006B28A1">
      <w:pPr>
        <w:pStyle w:val="Normal12Italic"/>
        <w:rPr>
          <w:noProof w:val="0"/>
        </w:rPr>
      </w:pPr>
      <w:r w:rsidRPr="00B21DF7">
        <w:t xml:space="preserve">Om een uniforme toepassing van deze verordening te waarborgen in alle lidstaten en om te zorgen voor rechtszekerheid moet een duidelijk en gecoördineerd mechanisme worden ingesteld om te bepalen wanneer een kandidaat-lidstaat niet langer als een veilig land van herkomst mag worden beschouwd en wanneer een kandidaatland na een opschorting opnieuw </w:t>
      </w:r>
      <w:r w:rsidRPr="00B21DF7">
        <w:lastRenderedPageBreak/>
        <w:t>de status van veilig land kan krijgen.</w:t>
      </w:r>
    </w:p>
    <w:p w14:paraId="294BE78B" w14:textId="77777777" w:rsidR="006B28A1" w:rsidRPr="00B21DF7" w:rsidRDefault="00B02C1A" w:rsidP="006B28A1">
      <w:r w:rsidRPr="00B21DF7">
        <w:rPr>
          <w:rStyle w:val="HideTWBExt"/>
        </w:rPr>
        <w:t>&lt;/Amend&gt;</w:t>
      </w:r>
    </w:p>
    <w:p w14:paraId="5FFE9A88" w14:textId="77777777" w:rsidR="006B28A1" w:rsidRPr="00B21DF7" w:rsidRDefault="00B02C1A" w:rsidP="006B28A1">
      <w:pPr>
        <w:pStyle w:val="AMNumberTabs0"/>
        <w:keepNext/>
      </w:pPr>
      <w:r w:rsidRPr="00B21DF7">
        <w:rPr>
          <w:rStyle w:val="HideTWBExt"/>
          <w:b w:val="0"/>
        </w:rPr>
        <w:t>&lt;Amend&gt;</w:t>
      </w:r>
      <w:r w:rsidRPr="00B21DF7">
        <w:t>Amendement</w:t>
      </w:r>
      <w:r w:rsidRPr="00B21DF7">
        <w:tab/>
      </w:r>
      <w:r w:rsidRPr="00B21DF7">
        <w:tab/>
      </w:r>
      <w:r w:rsidRPr="00B21DF7">
        <w:rPr>
          <w:rStyle w:val="HideTWBExt"/>
          <w:b w:val="0"/>
        </w:rPr>
        <w:t>&lt;NumAm&gt;</w:t>
      </w:r>
      <w:r w:rsidRPr="00B21DF7">
        <w:t>10</w:t>
      </w:r>
      <w:r w:rsidRPr="00B21DF7">
        <w:rPr>
          <w:rStyle w:val="HideTWBExt"/>
          <w:b w:val="0"/>
        </w:rPr>
        <w:t>&lt;/NumAm&gt;</w:t>
      </w:r>
    </w:p>
    <w:p w14:paraId="457B47D8"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25800DA6" w14:textId="77777777" w:rsidR="006B28A1" w:rsidRPr="00B21DF7" w:rsidRDefault="00B02C1A" w:rsidP="006B28A1">
      <w:pPr>
        <w:pStyle w:val="NormalBold"/>
      </w:pPr>
      <w:r w:rsidRPr="00B21DF7">
        <w:rPr>
          <w:rStyle w:val="HideTWBExt"/>
          <w:b w:val="0"/>
        </w:rPr>
        <w:t>&lt;Article&gt;</w:t>
      </w:r>
      <w:r w:rsidRPr="00B21DF7">
        <w:t>Artikel 1 – alinea 1 – punt 1 – a</w:t>
      </w:r>
      <w:r w:rsidRPr="00B21DF7">
        <w:rPr>
          <w:rStyle w:val="HideTWBExt"/>
          <w:b w:val="0"/>
        </w:rPr>
        <w:t>&lt;/Article&gt;</w:t>
      </w:r>
    </w:p>
    <w:p w14:paraId="3C986D86" w14:textId="77777777" w:rsidR="006B28A1" w:rsidRPr="00B21DF7" w:rsidRDefault="00B02C1A" w:rsidP="006B28A1">
      <w:pPr>
        <w:keepNext/>
      </w:pPr>
      <w:r w:rsidRPr="00B21DF7">
        <w:rPr>
          <w:rStyle w:val="HideTWBExt"/>
        </w:rPr>
        <w:t>&lt;DocAmend2&gt;</w:t>
      </w:r>
      <w:r w:rsidRPr="00B21DF7">
        <w:t>Verordening (EU) 2024/1348</w:t>
      </w:r>
      <w:r w:rsidRPr="00B21DF7">
        <w:rPr>
          <w:rStyle w:val="HideTWBExt"/>
        </w:rPr>
        <w:t>&lt;/DocAmend2&gt;</w:t>
      </w:r>
    </w:p>
    <w:p w14:paraId="3EAE8DD0" w14:textId="77777777" w:rsidR="006B28A1" w:rsidRPr="00B21DF7" w:rsidRDefault="00B02C1A" w:rsidP="006B28A1">
      <w:r w:rsidRPr="00B21DF7">
        <w:rPr>
          <w:rStyle w:val="HideTWBExt"/>
        </w:rPr>
        <w:t>&lt;Article2&gt;</w:t>
      </w:r>
      <w:r w:rsidRPr="00B21DF7">
        <w:t>Artikel 62 – lid 1 – alinea 1 ter (nieuw)</w:t>
      </w:r>
      <w:r w:rsidRPr="00B21D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4B3FE41D" w14:textId="77777777" w:rsidTr="006B28A1">
        <w:trPr>
          <w:jc w:val="center"/>
        </w:trPr>
        <w:tc>
          <w:tcPr>
            <w:tcW w:w="9752" w:type="dxa"/>
            <w:gridSpan w:val="2"/>
          </w:tcPr>
          <w:p w14:paraId="49834020" w14:textId="77777777" w:rsidR="006B28A1" w:rsidRPr="00B21DF7" w:rsidRDefault="006B28A1">
            <w:pPr>
              <w:keepNext/>
            </w:pPr>
          </w:p>
        </w:tc>
      </w:tr>
      <w:tr w:rsidR="00D1149C" w:rsidRPr="00B21DF7" w14:paraId="33690B5A" w14:textId="77777777" w:rsidTr="006B28A1">
        <w:trPr>
          <w:jc w:val="center"/>
        </w:trPr>
        <w:tc>
          <w:tcPr>
            <w:tcW w:w="4876" w:type="dxa"/>
            <w:hideMark/>
          </w:tcPr>
          <w:p w14:paraId="6D1F1A3A" w14:textId="77777777" w:rsidR="006B28A1" w:rsidRPr="00B21DF7" w:rsidRDefault="00B02C1A">
            <w:pPr>
              <w:pStyle w:val="ColumnHeading"/>
              <w:keepNext/>
            </w:pPr>
            <w:r w:rsidRPr="00B21DF7">
              <w:t xml:space="preserve">Door </w:t>
            </w:r>
            <w:r w:rsidRPr="00B21DF7">
              <w:t>de Commissie voorgestelde tekst</w:t>
            </w:r>
          </w:p>
        </w:tc>
        <w:tc>
          <w:tcPr>
            <w:tcW w:w="4876" w:type="dxa"/>
            <w:hideMark/>
          </w:tcPr>
          <w:p w14:paraId="5D3E2046" w14:textId="77777777" w:rsidR="006B28A1" w:rsidRPr="00B21DF7" w:rsidRDefault="00B02C1A">
            <w:pPr>
              <w:pStyle w:val="ColumnHeading"/>
              <w:keepNext/>
            </w:pPr>
            <w:r w:rsidRPr="00B21DF7">
              <w:t>Amendement</w:t>
            </w:r>
          </w:p>
        </w:tc>
      </w:tr>
      <w:tr w:rsidR="00D1149C" w:rsidRPr="00B21DF7" w14:paraId="562AEE4A" w14:textId="77777777" w:rsidTr="006B28A1">
        <w:trPr>
          <w:jc w:val="center"/>
        </w:trPr>
        <w:tc>
          <w:tcPr>
            <w:tcW w:w="4876" w:type="dxa"/>
          </w:tcPr>
          <w:p w14:paraId="5FE54114" w14:textId="77777777" w:rsidR="006B28A1" w:rsidRPr="00B21DF7" w:rsidRDefault="006B28A1">
            <w:pPr>
              <w:pStyle w:val="Normal6"/>
            </w:pPr>
          </w:p>
        </w:tc>
        <w:tc>
          <w:tcPr>
            <w:tcW w:w="4876" w:type="dxa"/>
            <w:hideMark/>
          </w:tcPr>
          <w:p w14:paraId="78FE7DBF" w14:textId="77777777" w:rsidR="006B28A1" w:rsidRPr="00B21DF7" w:rsidRDefault="00B02C1A">
            <w:pPr>
              <w:pStyle w:val="Normal6"/>
              <w:rPr>
                <w:szCs w:val="24"/>
              </w:rPr>
            </w:pPr>
            <w:r w:rsidRPr="00B21DF7">
              <w:rPr>
                <w:b/>
                <w:i/>
              </w:rPr>
              <w:t>De Commissie doet ook een formele kennisgeving aan de lidstaten toekomen wanneer zij concludeert dat de onder a), b) of c) bedoelde omstandigheden niet langer van toepassing zijn. In dergelijke gevallen kan het land opnieuw als veilig land van herkomst op het niveau van de Unie worden aangemerkt, met ingang van de in de kennisgeving vermelde datum.</w:t>
            </w:r>
          </w:p>
        </w:tc>
      </w:tr>
    </w:tbl>
    <w:p w14:paraId="480467EC" w14:textId="77777777" w:rsidR="006B28A1" w:rsidRPr="00B21DF7" w:rsidRDefault="00B02C1A" w:rsidP="006B28A1">
      <w:pPr>
        <w:pStyle w:val="Olang"/>
        <w:rPr>
          <w:sz w:val="24"/>
          <w:szCs w:val="24"/>
        </w:rPr>
      </w:pPr>
      <w:r w:rsidRPr="00B21DF7">
        <w:rPr>
          <w:sz w:val="24"/>
          <w:szCs w:val="24"/>
        </w:rPr>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6C1396CF" w14:textId="77777777" w:rsidR="006B28A1" w:rsidRPr="00B21DF7" w:rsidRDefault="00B02C1A" w:rsidP="006B28A1">
      <w:pPr>
        <w:pStyle w:val="JustificationTitle"/>
        <w:rPr>
          <w:noProof w:val="0"/>
        </w:rPr>
      </w:pPr>
      <w:r w:rsidRPr="00B21DF7">
        <w:rPr>
          <w:rStyle w:val="HideTWBExt"/>
          <w:i w:val="0"/>
        </w:rPr>
        <w:t>&lt;TitreJust&gt;</w:t>
      </w:r>
      <w:r w:rsidRPr="00B21DF7">
        <w:t>Motivering</w:t>
      </w:r>
      <w:r w:rsidRPr="00B21DF7">
        <w:rPr>
          <w:rStyle w:val="HideTWBExt"/>
          <w:i w:val="0"/>
        </w:rPr>
        <w:t>&lt;/TitreJust&gt;</w:t>
      </w:r>
    </w:p>
    <w:p w14:paraId="468D6761" w14:textId="77777777" w:rsidR="006B28A1" w:rsidRPr="00B21DF7" w:rsidRDefault="00B02C1A" w:rsidP="006B28A1">
      <w:pPr>
        <w:pStyle w:val="Normal12Italic"/>
        <w:rPr>
          <w:noProof w:val="0"/>
        </w:rPr>
      </w:pPr>
      <w:r w:rsidRPr="00B21DF7">
        <w:t>Om een uniforme toepassing van deze verordening te waarborgen in alle lidstaten en om te zorgen voor rechtszekerheid moet een duidelijk en gecoördineerd mechanisme worden ingesteld om te bepalen wanneer een kandidaat-lidstaat niet langer als een veilig land van herkomst mag worden beschouwd en wanneer een kandidaatland na een opschorting opnieuw de status van veilig land kan krijgen.</w:t>
      </w:r>
    </w:p>
    <w:p w14:paraId="39C3C889" w14:textId="77777777" w:rsidR="006B28A1" w:rsidRPr="00B21DF7" w:rsidRDefault="00B02C1A" w:rsidP="006B28A1">
      <w:r w:rsidRPr="00B21DF7">
        <w:rPr>
          <w:rStyle w:val="HideTWBExt"/>
        </w:rPr>
        <w:t>&lt;/Amend&gt;</w:t>
      </w:r>
    </w:p>
    <w:p w14:paraId="26F0F082" w14:textId="77777777" w:rsidR="006B28A1" w:rsidRPr="00B21DF7" w:rsidRDefault="00B02C1A" w:rsidP="006B28A1">
      <w:pPr>
        <w:pStyle w:val="AMNumberTabs0"/>
        <w:keepNext/>
      </w:pPr>
      <w:r w:rsidRPr="00B21DF7">
        <w:rPr>
          <w:rStyle w:val="HideTWBExt"/>
          <w:b w:val="0"/>
        </w:rPr>
        <w:t>&lt;Amend&gt;</w:t>
      </w:r>
      <w:r w:rsidRPr="00B21DF7">
        <w:t>Amendement</w:t>
      </w:r>
      <w:r w:rsidRPr="00B21DF7">
        <w:tab/>
      </w:r>
      <w:r w:rsidRPr="00B21DF7">
        <w:tab/>
      </w:r>
      <w:r w:rsidRPr="00B21DF7">
        <w:rPr>
          <w:rStyle w:val="HideTWBExt"/>
          <w:b w:val="0"/>
        </w:rPr>
        <w:t>&lt;NumAm&gt;</w:t>
      </w:r>
      <w:r w:rsidRPr="00B21DF7">
        <w:t>11</w:t>
      </w:r>
      <w:r w:rsidRPr="00B21DF7">
        <w:rPr>
          <w:rStyle w:val="HideTWBExt"/>
          <w:b w:val="0"/>
        </w:rPr>
        <w:t>&lt;/NumAm&gt;</w:t>
      </w:r>
    </w:p>
    <w:p w14:paraId="044782AC" w14:textId="77777777" w:rsidR="006B28A1" w:rsidRPr="00B21DF7" w:rsidRDefault="00B02C1A" w:rsidP="006B28A1">
      <w:pPr>
        <w:pStyle w:val="NormalBold12b"/>
        <w:keepNext/>
      </w:pPr>
      <w:r w:rsidRPr="00B21DF7">
        <w:rPr>
          <w:rStyle w:val="HideTWBExt"/>
          <w:b w:val="0"/>
        </w:rPr>
        <w:t>&lt;DocAmend&gt;</w:t>
      </w:r>
      <w:r w:rsidRPr="00B21DF7">
        <w:t>Voorstel voor een verordening</w:t>
      </w:r>
      <w:r w:rsidRPr="00B21DF7">
        <w:rPr>
          <w:rStyle w:val="HideTWBExt"/>
          <w:b w:val="0"/>
        </w:rPr>
        <w:t>&lt;/DocAmend&gt;</w:t>
      </w:r>
    </w:p>
    <w:p w14:paraId="466CB2FC" w14:textId="77777777" w:rsidR="006B28A1" w:rsidRPr="00B21DF7" w:rsidRDefault="00B02C1A" w:rsidP="006B28A1">
      <w:pPr>
        <w:pStyle w:val="NormalBold"/>
      </w:pPr>
      <w:r w:rsidRPr="00B21DF7">
        <w:rPr>
          <w:rStyle w:val="HideTWBExt"/>
          <w:b w:val="0"/>
        </w:rPr>
        <w:t>&lt;Article&gt;</w:t>
      </w:r>
      <w:r w:rsidRPr="00B21DF7">
        <w:t>Artikel 1 – alinea 1 – punt 2 – a</w:t>
      </w:r>
      <w:r w:rsidRPr="00B21DF7">
        <w:rPr>
          <w:rStyle w:val="HideTWBExt"/>
          <w:b w:val="0"/>
        </w:rPr>
        <w:t>&lt;/Article&gt;</w:t>
      </w:r>
    </w:p>
    <w:p w14:paraId="531B57B8" w14:textId="77777777" w:rsidR="006B28A1" w:rsidRPr="00B21DF7" w:rsidRDefault="00B02C1A" w:rsidP="006B28A1">
      <w:pPr>
        <w:keepNext/>
      </w:pPr>
      <w:r w:rsidRPr="00B21DF7">
        <w:rPr>
          <w:rStyle w:val="HideTWBExt"/>
        </w:rPr>
        <w:t>&lt;DocAmend2&gt;</w:t>
      </w:r>
      <w:r w:rsidRPr="00B21DF7">
        <w:t>Verordening (EU) 2024/1348</w:t>
      </w:r>
      <w:r w:rsidRPr="00B21DF7">
        <w:rPr>
          <w:rStyle w:val="HideTWBExt"/>
        </w:rPr>
        <w:t>&lt;/DocAmend2&gt;</w:t>
      </w:r>
    </w:p>
    <w:p w14:paraId="5B011671" w14:textId="77777777" w:rsidR="006B28A1" w:rsidRPr="00B21DF7" w:rsidRDefault="00B02C1A" w:rsidP="006B28A1">
      <w:r w:rsidRPr="00B21DF7">
        <w:rPr>
          <w:rStyle w:val="HideTWBExt"/>
        </w:rPr>
        <w:t>&lt;Article2&gt;</w:t>
      </w:r>
      <w:r w:rsidRPr="00B21DF7">
        <w:t>Artikel 79 – lid 2</w:t>
      </w:r>
      <w:r w:rsidRPr="00B21DF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149C" w:rsidRPr="00B21DF7" w14:paraId="0F1044BD" w14:textId="77777777" w:rsidTr="006B28A1">
        <w:trPr>
          <w:jc w:val="center"/>
        </w:trPr>
        <w:tc>
          <w:tcPr>
            <w:tcW w:w="9752" w:type="dxa"/>
            <w:gridSpan w:val="2"/>
          </w:tcPr>
          <w:p w14:paraId="53C6DCC5" w14:textId="77777777" w:rsidR="006B28A1" w:rsidRPr="00B21DF7" w:rsidRDefault="006B28A1">
            <w:pPr>
              <w:keepNext/>
            </w:pPr>
          </w:p>
        </w:tc>
      </w:tr>
      <w:tr w:rsidR="00D1149C" w:rsidRPr="00B21DF7" w14:paraId="3D981296" w14:textId="77777777" w:rsidTr="006B28A1">
        <w:trPr>
          <w:jc w:val="center"/>
        </w:trPr>
        <w:tc>
          <w:tcPr>
            <w:tcW w:w="4876" w:type="dxa"/>
            <w:hideMark/>
          </w:tcPr>
          <w:p w14:paraId="7E29D1F6" w14:textId="77777777" w:rsidR="006B28A1" w:rsidRPr="00B21DF7" w:rsidRDefault="00B02C1A">
            <w:pPr>
              <w:pStyle w:val="ColumnHeading"/>
              <w:keepNext/>
            </w:pPr>
            <w:r w:rsidRPr="00B21DF7">
              <w:t>Door de Commissie voorgestelde tekst</w:t>
            </w:r>
          </w:p>
        </w:tc>
        <w:tc>
          <w:tcPr>
            <w:tcW w:w="4876" w:type="dxa"/>
            <w:hideMark/>
          </w:tcPr>
          <w:p w14:paraId="2568B943" w14:textId="77777777" w:rsidR="006B28A1" w:rsidRPr="00B21DF7" w:rsidRDefault="00B02C1A">
            <w:pPr>
              <w:pStyle w:val="ColumnHeading"/>
              <w:keepNext/>
            </w:pPr>
            <w:r w:rsidRPr="00B21DF7">
              <w:t>Amendement</w:t>
            </w:r>
          </w:p>
        </w:tc>
      </w:tr>
      <w:tr w:rsidR="00D1149C" w:rsidRPr="00B21DF7" w14:paraId="248017A8" w14:textId="77777777" w:rsidTr="006B28A1">
        <w:trPr>
          <w:jc w:val="center"/>
        </w:trPr>
        <w:tc>
          <w:tcPr>
            <w:tcW w:w="4876" w:type="dxa"/>
            <w:hideMark/>
          </w:tcPr>
          <w:p w14:paraId="0E0DD6C4" w14:textId="77777777" w:rsidR="006B28A1" w:rsidRPr="00B21DF7" w:rsidRDefault="00B02C1A">
            <w:pPr>
              <w:pStyle w:val="Normal6"/>
            </w:pPr>
            <w:r w:rsidRPr="00B21DF7">
              <w:t xml:space="preserve">“Artikel 59, lid 2, artikel 61, lid 2, en artikel 61, lid 5, punt b), zijn echter van toepassing met ingang van de datum van inwerkingtreding van Verordening (EU).../... [tot wijziging van Verordening (EU) 2024/1348] wat betreft de toepassing van het begrip “veilig </w:t>
            </w:r>
            <w:r w:rsidRPr="00B21DF7">
              <w:rPr>
                <w:b/>
                <w:i/>
              </w:rPr>
              <w:t>derde land”</w:t>
            </w:r>
            <w:r w:rsidRPr="00B21DF7">
              <w:t xml:space="preserve"> </w:t>
            </w:r>
            <w:r w:rsidRPr="00B21DF7">
              <w:lastRenderedPageBreak/>
              <w:t xml:space="preserve">overeenkomstig de artikelen 36 en 37 van Richtlijn 2013/32/EU en het begrip “veilig </w:t>
            </w:r>
            <w:r w:rsidRPr="00B21DF7">
              <w:rPr>
                <w:b/>
                <w:i/>
              </w:rPr>
              <w:t>land van herkomst”</w:t>
            </w:r>
            <w:r w:rsidRPr="00B21DF7">
              <w:t xml:space="preserve"> overeenkomstig artikel 38 van Richtlijn 2013/32/EU.”;</w:t>
            </w:r>
          </w:p>
        </w:tc>
        <w:tc>
          <w:tcPr>
            <w:tcW w:w="4876" w:type="dxa"/>
            <w:hideMark/>
          </w:tcPr>
          <w:p w14:paraId="43F4E19D" w14:textId="77777777" w:rsidR="006B28A1" w:rsidRPr="00B21DF7" w:rsidRDefault="00B02C1A">
            <w:pPr>
              <w:pStyle w:val="Normal6"/>
              <w:rPr>
                <w:szCs w:val="24"/>
              </w:rPr>
            </w:pPr>
            <w:r w:rsidRPr="00B21DF7">
              <w:lastRenderedPageBreak/>
              <w:t xml:space="preserve">“Artikel 59, lid 2, artikel 61, lid 2, en artikel 61, lid 5, punt b), zijn echter van toepassing met ingang van de datum van inwerkingtreding van Verordening (EU).../... [tot wijziging van Verordening (EU) 2024/1348] wat betreft de toepassing van het begrip “veilig </w:t>
            </w:r>
            <w:r w:rsidRPr="00B21DF7">
              <w:rPr>
                <w:b/>
                <w:i/>
              </w:rPr>
              <w:t>land van herkomst”</w:t>
            </w:r>
            <w:r w:rsidRPr="00B21DF7">
              <w:t xml:space="preserve"> </w:t>
            </w:r>
            <w:r w:rsidRPr="00B21DF7">
              <w:lastRenderedPageBreak/>
              <w:t xml:space="preserve">overeenkomstig de artikelen 36 en 37 van Richtlijn 2013/32/EU en het begrip “veilig </w:t>
            </w:r>
            <w:r w:rsidRPr="00B21DF7">
              <w:rPr>
                <w:b/>
                <w:i/>
              </w:rPr>
              <w:t>derde land”</w:t>
            </w:r>
            <w:r w:rsidRPr="00B21DF7">
              <w:t xml:space="preserve"> overeenkomstig artikel 38 van Richtlijn 2013/32/EU.”;</w:t>
            </w:r>
          </w:p>
        </w:tc>
      </w:tr>
    </w:tbl>
    <w:p w14:paraId="611856C7" w14:textId="77777777" w:rsidR="006B28A1" w:rsidRPr="00B21DF7" w:rsidRDefault="00B02C1A" w:rsidP="006B28A1">
      <w:pPr>
        <w:pStyle w:val="Olang"/>
        <w:rPr>
          <w:sz w:val="24"/>
          <w:szCs w:val="24"/>
        </w:rPr>
      </w:pPr>
      <w:r w:rsidRPr="00B21DF7">
        <w:rPr>
          <w:sz w:val="24"/>
          <w:szCs w:val="24"/>
        </w:rPr>
        <w:lastRenderedPageBreak/>
        <w:t xml:space="preserve">Or. </w:t>
      </w:r>
      <w:r w:rsidRPr="00B21DF7">
        <w:rPr>
          <w:rStyle w:val="HideTWBExt"/>
        </w:rPr>
        <w:t>&lt;Original&gt;</w:t>
      </w:r>
      <w:r w:rsidRPr="00B21DF7">
        <w:rPr>
          <w:rStyle w:val="HideTWBInt"/>
          <w:sz w:val="24"/>
          <w:szCs w:val="24"/>
        </w:rPr>
        <w:t>{EN}</w:t>
      </w:r>
      <w:r w:rsidRPr="00B21DF7">
        <w:rPr>
          <w:sz w:val="24"/>
          <w:szCs w:val="24"/>
        </w:rPr>
        <w:t>en</w:t>
      </w:r>
      <w:r w:rsidRPr="00B21DF7">
        <w:rPr>
          <w:rStyle w:val="HideTWBExt"/>
        </w:rPr>
        <w:t>&lt;/Original&gt;</w:t>
      </w:r>
    </w:p>
    <w:p w14:paraId="7DC60CD2" w14:textId="77777777" w:rsidR="006B28A1" w:rsidRPr="00B21DF7" w:rsidRDefault="00B02C1A" w:rsidP="006B28A1">
      <w:pPr>
        <w:rPr>
          <w:szCs w:val="24"/>
        </w:rPr>
      </w:pPr>
      <w:r w:rsidRPr="00B21DF7">
        <w:rPr>
          <w:rStyle w:val="HideTWBExt"/>
        </w:rPr>
        <w:t>&lt;/Amend&gt;&lt;/RepeatBlock-Amend&gt;</w:t>
      </w:r>
    </w:p>
    <w:p w14:paraId="31E6D026" w14:textId="77777777" w:rsidR="006B28A1" w:rsidRPr="00B21DF7" w:rsidRDefault="006B28A1" w:rsidP="006B28A1"/>
    <w:p w14:paraId="7ECBFF05" w14:textId="77777777" w:rsidR="002669B6" w:rsidRPr="00B21DF7" w:rsidRDefault="002669B6" w:rsidP="002669B6"/>
    <w:p w14:paraId="73034C03" w14:textId="77777777" w:rsidR="00C2607D" w:rsidRPr="00B21DF7" w:rsidRDefault="00C2607D" w:rsidP="002669B6"/>
    <w:p w14:paraId="60881031" w14:textId="77777777" w:rsidR="00C2607D" w:rsidRPr="00B21DF7" w:rsidRDefault="00C2607D" w:rsidP="002669B6"/>
    <w:p w14:paraId="5EE20070" w14:textId="77777777" w:rsidR="00C2607D" w:rsidRPr="00B21DF7" w:rsidRDefault="00C2607D" w:rsidP="002669B6">
      <w:pPr>
        <w:sectPr w:rsidR="00C2607D" w:rsidRPr="00B21DF7" w:rsidSect="00B21D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F37C452" w14:textId="1D551B24" w:rsidR="00C2607D" w:rsidRPr="00B21DF7" w:rsidRDefault="00B02C1A" w:rsidP="00C2607D">
      <w:pPr>
        <w:pStyle w:val="PageHeading"/>
      </w:pPr>
      <w:bookmarkStart w:id="1" w:name="_Toc210981874"/>
      <w:r w:rsidRPr="00B21DF7">
        <w:lastRenderedPageBreak/>
        <w:t>TOELICHTI</w:t>
      </w:r>
      <w:r w:rsidRPr="00B21DF7">
        <w:t>NG</w:t>
      </w:r>
      <w:bookmarkEnd w:id="1"/>
    </w:p>
    <w:p w14:paraId="08ADC17D" w14:textId="47D49B78" w:rsidR="004C2F09" w:rsidRPr="009F728D" w:rsidRDefault="004C2F09" w:rsidP="004C2F09">
      <w:r>
        <w:t>Dit voorstel vormt een strategische en noodzakelijke stap in de operationele versterking van de Europese Unie op het gebied van asiel en migratie, aangezien het tot doel heeft de toepassing van het begrip “veilig land van herkomst” te versterken, onder meer door middel van een lijst van veilige derde landen van herkomst op het niveau van de Unie, vooruitlopend op de toepassing van bepaalde voorzieningen in het asiel- en migratiepact, met name die van Verordening (EU) 2024/1348 tot vaststelling van een gemeenschappelijke procedure voor internationale bescherming in de Unie en tot intrekking van Richtlijn 2013/32/EU (“asielprocedureverordening”), die momenteel gepland staat voor juni 2026.</w:t>
      </w:r>
    </w:p>
    <w:p w14:paraId="0CE47B1B" w14:textId="77777777" w:rsidR="004C2F09" w:rsidRPr="009F728D" w:rsidRDefault="004C2F09" w:rsidP="004C2F09"/>
    <w:p w14:paraId="3453721B" w14:textId="77777777" w:rsidR="004C2F09" w:rsidRPr="009F728D" w:rsidRDefault="004C2F09" w:rsidP="004C2F09">
      <w:r>
        <w:t>Naast het aanwijzen als veilig land van herkomst op het niveau van de Unie van de landen waaraan de status van kandidaat-lidstaat van de EU is toegekend, alsmede één potentiële kandidaat voor EU-lidmaatschap, en het opstellen van een lijst van andere landen van herkomst die op EU-niveau als veilig worden beschouwd, zoals opgenomen in bijlage II, voorziet het voorstel voor een verordening in de mogelijkheid om veilige landen van herkomst aan te wijzen met uitzonderingen voor bepaalde delen van het grondgebied of duidelijk identificeerbare categorieën personen, waardoor de lidstaten op nationaal niveau meer flexibiliteit wordt geboden, en voorziet het in de mogelijkheid om in het kader van een grensprocedure of een versnelde procedure verzoeken te behandelen van onderdanen van derde landen waarvoor het aandeel van besluiten tot verlening van internationale bescherming op EU-niveau gelijk is aan of lager is dan 20 %.</w:t>
      </w:r>
    </w:p>
    <w:p w14:paraId="004D519A" w14:textId="77777777" w:rsidR="004C2F09" w:rsidRPr="009F728D" w:rsidRDefault="004C2F09" w:rsidP="004C2F09"/>
    <w:p w14:paraId="3140219E" w14:textId="77777777" w:rsidR="004C2F09" w:rsidRPr="009F728D" w:rsidRDefault="004C2F09" w:rsidP="004C2F09">
      <w:r>
        <w:t>In een snel veranderende geopolitieke en migratieomgeving is de Unie resoluut begonnen met een paradigmaverschuiving in het beheer van de migratiestromen, waarbij zij geleidelijk afstapt van de ondoeltreffende benaderingen van modellen uit het verleden. Deze nieuwe beleids- en regelgevingsoriëntatie is gebaseerd op een meer gestructureerde, pragmatische en consistente visie die beantwoordt aan de dringende behoeften op het gebied van veiligheid, efficiëntie en solidariteit, en weerspiegelt de duidelijke wil om de Unie uit te rusten met gemeenschappelijke, opportune en juridisch robuuste instrumenten waarmee de uitdagingen op het gebied van migratie op een veilige en duurzame manier kunnen worden aangepakt, met volledige inachtneming van de fundamentele beginselen van de Europese rechtsorde. Het voorstel eerbiedigt dan ook de grondrechten en neemt de beginselen in acht die zijn erkend in het Handvest van de grondrechten van de EU, met inbegrip van het recht op asiel en bescherming tegen refoulement, zoals vastgesteld in de artikelen 18 en 19 van het Handvest.</w:t>
      </w:r>
    </w:p>
    <w:p w14:paraId="0456655F" w14:textId="77777777" w:rsidR="004C2F09" w:rsidRPr="009F728D" w:rsidRDefault="004C2F09" w:rsidP="004C2F09"/>
    <w:p w14:paraId="017BAD81" w14:textId="77777777" w:rsidR="004C2F09" w:rsidRPr="009F728D" w:rsidRDefault="004C2F09" w:rsidP="004C2F09">
      <w:r>
        <w:t>Wij zijn dan ook ingenomen met het voorstel van de Commissie en erkennen de strategische waarde ervan, aangezien dit voorstel het mogelijk maakt te anticiperen op de meest urgente en operationele bepalingen van het pact, zodat het vermogen van de Unie en haar lidstaten om reeds op korte termijn op te treden, wordt versterkt.</w:t>
      </w:r>
    </w:p>
    <w:p w14:paraId="00BBE5FD" w14:textId="77777777" w:rsidR="004C2F09" w:rsidRPr="009F728D" w:rsidRDefault="004C2F09" w:rsidP="004C2F09"/>
    <w:p w14:paraId="4372D043" w14:textId="2AACF235" w:rsidR="004C2F09" w:rsidRPr="009F728D" w:rsidRDefault="004C2F09" w:rsidP="004C2F09">
      <w:r>
        <w:t xml:space="preserve">Deze versnelling ten opzichte van het oorspronkelijke tijdschema is gerechtvaardigd door de noodzaak om te voorkomen dat de Unie en de lidstaten gespeend blijven van passende instrumenten tot juni 2026, in een context waarin de migratiedruk en de uitdagingen in verband met terugkeer, grensbeheer en het beheer van verzoeken om internationale bescherming een snelle en doeltreffende respons vereisen. In dit kader situeert zich het onderhavige voorstel voor een verordening, dat als doel heeft de praktische toepassing van het begrip “veilig land van herkomst” te consolideren, als essentieel instrument om de </w:t>
      </w:r>
      <w:r>
        <w:lastRenderedPageBreak/>
        <w:t>behandeling van verzoeken die waarschijnlijk ongegrond zijn te vergemakkelijken en te versnellen en een efficiënter en geloofwaardiger beheer van het Europees asielstelsel te waarborgen.</w:t>
      </w:r>
    </w:p>
    <w:p w14:paraId="26AC65E8" w14:textId="77777777" w:rsidR="004C2F09" w:rsidRPr="009F728D" w:rsidRDefault="004C2F09" w:rsidP="004C2F09">
      <w:r>
        <w:t>In dit verband wordt het van essentieel belang geacht snel over te gaan tot de behandeling en goedkeuring van het voorstel, zodat vertragingen worden vermeden die de doeltreffendheid ervan zouden ondermijnen.</w:t>
      </w:r>
    </w:p>
    <w:p w14:paraId="3ECE2C0E" w14:textId="77777777" w:rsidR="004C2F09" w:rsidRPr="009F728D" w:rsidRDefault="004C2F09" w:rsidP="004C2F09">
      <w:r>
        <w:t>Zoals vermeld worden met dit voorstel de kandidaat-lidstaten en één potentiële kandidaat voor EU-lidmaatschap (Kosovo) en zes andere landen (Bangladesh, Colombia, Egypte, India, Marokko en Tunesië) op het niveau van de Unie aangewezen als veilige landen van herkomst. Op grond van de asielprocedureverordening moet de behandeling van een verzoek worden versneld en worden afgerond binnen een termijn van ten hoogste drie maanden indien de persoon die om internationale bescherming verzoekt, uit een veilig land van herkomst komt. Bovendien kan een lidstaat, indien de verzoeker nog geen toestemming heeft gekregen om het grondgebied van de lidstaat binnen te komen, het verzoek in een grensprocedure behandelen.</w:t>
      </w:r>
    </w:p>
    <w:p w14:paraId="067CE676" w14:textId="77777777" w:rsidR="004C2F09" w:rsidRPr="009F728D" w:rsidRDefault="004C2F09" w:rsidP="004C2F09"/>
    <w:p w14:paraId="00A1FA63" w14:textId="77777777" w:rsidR="004C2F09" w:rsidRPr="009F728D" w:rsidRDefault="004C2F09" w:rsidP="004C2F09">
      <w:r>
        <w:t>Wat de plaatsing op de lijst betreft, zijn wij het dan ook eens met het besluit van de Commissie om de landen die de status van kandidaat-lidstaat of potentiële kandidaat-lidstaat van de Europese Unie hebben verkregen, op te nemen als veilig land van herkomst. Wij zijn van mening dat deze keuze correct is en in overeenstemming met het huidige rechtskader, aangezien zij niet alleen gebaseerd is op een automatisch vermoeden, maar ook op een technische en meerlagige analyse door het Asielagentschap van de Europese Unie (EUAA). In deze analyse is de juridische, institutionele en grondrechtensituatie in elk land grondig beoordeeld, ongeacht het toetredingstraject van het land.</w:t>
      </w:r>
    </w:p>
    <w:p w14:paraId="610F604F" w14:textId="77777777" w:rsidR="004C2F09" w:rsidRPr="009F728D" w:rsidRDefault="004C2F09" w:rsidP="004C2F09"/>
    <w:p w14:paraId="25EEA752" w14:textId="77777777" w:rsidR="004C2F09" w:rsidRPr="009F728D" w:rsidRDefault="004C2F09" w:rsidP="004C2F09">
      <w:r>
        <w:t>De toegepaste criteria zijn die van de verordening asielnormen (Verordening (EU) 2024/1347) en de asielprocedureverordening zelf, en omvatten de verificatie van de afwezigheid van systemische vervolging, ernstige schade en structurele schendingen van de mensenrechten. De aanwijzing is bijgevolg gebaseerd op objectieve, verifieerbare en geharmoniseerde parameters op het niveau van de Unie, met volledige inachtneming van het internationaal recht en de fundamentele beginselen van de Europese rechtsorde.</w:t>
      </w:r>
    </w:p>
    <w:p w14:paraId="4F95B3F4" w14:textId="77777777" w:rsidR="004C2F09" w:rsidRPr="009F728D" w:rsidRDefault="004C2F09" w:rsidP="004C2F09"/>
    <w:p w14:paraId="3D257633" w14:textId="0CB22E75" w:rsidR="004C2F09" w:rsidRPr="009F728D" w:rsidRDefault="004C2F09" w:rsidP="004C2F09">
      <w:r>
        <w:t>Tegelijkertijd wordt in het voorstel rekening gehouden met de mogelijkheid dat zich bepaalde problemen voordoen, en daarom is voor de lijst voorzien in een dynamisch evaluatiemechanisme, dat het mogelijk maakt een aanwijzing op te schorten of te herstellen in het licht van de evolutie van de situatie.</w:t>
      </w:r>
    </w:p>
    <w:p w14:paraId="61346535" w14:textId="77777777" w:rsidR="004C2F09" w:rsidRPr="009F728D" w:rsidRDefault="004C2F09" w:rsidP="004C2F09">
      <w:r>
        <w:t>Om een uniforme toepassing van de verordening in alle lidstaten te waarborgen en voor meer rechtszekerheid te zorgen, wordt het echter passend geacht een aantal wijzigingen in de tekst aan te brengen, zowel om de voorwaarden die opschorting rechtvaardigen beter te onderbouwen als om een duidelijk en gecoördineerd mechanisme in te stellen om te bepalen wanneer een kandidaat-lidstaat niet langer als een veilig land van herkomst kan worden beschouwd of na een opschorting opnieuw die status kan krijgen. Daarom wordt geoordeeld dat de Commissie regelmatig objectieve beoordelingen van de relevante omstandigheden moet uitvoeren en de resultaten van die beoordelingen formeel aan de lidstaten moet meedelen. Deze kennisgeving moet openbaar worden gemaakt en moet vanaf een bepaalde datum in de hele Unie op uniforme wijze van kracht worden.</w:t>
      </w:r>
    </w:p>
    <w:p w14:paraId="321B8490" w14:textId="77777777" w:rsidR="004C2F09" w:rsidRPr="009F728D" w:rsidRDefault="004C2F09" w:rsidP="004C2F09"/>
    <w:p w14:paraId="64B947C6" w14:textId="77777777" w:rsidR="004C2F09" w:rsidRPr="009F728D" w:rsidRDefault="004C2F09" w:rsidP="004C2F09">
      <w:r>
        <w:t xml:space="preserve">Wij zijn het ook eens met de aanwijzing van de in de bijlage opgenomen landen, aangezien dit een concrete en noodzakelijke stap is in de richting van een echt gemeenschappelijk, coherent en functioneel Europees asielstelsel. Wij willen er nogmaals op wijzen dat elke </w:t>
      </w:r>
      <w:r>
        <w:lastRenderedPageBreak/>
        <w:t xml:space="preserve">aanwijzing berust op een grondige technische analyse door het EUAA, op basis van gekwalificeerde bronnen en objectieve criteria die zijn vastgelegd in Europese regelgeving. Elke aanwijzing is ook transparant en toegankelijk, aangezien zij op basis van de geldende regels en met toegang tot de bronnen ter beschikking wordt gesteld van de leden. </w:t>
      </w:r>
    </w:p>
    <w:p w14:paraId="3303715D" w14:textId="77777777" w:rsidR="004C2F09" w:rsidRPr="009F728D" w:rsidRDefault="004C2F09" w:rsidP="004C2F09">
      <w:r>
        <w:t>De betrokken landen werden beoordeeld op basis van hun vermogen om structureel de afwezigheid van vervolging en ernstige schade te waarborgen, alsook op basis van het bestaan van wettelijke en institutionele beschermingsmechanismen. Het vermoeden van veiligheid blijft echter voor het individu weerlegbaar, met inachtneming van het beginsel van individuele beoordeling en het recht op een doeltreffende voorziening in rechte.</w:t>
      </w:r>
    </w:p>
    <w:p w14:paraId="2620CEFC" w14:textId="77777777" w:rsidR="004C2F09" w:rsidRPr="009F728D" w:rsidRDefault="004C2F09" w:rsidP="004C2F09"/>
    <w:p w14:paraId="53B156FD" w14:textId="77777777" w:rsidR="004C2F09" w:rsidRPr="009F728D" w:rsidRDefault="004C2F09" w:rsidP="004C2F09">
      <w:r>
        <w:t>Benadrukt moet worden dat de aanwijzing als “veilig land van herkomst” alle ruimte laat voor de individuele beoordeling van aanvragen en het recht van elke verzoeker om zijn of haar kwetsbaarheid of persoonlijk risico aan te tonen, met inachtneming van de in de Europese wetgeving vastgelegde waarborgen.  Met andere woorden, het voorstel schrapt het beginsel van geïndividualiseerde beoordeling niet, maar integreert het in een efficiënter systeem, dat het risico op misbruik vermindert, waardoor de middelen kunnen worden geconcentreerd op de meest complexe en kwetsbare gevallen, die momenteel op paradoxale wijze worden bestraft. De toepassing van versnelde procedures houdt geen ontzegging van het recht op asiel in, maar is een rationalisering van het systeem, dat momenteel te kampen heeft met overbelasting en structurele vertraging.</w:t>
      </w:r>
    </w:p>
    <w:p w14:paraId="5562FFA6" w14:textId="77777777" w:rsidR="004C2F09" w:rsidRPr="009F728D" w:rsidRDefault="004C2F09" w:rsidP="004C2F09"/>
    <w:p w14:paraId="51F6780B" w14:textId="249BEBCF" w:rsidR="004C2F09" w:rsidRPr="009F728D" w:rsidRDefault="004C2F09" w:rsidP="004C2F09">
      <w:r>
        <w:t>Wij wijzen er ook op dat de Commissie het EUAA heeft verzocht zijn analyse toe te spitsen op een beperkt aantal landen, die geselecteerd zijn op basis van objectieve criteria, waaronder een erkenningspercentage van minder dan 5 %. Deze aanpak heeft het mogelijk gemaakt een operationele shortlist op te stellen, die nuttig is voor een snelle start van het proces. Het is echter duidelijk dat met deze lijst het potentieel voor de toepassing van het begrip “veilig land van herkomst” niet is uitgeput.</w:t>
      </w:r>
    </w:p>
    <w:p w14:paraId="776817AF" w14:textId="77777777" w:rsidR="004C2F09" w:rsidRPr="009F728D" w:rsidRDefault="004C2F09" w:rsidP="004C2F09">
      <w:r>
        <w:t>De lijst vormt een uitgangspunt en kan worden gewijzigd en uitgebreid, ook in het licht van andere elementen, waaronder aanwijzingen die reeds zijn uitgevoerd in het kader van de nationale lijsten van veel lidstaten.</w:t>
      </w:r>
    </w:p>
    <w:p w14:paraId="6F617EAC" w14:textId="77777777" w:rsidR="004C2F09" w:rsidRPr="009F728D" w:rsidRDefault="004C2F09" w:rsidP="004C2F09"/>
    <w:p w14:paraId="0A456E1F" w14:textId="77777777" w:rsidR="004C2F09" w:rsidRPr="009F728D" w:rsidRDefault="004C2F09" w:rsidP="004C2F09">
      <w:r>
        <w:t xml:space="preserve">Kortom, het voorstel past volledig in de strategische visie op de hervorming van het Europees asielstelsel, die tot doel heeft de inefficiëntie van het verleden te remediëren en een model te ontwikkelen op basis van duidelijke regels, samenwerking tussen de lidstaten, veiligheid en bescherming van de grondrechten. De spoedige vaststelling van de lijst van veilige landen van herkomst, samen met de andere elementen van het voorstel, is niet alleen een concrete stap in de richting van een geloofwaardiger en efficiënter systeem, maar ook een sterk politiek signaal: de Unie staat klaar om op te treden om uitdagingen op het gebied van migratie met gestrengheid, menselijkheid, doeltreffendheid en een vooruitziende blik aan te pakken. </w:t>
      </w:r>
    </w:p>
    <w:p w14:paraId="249E4274" w14:textId="0BF2EF95" w:rsidR="004C2F09" w:rsidRPr="009F728D" w:rsidRDefault="004C2F09" w:rsidP="004C2F09">
      <w:r>
        <w:t>Dit voorstel steunen is kiezen voor een Europa dat beter aansluit bij zijn waarden en dat veiliger en rechtvaardiger is.</w:t>
      </w:r>
    </w:p>
    <w:p w14:paraId="66680F8A" w14:textId="77777777" w:rsidR="004C2F09" w:rsidRPr="009F728D" w:rsidRDefault="004C2F09" w:rsidP="004C2F09">
      <w:r>
        <w:t xml:space="preserve">Er worden operationele oplossingen mee ingevoerd die het vertrouwen van de burgers en de samenwerking tussen de lidstaten versterken. </w:t>
      </w:r>
    </w:p>
    <w:p w14:paraId="41291233" w14:textId="77777777" w:rsidR="004C2F09" w:rsidRPr="009F728D" w:rsidRDefault="004C2F09" w:rsidP="004C2F09"/>
    <w:sectPr w:rsidR="004C2F09" w:rsidRPr="009F728D" w:rsidSect="00C26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22FB8" w14:textId="77777777" w:rsidR="00B02C1A" w:rsidRPr="00B21DF7" w:rsidRDefault="00B02C1A">
      <w:r w:rsidRPr="00B21DF7">
        <w:separator/>
      </w:r>
    </w:p>
  </w:endnote>
  <w:endnote w:type="continuationSeparator" w:id="0">
    <w:p w14:paraId="671F0C1A" w14:textId="77777777" w:rsidR="00B02C1A" w:rsidRPr="00B21DF7" w:rsidRDefault="00B02C1A">
      <w:r w:rsidRPr="00B21D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6F2E6" w14:textId="77777777" w:rsidR="00B21DF7" w:rsidRPr="00B21DF7" w:rsidRDefault="00B21DF7" w:rsidP="00B21DF7">
    <w:pPr>
      <w:pStyle w:val="EPFooter"/>
    </w:pPr>
    <w:r w:rsidRPr="00B21DF7">
      <w:t>PE</w:t>
    </w:r>
    <w:r w:rsidRPr="00B21DF7">
      <w:rPr>
        <w:rStyle w:val="HideTWBExt"/>
      </w:rPr>
      <w:t>&lt;NoPE&gt;</w:t>
    </w:r>
    <w:r w:rsidRPr="00B21DF7">
      <w:t>778.073</w:t>
    </w:r>
    <w:r w:rsidRPr="00B21DF7">
      <w:rPr>
        <w:rStyle w:val="HideTWBExt"/>
      </w:rPr>
      <w:t>&lt;/NoPE&gt;&lt;Version&gt;</w:t>
    </w:r>
    <w:r w:rsidRPr="00B21DF7">
      <w:t>v01-00</w:t>
    </w:r>
    <w:r w:rsidRPr="00B21DF7">
      <w:rPr>
        <w:rStyle w:val="HideTWBExt"/>
      </w:rPr>
      <w:t>&lt;/Version&gt;</w:t>
    </w:r>
    <w:r w:rsidRPr="00B21DF7">
      <w:tab/>
    </w:r>
    <w:r w:rsidRPr="00B21DF7">
      <w:fldChar w:fldCharType="begin"/>
    </w:r>
    <w:r w:rsidRPr="00B21DF7">
      <w:instrText xml:space="preserve"> PAGE  \* MERGEFORMAT </w:instrText>
    </w:r>
    <w:r w:rsidRPr="00B21DF7">
      <w:fldChar w:fldCharType="separate"/>
    </w:r>
    <w:r w:rsidRPr="00B21DF7">
      <w:rPr>
        <w:noProof/>
      </w:rPr>
      <w:t>2</w:t>
    </w:r>
    <w:r w:rsidRPr="00B21DF7">
      <w:fldChar w:fldCharType="end"/>
    </w:r>
    <w:r w:rsidRPr="00B21DF7">
      <w:t>/</w:t>
    </w:r>
    <w:fldSimple w:instr=" NUMPAGES  \* MERGEFORMAT ">
      <w:r w:rsidRPr="00B21DF7">
        <w:rPr>
          <w:noProof/>
        </w:rPr>
        <w:t>16</w:t>
      </w:r>
    </w:fldSimple>
    <w:r w:rsidRPr="00B21DF7">
      <w:tab/>
    </w:r>
    <w:r w:rsidRPr="00B21DF7">
      <w:rPr>
        <w:rStyle w:val="HideTWBExt"/>
      </w:rPr>
      <w:t>&lt;PathFdR&gt;</w:t>
    </w:r>
    <w:r w:rsidRPr="00B21DF7">
      <w:t>PR\1328529NL.docx</w:t>
    </w:r>
    <w:r w:rsidRPr="00B21DF7">
      <w:rPr>
        <w:rStyle w:val="HideTWBExt"/>
      </w:rPr>
      <w:t>&lt;/PathFdR&gt;</w:t>
    </w:r>
  </w:p>
  <w:p w14:paraId="2FB487E4" w14:textId="40DF3A73" w:rsidR="00FB52FE" w:rsidRPr="00B21DF7" w:rsidRDefault="00B21DF7" w:rsidP="00B21DF7">
    <w:pPr>
      <w:pStyle w:val="EPFooter2"/>
    </w:pPr>
    <w:r w:rsidRPr="00B21DF7">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6825" w14:textId="77777777" w:rsidR="00B21DF7" w:rsidRPr="00B21DF7" w:rsidRDefault="00B21DF7" w:rsidP="00B21DF7">
    <w:pPr>
      <w:pStyle w:val="EPFooter"/>
    </w:pPr>
    <w:r w:rsidRPr="00B21DF7">
      <w:rPr>
        <w:rStyle w:val="HideTWBExt"/>
      </w:rPr>
      <w:t>&lt;PathFdR&gt;</w:t>
    </w:r>
    <w:r w:rsidRPr="00B21DF7">
      <w:t>PR\1328529NL.docx</w:t>
    </w:r>
    <w:r w:rsidRPr="00B21DF7">
      <w:rPr>
        <w:rStyle w:val="HideTWBExt"/>
      </w:rPr>
      <w:t>&lt;/PathFdR&gt;</w:t>
    </w:r>
    <w:r w:rsidRPr="00B21DF7">
      <w:tab/>
    </w:r>
    <w:r w:rsidRPr="00B21DF7">
      <w:fldChar w:fldCharType="begin"/>
    </w:r>
    <w:r w:rsidRPr="00B21DF7">
      <w:instrText xml:space="preserve"> PAGE  \* MERGEFORMAT </w:instrText>
    </w:r>
    <w:r w:rsidRPr="00B21DF7">
      <w:fldChar w:fldCharType="separate"/>
    </w:r>
    <w:r w:rsidRPr="00B21DF7">
      <w:rPr>
        <w:noProof/>
      </w:rPr>
      <w:t>15</w:t>
    </w:r>
    <w:r w:rsidRPr="00B21DF7">
      <w:fldChar w:fldCharType="end"/>
    </w:r>
    <w:r w:rsidRPr="00B21DF7">
      <w:t>/</w:t>
    </w:r>
    <w:fldSimple w:instr=" NUMPAGES  \* MERGEFORMAT ">
      <w:r w:rsidRPr="00B21DF7">
        <w:rPr>
          <w:noProof/>
        </w:rPr>
        <w:t>16</w:t>
      </w:r>
    </w:fldSimple>
    <w:r w:rsidRPr="00B21DF7">
      <w:tab/>
      <w:t>PE</w:t>
    </w:r>
    <w:r w:rsidRPr="00B21DF7">
      <w:rPr>
        <w:rStyle w:val="HideTWBExt"/>
      </w:rPr>
      <w:t>&lt;NoPE&gt;</w:t>
    </w:r>
    <w:r w:rsidRPr="00B21DF7">
      <w:t>778.073</w:t>
    </w:r>
    <w:r w:rsidRPr="00B21DF7">
      <w:rPr>
        <w:rStyle w:val="HideTWBExt"/>
      </w:rPr>
      <w:t>&lt;/NoPE&gt;&lt;Version&gt;</w:t>
    </w:r>
    <w:r w:rsidRPr="00B21DF7">
      <w:t>v01-00</w:t>
    </w:r>
    <w:r w:rsidRPr="00B21DF7">
      <w:rPr>
        <w:rStyle w:val="HideTWBExt"/>
      </w:rPr>
      <w:t>&lt;/Version&gt;</w:t>
    </w:r>
  </w:p>
  <w:p w14:paraId="5625B637" w14:textId="6F71EAC1" w:rsidR="00FB52FE" w:rsidRPr="00B21DF7" w:rsidRDefault="00B21DF7" w:rsidP="00B21DF7">
    <w:pPr>
      <w:pStyle w:val="EPFooter2"/>
    </w:pPr>
    <w:r w:rsidRPr="00B21DF7">
      <w:tab/>
    </w:r>
    <w:r w:rsidRPr="00B21DF7">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D473F" w14:textId="77777777" w:rsidR="00B21DF7" w:rsidRPr="00B21DF7" w:rsidRDefault="00B21DF7" w:rsidP="00B21DF7">
    <w:pPr>
      <w:pStyle w:val="EPFooter"/>
    </w:pPr>
    <w:r w:rsidRPr="00B21DF7">
      <w:rPr>
        <w:rStyle w:val="HideTWBExt"/>
      </w:rPr>
      <w:t>&lt;PathFdR&gt;</w:t>
    </w:r>
    <w:r w:rsidRPr="00B21DF7">
      <w:t>PR\1328529NL.docx</w:t>
    </w:r>
    <w:r w:rsidRPr="00B21DF7">
      <w:rPr>
        <w:rStyle w:val="HideTWBExt"/>
      </w:rPr>
      <w:t>&lt;/PathFdR&gt;</w:t>
    </w:r>
    <w:r w:rsidRPr="00B21DF7">
      <w:tab/>
    </w:r>
    <w:r w:rsidRPr="00B21DF7">
      <w:tab/>
      <w:t>PE</w:t>
    </w:r>
    <w:r w:rsidRPr="00B21DF7">
      <w:rPr>
        <w:rStyle w:val="HideTWBExt"/>
      </w:rPr>
      <w:t>&lt;NoPE&gt;</w:t>
    </w:r>
    <w:r w:rsidRPr="00B21DF7">
      <w:t>778.073</w:t>
    </w:r>
    <w:r w:rsidRPr="00B21DF7">
      <w:rPr>
        <w:rStyle w:val="HideTWBExt"/>
      </w:rPr>
      <w:t>&lt;/NoPE&gt;&lt;Version&gt;</w:t>
    </w:r>
    <w:r w:rsidRPr="00B21DF7">
      <w:t>v01-00</w:t>
    </w:r>
    <w:r w:rsidRPr="00B21DF7">
      <w:rPr>
        <w:rStyle w:val="HideTWBExt"/>
      </w:rPr>
      <w:t>&lt;/Version&gt;</w:t>
    </w:r>
  </w:p>
  <w:p w14:paraId="2CBD237E" w14:textId="5B2480EE" w:rsidR="00FB52FE" w:rsidRPr="00B21DF7" w:rsidRDefault="00B21DF7" w:rsidP="00B21DF7">
    <w:pPr>
      <w:pStyle w:val="EPFooter2"/>
    </w:pPr>
    <w:r w:rsidRPr="00B21DF7">
      <w:t>NL</w:t>
    </w:r>
    <w:r w:rsidRPr="00B21DF7">
      <w:tab/>
    </w:r>
    <w:r w:rsidRPr="00B21DF7">
      <w:rPr>
        <w:b w:val="0"/>
        <w:i/>
        <w:color w:val="C0C0C0"/>
        <w:sz w:val="22"/>
      </w:rPr>
      <w:t>In verscheidenheid verenigd</w:t>
    </w:r>
    <w:r w:rsidRPr="00B21DF7">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D0FA8" w14:textId="77777777" w:rsidR="00B02C1A" w:rsidRPr="00B21DF7" w:rsidRDefault="00B02C1A">
      <w:r w:rsidRPr="00B21DF7">
        <w:separator/>
      </w:r>
    </w:p>
  </w:footnote>
  <w:footnote w:type="continuationSeparator" w:id="0">
    <w:p w14:paraId="3471A09D" w14:textId="77777777" w:rsidR="00B02C1A" w:rsidRPr="00B21DF7" w:rsidRDefault="00B02C1A">
      <w:r w:rsidRPr="00B21D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A0734" w14:textId="77777777" w:rsidR="004C2F09" w:rsidRDefault="004C2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DD1A" w14:textId="77777777" w:rsidR="004C2F09" w:rsidRDefault="004C2F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7541" w14:textId="77777777" w:rsidR="004C2F09" w:rsidRDefault="004C2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EN"/>
    <w:docVar w:name="TXTLANGUEMIN" w:val="en"/>
    <w:docVar w:name="TXTNRC" w:val="0069/2025"/>
    <w:docVar w:name="TXTNRCOD" w:val="2025/0101"/>
    <w:docVar w:name="TXTNRCOM" w:val="(2025)0186"/>
    <w:docVar w:name="TXTNRFIRSTAM" w:val="1"/>
    <w:docVar w:name="TXTNRLASTAM" w:val="3"/>
    <w:docVar w:name="TXTNRPE" w:val="778.073"/>
    <w:docVar w:name="TXTPEorAP" w:val="PE"/>
    <w:docVar w:name="TXTROUTE" w:val="PR\1328529XM.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643BC"/>
    <w:rsid w:val="00084DD2"/>
    <w:rsid w:val="00084E89"/>
    <w:rsid w:val="000B62B6"/>
    <w:rsid w:val="000B7489"/>
    <w:rsid w:val="000F1096"/>
    <w:rsid w:val="0011495B"/>
    <w:rsid w:val="00120948"/>
    <w:rsid w:val="00123DD5"/>
    <w:rsid w:val="001277AE"/>
    <w:rsid w:val="00142215"/>
    <w:rsid w:val="001767E2"/>
    <w:rsid w:val="00187008"/>
    <w:rsid w:val="001B3829"/>
    <w:rsid w:val="001C5592"/>
    <w:rsid w:val="001C5B44"/>
    <w:rsid w:val="001C6FFC"/>
    <w:rsid w:val="001E44F2"/>
    <w:rsid w:val="001F7C7C"/>
    <w:rsid w:val="00212B84"/>
    <w:rsid w:val="002346B0"/>
    <w:rsid w:val="002667C3"/>
    <w:rsid w:val="002669B6"/>
    <w:rsid w:val="00290BED"/>
    <w:rsid w:val="002D13EE"/>
    <w:rsid w:val="002E33EE"/>
    <w:rsid w:val="002F40BB"/>
    <w:rsid w:val="002F4B02"/>
    <w:rsid w:val="00305CD9"/>
    <w:rsid w:val="00323EF8"/>
    <w:rsid w:val="003316DD"/>
    <w:rsid w:val="00347342"/>
    <w:rsid w:val="003506ED"/>
    <w:rsid w:val="00366A46"/>
    <w:rsid w:val="00370A8D"/>
    <w:rsid w:val="00370AC3"/>
    <w:rsid w:val="003824EE"/>
    <w:rsid w:val="00392073"/>
    <w:rsid w:val="003B4689"/>
    <w:rsid w:val="003C2068"/>
    <w:rsid w:val="003C37CF"/>
    <w:rsid w:val="004100B1"/>
    <w:rsid w:val="00426E47"/>
    <w:rsid w:val="00455743"/>
    <w:rsid w:val="00461601"/>
    <w:rsid w:val="004C0915"/>
    <w:rsid w:val="004C2F09"/>
    <w:rsid w:val="004D424E"/>
    <w:rsid w:val="004E42C8"/>
    <w:rsid w:val="004E733D"/>
    <w:rsid w:val="004F3FA5"/>
    <w:rsid w:val="0051271F"/>
    <w:rsid w:val="00521F46"/>
    <w:rsid w:val="00551111"/>
    <w:rsid w:val="00551123"/>
    <w:rsid w:val="00570A6A"/>
    <w:rsid w:val="0058429A"/>
    <w:rsid w:val="00586E50"/>
    <w:rsid w:val="0059583D"/>
    <w:rsid w:val="005A42D9"/>
    <w:rsid w:val="005C2BEF"/>
    <w:rsid w:val="005D1A99"/>
    <w:rsid w:val="005D7609"/>
    <w:rsid w:val="005D7EE8"/>
    <w:rsid w:val="00642325"/>
    <w:rsid w:val="0069092A"/>
    <w:rsid w:val="006A2F5D"/>
    <w:rsid w:val="006A7911"/>
    <w:rsid w:val="006B28A1"/>
    <w:rsid w:val="006D39AF"/>
    <w:rsid w:val="006F7907"/>
    <w:rsid w:val="00703166"/>
    <w:rsid w:val="00743189"/>
    <w:rsid w:val="00743D33"/>
    <w:rsid w:val="00753BED"/>
    <w:rsid w:val="00760AE6"/>
    <w:rsid w:val="007932B3"/>
    <w:rsid w:val="00793EA9"/>
    <w:rsid w:val="007C736F"/>
    <w:rsid w:val="007D6F68"/>
    <w:rsid w:val="007E0987"/>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60EE7"/>
    <w:rsid w:val="00A910C9"/>
    <w:rsid w:val="00A93B35"/>
    <w:rsid w:val="00AA35B0"/>
    <w:rsid w:val="00AD18C8"/>
    <w:rsid w:val="00AD7FA6"/>
    <w:rsid w:val="00AE4643"/>
    <w:rsid w:val="00AF0416"/>
    <w:rsid w:val="00B02C1A"/>
    <w:rsid w:val="00B10CB4"/>
    <w:rsid w:val="00B13D6F"/>
    <w:rsid w:val="00B21DF7"/>
    <w:rsid w:val="00B23B72"/>
    <w:rsid w:val="00B36AF0"/>
    <w:rsid w:val="00B40F20"/>
    <w:rsid w:val="00B42702"/>
    <w:rsid w:val="00B54EAF"/>
    <w:rsid w:val="00B57B8B"/>
    <w:rsid w:val="00B85407"/>
    <w:rsid w:val="00B95702"/>
    <w:rsid w:val="00BC6489"/>
    <w:rsid w:val="00BD480C"/>
    <w:rsid w:val="00C20954"/>
    <w:rsid w:val="00C23324"/>
    <w:rsid w:val="00C2361A"/>
    <w:rsid w:val="00C2607D"/>
    <w:rsid w:val="00C42A41"/>
    <w:rsid w:val="00C47E74"/>
    <w:rsid w:val="00C57A72"/>
    <w:rsid w:val="00C73602"/>
    <w:rsid w:val="00C85D0F"/>
    <w:rsid w:val="00CA5C55"/>
    <w:rsid w:val="00CF60C8"/>
    <w:rsid w:val="00D1149C"/>
    <w:rsid w:val="00D30DE2"/>
    <w:rsid w:val="00D32924"/>
    <w:rsid w:val="00D503A3"/>
    <w:rsid w:val="00D93766"/>
    <w:rsid w:val="00DA6ED0"/>
    <w:rsid w:val="00DC5011"/>
    <w:rsid w:val="00E105F4"/>
    <w:rsid w:val="00E171B6"/>
    <w:rsid w:val="00E72695"/>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ABD45"/>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nl-NL"/>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4724</Words>
  <Characters>26788</Characters>
  <Application>Microsoft Office Word</Application>
  <DocSecurity>0</DocSecurity>
  <Lines>744</Lines>
  <Paragraphs>208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HOOGLAND Yvonne</cp:lastModifiedBy>
  <cp:revision>2</cp:revision>
  <cp:lastPrinted>2004-11-04T09:41:00Z</cp:lastPrinted>
  <dcterms:created xsi:type="dcterms:W3CDTF">2025-10-10T07:44:00Z</dcterms:created>
  <dcterms:modified xsi:type="dcterms:W3CDTF">2025-10-10T07:44:00Z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PR\1328529NL.docx</vt:lpwstr>
  </property>
  <property fmtid="{D5CDD505-2E9C-101B-9397-08002B2CF9AE}" pid="10" name="LastEdited with">
    <vt:lpwstr>10.1.2 Build [20250817]</vt:lpwstr>
  </property>
  <property fmtid="{D5CDD505-2E9C-101B-9397-08002B2CF9AE}" pid="11" name="PE number">
    <vt:lpwstr>778.073</vt:lpwstr>
  </property>
  <property fmtid="{D5CDD505-2E9C-101B-9397-08002B2CF9AE}" pid="12" name="SDLStudio">
    <vt:lpwstr/>
  </property>
  <property fmtid="{D5CDD505-2E9C-101B-9397-08002B2CF9AE}" pid="13" name="SendToEpades">
    <vt:lpwstr>OK - 2025/09/26 13:19</vt:lpwstr>
  </property>
  <property fmtid="{D5CDD505-2E9C-101B-9397-08002B2CF9AE}" pid="14" name="Bookout">
    <vt:lpwstr>OK - 2025/10/10 09:44</vt:lpwstr>
  </property>
</Properties>
</file>