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C0EEE" w:rsidRPr="001343C2" w14:paraId="4834A717" w14:textId="77777777" w:rsidTr="00C85D0F">
        <w:trPr>
          <w:trHeight w:hRule="exact" w:val="1418"/>
        </w:trPr>
        <w:tc>
          <w:tcPr>
            <w:tcW w:w="6804" w:type="dxa"/>
            <w:shd w:val="clear" w:color="auto" w:fill="auto"/>
            <w:vAlign w:val="center"/>
          </w:tcPr>
          <w:p w14:paraId="1140C28E" w14:textId="77777777" w:rsidR="00B13D6F" w:rsidRPr="001343C2" w:rsidRDefault="007F0056" w:rsidP="00C85D0F">
            <w:pPr>
              <w:pStyle w:val="EPName"/>
            </w:pPr>
            <w:r w:rsidRPr="001343C2">
              <w:t>Europaparlamentet</w:t>
            </w:r>
          </w:p>
          <w:p w14:paraId="7C747608" w14:textId="77777777" w:rsidR="00B13D6F" w:rsidRPr="001343C2" w:rsidRDefault="007F0056" w:rsidP="00C85D0F">
            <w:pPr>
              <w:pStyle w:val="EPTerm"/>
            </w:pPr>
            <w:r w:rsidRPr="001343C2">
              <w:t>2024-2029</w:t>
            </w:r>
          </w:p>
        </w:tc>
        <w:tc>
          <w:tcPr>
            <w:tcW w:w="2268" w:type="dxa"/>
            <w:shd w:val="clear" w:color="auto" w:fill="auto"/>
          </w:tcPr>
          <w:p w14:paraId="1AE116CE" w14:textId="77777777" w:rsidR="00B13D6F" w:rsidRPr="001343C2" w:rsidRDefault="007F0056" w:rsidP="00C85D0F">
            <w:pPr>
              <w:pStyle w:val="EPLogo"/>
            </w:pPr>
            <w:r w:rsidRPr="001343C2">
              <w:rPr>
                <w:noProof/>
                <w:lang w:eastAsia="ja-JP"/>
              </w:rPr>
              <w:drawing>
                <wp:inline distT="0" distB="0" distL="0" distR="0" wp14:anchorId="155D6DDA" wp14:editId="3C4BFF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6FAF76C" w14:textId="77777777" w:rsidR="00461601" w:rsidRPr="001343C2" w:rsidRDefault="00461601" w:rsidP="00461601">
      <w:pPr>
        <w:pStyle w:val="LineTop"/>
      </w:pPr>
    </w:p>
    <w:p w14:paraId="04F2AA74" w14:textId="77777777" w:rsidR="00461601" w:rsidRPr="001343C2" w:rsidRDefault="007F0056" w:rsidP="00461601">
      <w:pPr>
        <w:pStyle w:val="EPBody"/>
      </w:pPr>
      <w:r w:rsidRPr="00DE1D77">
        <w:rPr>
          <w:rStyle w:val="HideTWBExt"/>
          <w:i w:val="0"/>
          <w:szCs w:val="20"/>
        </w:rPr>
        <w:t>&lt;Commission&gt;</w:t>
      </w:r>
      <w:r w:rsidRPr="00DE1D77">
        <w:rPr>
          <w:rStyle w:val="HideTWBInt"/>
          <w:i w:val="0"/>
          <w:szCs w:val="20"/>
        </w:rPr>
        <w:t>{LIBE}</w:t>
      </w:r>
      <w:r w:rsidRPr="001343C2">
        <w:t>Utskottet för medborgerliga fri- och rättigheter samt rättsliga och inrikes frågor</w:t>
      </w:r>
      <w:r w:rsidRPr="00DE1D77">
        <w:rPr>
          <w:rStyle w:val="HideTWBExt"/>
          <w:i w:val="0"/>
          <w:szCs w:val="20"/>
        </w:rPr>
        <w:t>&lt;/Commission&gt;</w:t>
      </w:r>
    </w:p>
    <w:p w14:paraId="6C81CACD" w14:textId="77777777" w:rsidR="00461601" w:rsidRPr="001343C2" w:rsidRDefault="00461601" w:rsidP="00461601">
      <w:pPr>
        <w:pStyle w:val="LineBottom"/>
      </w:pPr>
    </w:p>
    <w:p w14:paraId="4A4E102F" w14:textId="77777777" w:rsidR="00793EA9" w:rsidRPr="001343C2" w:rsidRDefault="007F0056">
      <w:pPr>
        <w:pStyle w:val="CoverReference"/>
      </w:pPr>
      <w:r w:rsidRPr="00DE1D77">
        <w:rPr>
          <w:rStyle w:val="HideTWBExt"/>
          <w:b w:val="0"/>
        </w:rPr>
        <w:t>&lt;RefProc&gt;</w:t>
      </w:r>
      <w:r w:rsidRPr="001343C2">
        <w:t>2025/0101</w:t>
      </w:r>
      <w:r w:rsidRPr="00DE1D77">
        <w:rPr>
          <w:rStyle w:val="HideTWBExt"/>
          <w:b w:val="0"/>
        </w:rPr>
        <w:t>&lt;/RefProc&gt;&lt;RefTypeProc&gt;</w:t>
      </w:r>
      <w:r w:rsidRPr="001343C2">
        <w:t>(COD)</w:t>
      </w:r>
      <w:r w:rsidRPr="00DE1D77">
        <w:rPr>
          <w:rStyle w:val="HideTWBExt"/>
          <w:b w:val="0"/>
        </w:rPr>
        <w:t>&lt;/RefTypeProc&gt;</w:t>
      </w:r>
    </w:p>
    <w:p w14:paraId="2FCFC2B4" w14:textId="77777777" w:rsidR="00793EA9" w:rsidRPr="001343C2" w:rsidRDefault="007F0056">
      <w:pPr>
        <w:pStyle w:val="CoverDate"/>
      </w:pPr>
      <w:r w:rsidRPr="00DE1D77">
        <w:rPr>
          <w:rStyle w:val="HideTWBExt"/>
        </w:rPr>
        <w:t>&lt;Date&gt;</w:t>
      </w:r>
      <w:r w:rsidRPr="00DE1D77">
        <w:rPr>
          <w:rStyle w:val="HideTWBInt"/>
        </w:rPr>
        <w:t>{26/09/2025}</w:t>
      </w:r>
      <w:r w:rsidRPr="001343C2">
        <w:t>26.9.2025</w:t>
      </w:r>
      <w:r w:rsidRPr="00DE1D77">
        <w:rPr>
          <w:rStyle w:val="HideTWBExt"/>
        </w:rPr>
        <w:t>&lt;/Date&gt;</w:t>
      </w:r>
    </w:p>
    <w:p w14:paraId="506D2EE2" w14:textId="77777777" w:rsidR="00793EA9" w:rsidRPr="001343C2" w:rsidRDefault="007F0056">
      <w:pPr>
        <w:pStyle w:val="CoverDocType"/>
      </w:pPr>
      <w:r w:rsidRPr="00DE1D77">
        <w:rPr>
          <w:rStyle w:val="HideTWBExt"/>
          <w:b w:val="0"/>
        </w:rPr>
        <w:t>&lt;RefProcLect&gt;</w:t>
      </w:r>
      <w:r w:rsidRPr="001343C2">
        <w:t>***I</w:t>
      </w:r>
      <w:r w:rsidRPr="00DE1D77">
        <w:rPr>
          <w:rStyle w:val="HideTWBExt"/>
          <w:b w:val="0"/>
        </w:rPr>
        <w:t>&lt;/RefProcLect&gt;</w:t>
      </w:r>
    </w:p>
    <w:p w14:paraId="07AC767C" w14:textId="77777777" w:rsidR="00793EA9" w:rsidRPr="001343C2" w:rsidRDefault="007F0056">
      <w:pPr>
        <w:pStyle w:val="CoverDocType24a"/>
      </w:pPr>
      <w:r w:rsidRPr="00DE1D77">
        <w:rPr>
          <w:rStyle w:val="HideTWBExt"/>
          <w:b w:val="0"/>
        </w:rPr>
        <w:t>&lt;TitreType&gt;</w:t>
      </w:r>
      <w:r w:rsidRPr="001343C2">
        <w:t>FÖRSLAG TILL BETÄNKANDE</w:t>
      </w:r>
      <w:r w:rsidRPr="00DE1D77">
        <w:rPr>
          <w:rStyle w:val="HideTWBExt"/>
          <w:b w:val="0"/>
        </w:rPr>
        <w:t>&lt;/TitreType&gt;</w:t>
      </w:r>
    </w:p>
    <w:p w14:paraId="7E4A397A" w14:textId="77777777" w:rsidR="00793EA9" w:rsidRPr="001343C2" w:rsidRDefault="007F0056">
      <w:pPr>
        <w:pStyle w:val="CoverNormal"/>
      </w:pPr>
      <w:r w:rsidRPr="00DE1D77">
        <w:rPr>
          <w:rStyle w:val="HideTWBExt"/>
        </w:rPr>
        <w:t>&lt;Titre&gt;</w:t>
      </w:r>
      <w:r w:rsidRPr="001343C2">
        <w:t>om förslaget till Europaparlamentets och rådets förordning om ändring av förordning (EU) 2024/1348 vad gäller upprättande av en förteckning över säkra ursprungsländer på unionsnivå</w:t>
      </w:r>
      <w:r w:rsidRPr="00DE1D77">
        <w:rPr>
          <w:rStyle w:val="HideTWBExt"/>
        </w:rPr>
        <w:t>&lt;/Titre&gt;</w:t>
      </w:r>
    </w:p>
    <w:p w14:paraId="008BF3A3" w14:textId="77777777" w:rsidR="00793EA9" w:rsidRPr="001343C2" w:rsidRDefault="007F0056">
      <w:pPr>
        <w:pStyle w:val="CoverNormal24a"/>
      </w:pPr>
      <w:r w:rsidRPr="00DE1D77">
        <w:rPr>
          <w:rStyle w:val="HideTWBExt"/>
        </w:rPr>
        <w:t>&lt;DocRef&gt;</w:t>
      </w:r>
      <w:r w:rsidRPr="001343C2">
        <w:t>(COM(2025)0186 – C10</w:t>
      </w:r>
      <w:r w:rsidRPr="001343C2">
        <w:noBreakHyphen/>
        <w:t>0069/2025 – 2025/0101(COD))</w:t>
      </w:r>
      <w:r w:rsidRPr="00DE1D77">
        <w:rPr>
          <w:rStyle w:val="HideTWBExt"/>
        </w:rPr>
        <w:t>&lt;/DocRef&gt;</w:t>
      </w:r>
    </w:p>
    <w:p w14:paraId="140E6080" w14:textId="77777777" w:rsidR="00793EA9" w:rsidRPr="001343C2" w:rsidRDefault="007F0056">
      <w:pPr>
        <w:pStyle w:val="CoverNormal24a"/>
      </w:pPr>
      <w:r w:rsidRPr="00DE1D77">
        <w:rPr>
          <w:rStyle w:val="HideTWBExt"/>
        </w:rPr>
        <w:t>&lt;Commission&gt;</w:t>
      </w:r>
      <w:r w:rsidRPr="00DE1D77">
        <w:rPr>
          <w:rStyle w:val="HideTWBInt"/>
        </w:rPr>
        <w:t>{LIBE}</w:t>
      </w:r>
      <w:r w:rsidRPr="001343C2">
        <w:t>Utskottet för medborgerliga fri- och rättigheter samt rättsliga och inrikes frågor</w:t>
      </w:r>
      <w:r w:rsidRPr="00DE1D77">
        <w:rPr>
          <w:rStyle w:val="HideTWBExt"/>
        </w:rPr>
        <w:t>&lt;/Commission&gt;</w:t>
      </w:r>
    </w:p>
    <w:p w14:paraId="0698CF65" w14:textId="77777777" w:rsidR="00793EA9" w:rsidRPr="001343C2" w:rsidRDefault="007F0056">
      <w:pPr>
        <w:pStyle w:val="CoverNormal24a"/>
      </w:pPr>
      <w:r w:rsidRPr="001343C2">
        <w:t xml:space="preserve">Föredragande av yttrande: </w:t>
      </w:r>
      <w:r w:rsidRPr="00DE1D77">
        <w:rPr>
          <w:rStyle w:val="HideTWBExt"/>
        </w:rPr>
        <w:t>&lt;Depute&gt;</w:t>
      </w:r>
      <w:r w:rsidRPr="001343C2">
        <w:t>Alessandro Ciriani</w:t>
      </w:r>
      <w:r w:rsidRPr="00DE1D77">
        <w:rPr>
          <w:rStyle w:val="HideTWBExt"/>
        </w:rPr>
        <w:t>&lt;/Depute&gt;</w:t>
      </w:r>
    </w:p>
    <w:p w14:paraId="2F58F9D8" w14:textId="77777777" w:rsidR="001C5B44" w:rsidRPr="001343C2" w:rsidRDefault="001C5B44" w:rsidP="001C5B44">
      <w:pPr>
        <w:pStyle w:val="CoverNormal"/>
      </w:pPr>
    </w:p>
    <w:p w14:paraId="0375B2BE" w14:textId="36C36427" w:rsidR="0058429A" w:rsidRPr="001343C2" w:rsidRDefault="007F0056" w:rsidP="00894923">
      <w:r w:rsidRPr="001343C2">
        <w:br w:type="page"/>
      </w:r>
      <w:r w:rsidR="002F5E30" w:rsidRPr="001343C2">
        <w:lastRenderedPageBreak/>
        <w:fldChar w:fldCharType="begin"/>
      </w:r>
      <w:r w:rsidRPr="001343C2">
        <w:instrText xml:space="preserve"> TITLE  \* MERGEFORMAT </w:instrText>
      </w:r>
      <w:r w:rsidR="002F5E30" w:rsidRPr="001343C2">
        <w:fldChar w:fldCharType="separate"/>
      </w:r>
      <w:r w:rsidR="00DE1D77">
        <w:t>PR_COD_1amCom</w:t>
      </w:r>
      <w:r w:rsidR="002F5E30" w:rsidRPr="001343C2">
        <w:fldChar w:fldCharType="end"/>
      </w:r>
    </w:p>
    <w:p w14:paraId="5556E7FE" w14:textId="77777777" w:rsidR="0058429A" w:rsidRPr="001343C2" w:rsidRDefault="0058429A" w:rsidP="00894923"/>
    <w:p w14:paraId="020EEFFA" w14:textId="77777777" w:rsidR="0058429A" w:rsidRPr="001343C2"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C0EEE" w:rsidRPr="001343C2" w14:paraId="660D2383" w14:textId="77777777">
        <w:tc>
          <w:tcPr>
            <w:tcW w:w="5811" w:type="dxa"/>
          </w:tcPr>
          <w:p w14:paraId="12190CCF" w14:textId="77777777" w:rsidR="0058429A" w:rsidRPr="001343C2" w:rsidRDefault="007F0056" w:rsidP="00894923">
            <w:pPr>
              <w:pStyle w:val="Lgendetitre"/>
            </w:pPr>
            <w:r w:rsidRPr="001343C2">
              <w:t>Teckenförklaring</w:t>
            </w:r>
          </w:p>
        </w:tc>
      </w:tr>
      <w:tr w:rsidR="001C0EEE" w:rsidRPr="001343C2" w14:paraId="27AB2F7E" w14:textId="77777777" w:rsidTr="007452CB">
        <w:trPr>
          <w:cantSplit/>
          <w:trHeight w:val="1807"/>
        </w:trPr>
        <w:tc>
          <w:tcPr>
            <w:tcW w:w="5811" w:type="dxa"/>
            <w:tcBorders>
              <w:bottom w:val="single" w:sz="4" w:space="0" w:color="auto"/>
            </w:tcBorders>
          </w:tcPr>
          <w:p w14:paraId="21183FEB" w14:textId="77777777" w:rsidR="0058429A" w:rsidRPr="001343C2" w:rsidRDefault="007F0056" w:rsidP="003506ED">
            <w:pPr>
              <w:pStyle w:val="Lgendesigne"/>
            </w:pPr>
            <w:r w:rsidRPr="001343C2">
              <w:tab/>
              <w:t>*</w:t>
            </w:r>
            <w:r w:rsidRPr="001343C2">
              <w:tab/>
              <w:t>Samrådsförfarande</w:t>
            </w:r>
          </w:p>
          <w:p w14:paraId="3A58E05B" w14:textId="77777777" w:rsidR="0058429A" w:rsidRPr="001343C2" w:rsidRDefault="007F0056" w:rsidP="003506ED">
            <w:pPr>
              <w:pStyle w:val="Lgendesigne"/>
            </w:pPr>
            <w:r w:rsidRPr="001343C2">
              <w:tab/>
              <w:t>***</w:t>
            </w:r>
            <w:r w:rsidRPr="001343C2">
              <w:tab/>
              <w:t>Godkännandeförfarande</w:t>
            </w:r>
          </w:p>
          <w:p w14:paraId="7EA3CF8F" w14:textId="77777777" w:rsidR="0058429A" w:rsidRPr="001343C2" w:rsidRDefault="007F0056" w:rsidP="003506ED">
            <w:pPr>
              <w:pStyle w:val="Lgendesigne"/>
            </w:pPr>
            <w:r w:rsidRPr="001343C2">
              <w:tab/>
              <w:t>***I</w:t>
            </w:r>
            <w:r w:rsidRPr="001343C2">
              <w:tab/>
              <w:t>Ordinarie lagstiftningsförfarande (första behandlingen)</w:t>
            </w:r>
          </w:p>
          <w:p w14:paraId="6D5E8C3E" w14:textId="77777777" w:rsidR="0058429A" w:rsidRPr="001343C2" w:rsidRDefault="007F0056" w:rsidP="003506ED">
            <w:pPr>
              <w:pStyle w:val="Lgendesigne"/>
            </w:pPr>
            <w:r w:rsidRPr="001343C2">
              <w:tab/>
              <w:t>***II</w:t>
            </w:r>
            <w:r w:rsidRPr="001343C2">
              <w:tab/>
              <w:t>Ordinarie lagstiftningsförfarande (andra behandlingen)</w:t>
            </w:r>
          </w:p>
          <w:p w14:paraId="5F372AEC" w14:textId="77777777" w:rsidR="0058429A" w:rsidRPr="001343C2" w:rsidRDefault="007F0056" w:rsidP="003506ED">
            <w:pPr>
              <w:pStyle w:val="Lgendesigne"/>
            </w:pPr>
            <w:r w:rsidRPr="001343C2">
              <w:tab/>
              <w:t>***III</w:t>
            </w:r>
            <w:r w:rsidRPr="001343C2">
              <w:tab/>
              <w:t>Ordinarie lagstiftningsförfarande (tredje behandlingen)</w:t>
            </w:r>
          </w:p>
          <w:p w14:paraId="62767813" w14:textId="77777777" w:rsidR="0058429A" w:rsidRPr="001343C2" w:rsidRDefault="0058429A" w:rsidP="003506ED">
            <w:pPr>
              <w:pStyle w:val="Lgendestandard"/>
            </w:pPr>
          </w:p>
          <w:p w14:paraId="75E950A8" w14:textId="77777777" w:rsidR="0058429A" w:rsidRPr="001343C2" w:rsidRDefault="007F0056" w:rsidP="003506ED">
            <w:pPr>
              <w:pStyle w:val="Lgendestandard"/>
            </w:pPr>
            <w:r w:rsidRPr="001343C2">
              <w:t>(Det angivna förfarandet baseras på den rättsliga grund som angetts i förslaget till akt.)</w:t>
            </w:r>
          </w:p>
          <w:p w14:paraId="12C8427B" w14:textId="77777777" w:rsidR="0058429A" w:rsidRPr="001343C2" w:rsidRDefault="0058429A" w:rsidP="00B54EAF">
            <w:pPr>
              <w:pStyle w:val="Lgendestandard"/>
            </w:pPr>
          </w:p>
        </w:tc>
      </w:tr>
    </w:tbl>
    <w:p w14:paraId="6D49C133" w14:textId="77777777" w:rsidR="0058429A" w:rsidRPr="001343C2" w:rsidRDefault="0058429A" w:rsidP="00894923"/>
    <w:p w14:paraId="4185A5DB" w14:textId="77777777" w:rsidR="0058429A" w:rsidRPr="001343C2" w:rsidRDefault="0058429A" w:rsidP="00894923"/>
    <w:p w14:paraId="3F38A4CA" w14:textId="77777777" w:rsidR="0058429A" w:rsidRPr="001343C2" w:rsidRDefault="0058429A" w:rsidP="00894923"/>
    <w:p w14:paraId="7B16B83D" w14:textId="77777777" w:rsidR="0058429A" w:rsidRPr="001343C2" w:rsidRDefault="0058429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C0EEE" w:rsidRPr="001343C2" w14:paraId="6DED1060" w14:textId="77777777">
        <w:tc>
          <w:tcPr>
            <w:tcW w:w="5811" w:type="dxa"/>
          </w:tcPr>
          <w:p w14:paraId="31A6FAB7" w14:textId="77777777" w:rsidR="0058429A" w:rsidRPr="001343C2" w:rsidRDefault="007F0056" w:rsidP="00894923">
            <w:pPr>
              <w:pStyle w:val="Lgendetitre"/>
            </w:pPr>
            <w:r w:rsidRPr="001343C2">
              <w:t>Ändringsförslag till ett förslag till akt</w:t>
            </w:r>
          </w:p>
        </w:tc>
      </w:tr>
      <w:tr w:rsidR="001C0EEE" w:rsidRPr="001343C2" w14:paraId="0F6AC66B" w14:textId="77777777" w:rsidTr="00554250">
        <w:trPr>
          <w:trHeight w:val="4496"/>
        </w:trPr>
        <w:tc>
          <w:tcPr>
            <w:tcW w:w="5811" w:type="dxa"/>
          </w:tcPr>
          <w:p w14:paraId="3A9A212C" w14:textId="77777777" w:rsidR="0058429A" w:rsidRPr="001343C2" w:rsidRDefault="007F0056" w:rsidP="003506ED">
            <w:pPr>
              <w:pStyle w:val="Lgendestandard"/>
              <w:rPr>
                <w:szCs w:val="24"/>
              </w:rPr>
            </w:pPr>
            <w:r w:rsidRPr="001343C2">
              <w:rPr>
                <w:b/>
              </w:rPr>
              <w:t>När parlamentets ändringsförslag utformas i två spalter gäller följande:</w:t>
            </w:r>
          </w:p>
          <w:p w14:paraId="45F756D9" w14:textId="77777777" w:rsidR="0058429A" w:rsidRPr="001343C2" w:rsidRDefault="0058429A" w:rsidP="003506ED">
            <w:pPr>
              <w:pStyle w:val="Lgendestandard"/>
              <w:rPr>
                <w:szCs w:val="24"/>
              </w:rPr>
            </w:pPr>
          </w:p>
          <w:p w14:paraId="3CCB8FB5" w14:textId="77777777" w:rsidR="0058429A" w:rsidRPr="001343C2" w:rsidRDefault="007F0056" w:rsidP="003506ED">
            <w:pPr>
              <w:pStyle w:val="Lgendestandard"/>
              <w:rPr>
                <w:szCs w:val="24"/>
              </w:rPr>
            </w:pPr>
            <w:r w:rsidRPr="001343C2">
              <w:t xml:space="preserve">Text som utgår markeras med </w:t>
            </w:r>
            <w:r w:rsidRPr="001343C2">
              <w:rPr>
                <w:b/>
                <w:bCs/>
                <w:i/>
                <w:iCs/>
              </w:rPr>
              <w:t>fetkursiv stil</w:t>
            </w:r>
            <w:r w:rsidRPr="001343C2">
              <w:t xml:space="preserve"> i vänsterspalten. Text som ersätts markeras med </w:t>
            </w:r>
            <w:r w:rsidRPr="001343C2">
              <w:rPr>
                <w:b/>
                <w:bCs/>
                <w:i/>
                <w:iCs/>
              </w:rPr>
              <w:t>fetkursiv stil</w:t>
            </w:r>
            <w:r w:rsidRPr="001343C2">
              <w:t xml:space="preserve"> i båda spalterna. Ny text markeras med </w:t>
            </w:r>
            <w:r w:rsidRPr="001343C2">
              <w:rPr>
                <w:b/>
                <w:bCs/>
                <w:i/>
                <w:iCs/>
              </w:rPr>
              <w:t>fetkursiv stil</w:t>
            </w:r>
            <w:r w:rsidRPr="001343C2">
              <w:t xml:space="preserve"> i högerspalten.</w:t>
            </w:r>
          </w:p>
          <w:p w14:paraId="6854FA87" w14:textId="77777777" w:rsidR="0058429A" w:rsidRPr="001343C2" w:rsidRDefault="0058429A" w:rsidP="003506ED">
            <w:pPr>
              <w:pStyle w:val="Lgendestandard"/>
              <w:rPr>
                <w:szCs w:val="24"/>
              </w:rPr>
            </w:pPr>
          </w:p>
          <w:p w14:paraId="1F1BFCD7" w14:textId="77777777" w:rsidR="0058429A" w:rsidRPr="001343C2" w:rsidRDefault="007F0056" w:rsidP="003506ED">
            <w:pPr>
              <w:pStyle w:val="Lgendestandard"/>
              <w:rPr>
                <w:szCs w:val="24"/>
              </w:rPr>
            </w:pPr>
            <w:r w:rsidRPr="001343C2">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14:paraId="0FBF77E2" w14:textId="77777777" w:rsidR="0058429A" w:rsidRPr="001343C2" w:rsidRDefault="0058429A" w:rsidP="003506ED">
            <w:pPr>
              <w:pStyle w:val="Lgendestandard"/>
              <w:rPr>
                <w:szCs w:val="24"/>
              </w:rPr>
            </w:pPr>
          </w:p>
          <w:p w14:paraId="3F66E049" w14:textId="77777777" w:rsidR="0058429A" w:rsidRPr="001343C2" w:rsidRDefault="007F0056" w:rsidP="003506ED">
            <w:pPr>
              <w:pStyle w:val="Lgendestandard"/>
              <w:rPr>
                <w:b/>
                <w:szCs w:val="24"/>
              </w:rPr>
            </w:pPr>
            <w:r w:rsidRPr="001343C2">
              <w:rPr>
                <w:b/>
              </w:rPr>
              <w:t>När parlamentets ändringsförslag utformas som en konsoliderad text gäller följande:</w:t>
            </w:r>
          </w:p>
          <w:p w14:paraId="68B7196C" w14:textId="77777777" w:rsidR="0058429A" w:rsidRPr="001343C2" w:rsidRDefault="0058429A" w:rsidP="003506ED">
            <w:pPr>
              <w:pStyle w:val="Lgendestandard"/>
              <w:rPr>
                <w:szCs w:val="24"/>
              </w:rPr>
            </w:pPr>
          </w:p>
          <w:p w14:paraId="53573A52" w14:textId="77777777" w:rsidR="0058429A" w:rsidRPr="001343C2" w:rsidRDefault="007F0056" w:rsidP="003506ED">
            <w:pPr>
              <w:pStyle w:val="Lgendestandard"/>
              <w:rPr>
                <w:szCs w:val="24"/>
              </w:rPr>
            </w:pPr>
            <w:r w:rsidRPr="001343C2">
              <w:t xml:space="preserve">Nya textdelar markeras med </w:t>
            </w:r>
            <w:r w:rsidRPr="001343C2">
              <w:rPr>
                <w:b/>
                <w:bCs/>
                <w:i/>
                <w:iCs/>
              </w:rPr>
              <w:t>fetkursiv stil</w:t>
            </w:r>
            <w:r w:rsidRPr="001343C2">
              <w:t xml:space="preserve">. Textdelar som utgår markeras med symbolen ▌eller med genomstrykning. Textdelar som ersätts anges genom att ny text markeras med </w:t>
            </w:r>
            <w:r w:rsidRPr="001343C2">
              <w:rPr>
                <w:b/>
                <w:bCs/>
                <w:i/>
                <w:iCs/>
              </w:rPr>
              <w:t>fetkursiv stil</w:t>
            </w:r>
            <w:r w:rsidRPr="001343C2">
              <w:t xml:space="preserve"> och text som utgår stryks eller markeras med genomstrykning. </w:t>
            </w:r>
          </w:p>
          <w:p w14:paraId="54653FD1" w14:textId="77777777" w:rsidR="0058429A" w:rsidRPr="001343C2" w:rsidRDefault="007F0056" w:rsidP="003506ED">
            <w:pPr>
              <w:pStyle w:val="Lgendestandard"/>
            </w:pPr>
            <w:r w:rsidRPr="001343C2">
              <w:t>Sådana ändringar som endast är tekniska och som gjorts av de berörda avdelningarna vid färdigställandet av den slutliga texten markeras däremot inte.</w:t>
            </w:r>
          </w:p>
          <w:p w14:paraId="4B4E2192" w14:textId="77777777" w:rsidR="0058429A" w:rsidRPr="001343C2" w:rsidRDefault="0058429A" w:rsidP="0069092A">
            <w:pPr>
              <w:pStyle w:val="Lgendestandard"/>
            </w:pPr>
          </w:p>
        </w:tc>
      </w:tr>
    </w:tbl>
    <w:p w14:paraId="0E4AAB53" w14:textId="77777777" w:rsidR="0058429A" w:rsidRPr="001343C2" w:rsidRDefault="0058429A" w:rsidP="00894923"/>
    <w:p w14:paraId="619B4852" w14:textId="77777777" w:rsidR="00793EA9" w:rsidRPr="001343C2" w:rsidRDefault="00793EA9" w:rsidP="00012351">
      <w:pPr>
        <w:widowControl/>
        <w:tabs>
          <w:tab w:val="center" w:pos="4677"/>
        </w:tabs>
      </w:pPr>
    </w:p>
    <w:p w14:paraId="1D326255" w14:textId="77777777" w:rsidR="00793EA9" w:rsidRPr="001343C2" w:rsidRDefault="007F0056">
      <w:pPr>
        <w:pStyle w:val="TOCHeading"/>
      </w:pPr>
      <w:r w:rsidRPr="001343C2">
        <w:br w:type="page"/>
      </w:r>
      <w:r w:rsidRPr="001343C2">
        <w:lastRenderedPageBreak/>
        <w:t>INNEHÅLL</w:t>
      </w:r>
    </w:p>
    <w:p w14:paraId="30F329FA" w14:textId="77777777" w:rsidR="00793EA9" w:rsidRPr="001343C2" w:rsidRDefault="007F0056">
      <w:pPr>
        <w:pStyle w:val="TOCPage"/>
      </w:pPr>
      <w:r w:rsidRPr="001343C2">
        <w:t>Sida</w:t>
      </w:r>
    </w:p>
    <w:p w14:paraId="3E2F8859" w14:textId="10E38A89" w:rsidR="00DE1D77" w:rsidRDefault="007F005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343C2">
        <w:rPr>
          <w:b/>
        </w:rPr>
        <w:fldChar w:fldCharType="begin"/>
      </w:r>
      <w:r w:rsidRPr="001343C2">
        <w:rPr>
          <w:b/>
        </w:rPr>
        <w:instrText xml:space="preserve"> TOC \t "PageHeading</w:instrText>
      </w:r>
      <w:r w:rsidR="009D3E2B" w:rsidRPr="001343C2">
        <w:rPr>
          <w:b/>
        </w:rPr>
        <w:instrText>;</w:instrText>
      </w:r>
      <w:r w:rsidRPr="001343C2">
        <w:rPr>
          <w:b/>
        </w:rPr>
        <w:instrText xml:space="preserve">1" </w:instrText>
      </w:r>
      <w:r w:rsidRPr="001343C2">
        <w:rPr>
          <w:b/>
        </w:rPr>
        <w:fldChar w:fldCharType="separate"/>
      </w:r>
      <w:r w:rsidR="00DE1D77">
        <w:rPr>
          <w:noProof/>
        </w:rPr>
        <w:t>FÖRSLAG TILL EUROPAPARLAMENTETS LAGSTIFTNINGSRESOLUTION</w:t>
      </w:r>
      <w:r w:rsidR="00DE1D77">
        <w:rPr>
          <w:noProof/>
        </w:rPr>
        <w:tab/>
      </w:r>
      <w:r w:rsidR="00DE1D77">
        <w:rPr>
          <w:noProof/>
        </w:rPr>
        <w:fldChar w:fldCharType="begin"/>
      </w:r>
      <w:r w:rsidR="00DE1D77">
        <w:rPr>
          <w:noProof/>
        </w:rPr>
        <w:instrText xml:space="preserve"> PAGEREF _Toc210737287 \h </w:instrText>
      </w:r>
      <w:r w:rsidR="00DE1D77">
        <w:rPr>
          <w:noProof/>
        </w:rPr>
      </w:r>
      <w:r w:rsidR="00DE1D77">
        <w:rPr>
          <w:noProof/>
        </w:rPr>
        <w:fldChar w:fldCharType="separate"/>
      </w:r>
      <w:r w:rsidR="00DE1D77">
        <w:rPr>
          <w:noProof/>
        </w:rPr>
        <w:t>5</w:t>
      </w:r>
      <w:r w:rsidR="00DE1D77">
        <w:rPr>
          <w:noProof/>
        </w:rPr>
        <w:fldChar w:fldCharType="end"/>
      </w:r>
    </w:p>
    <w:p w14:paraId="408EA43C" w14:textId="1A8DF5E6" w:rsidR="00DE1D77" w:rsidRDefault="00DE1D7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MOTIVERING</w:t>
      </w:r>
      <w:r>
        <w:rPr>
          <w:noProof/>
        </w:rPr>
        <w:tab/>
      </w:r>
      <w:r>
        <w:rPr>
          <w:noProof/>
        </w:rPr>
        <w:fldChar w:fldCharType="begin"/>
      </w:r>
      <w:r>
        <w:rPr>
          <w:noProof/>
        </w:rPr>
        <w:instrText xml:space="preserve"> PAGEREF _Toc210737288 \h </w:instrText>
      </w:r>
      <w:r>
        <w:rPr>
          <w:noProof/>
        </w:rPr>
      </w:r>
      <w:r>
        <w:rPr>
          <w:noProof/>
        </w:rPr>
        <w:fldChar w:fldCharType="separate"/>
      </w:r>
      <w:r>
        <w:rPr>
          <w:noProof/>
        </w:rPr>
        <w:t>13</w:t>
      </w:r>
      <w:r>
        <w:rPr>
          <w:noProof/>
        </w:rPr>
        <w:fldChar w:fldCharType="end"/>
      </w:r>
    </w:p>
    <w:p w14:paraId="67D0BD05" w14:textId="3B3F6CD6" w:rsidR="002346B0" w:rsidRPr="001343C2" w:rsidRDefault="007F0056" w:rsidP="00C23324">
      <w:r w:rsidRPr="001343C2">
        <w:rPr>
          <w:b/>
        </w:rPr>
        <w:fldChar w:fldCharType="end"/>
      </w:r>
    </w:p>
    <w:p w14:paraId="4DF045A7" w14:textId="77777777" w:rsidR="00793EA9" w:rsidRPr="001343C2" w:rsidRDefault="007F0056">
      <w:pPr>
        <w:pStyle w:val="PageHeading"/>
      </w:pPr>
      <w:r w:rsidRPr="001343C2">
        <w:br w:type="page"/>
      </w:r>
      <w:r w:rsidRPr="001343C2">
        <w:lastRenderedPageBreak/>
        <w:br w:type="page"/>
      </w:r>
      <w:bookmarkStart w:id="0" w:name="_Toc210737287"/>
      <w:r w:rsidRPr="001343C2">
        <w:lastRenderedPageBreak/>
        <w:t>FÖRSLAG TILL EUROPAPARLAMENTETS LAGSTIFTNINGSRESOLUTION</w:t>
      </w:r>
      <w:bookmarkEnd w:id="0"/>
    </w:p>
    <w:p w14:paraId="15ACF388" w14:textId="77777777" w:rsidR="00793EA9" w:rsidRPr="001343C2" w:rsidRDefault="007F0056">
      <w:pPr>
        <w:pStyle w:val="NormalBold"/>
      </w:pPr>
      <w:r w:rsidRPr="001343C2">
        <w:t>om förslaget till Europaparlamentets och rådets förordning om ändring av förordning (EU) 2024/1348 vad gäller upprättande av en förteckning över säkra ursprungsländer på unionsnivå</w:t>
      </w:r>
    </w:p>
    <w:p w14:paraId="27077669" w14:textId="77777777" w:rsidR="00793EA9" w:rsidRPr="001343C2" w:rsidRDefault="007F0056">
      <w:pPr>
        <w:pStyle w:val="NormalBold12a"/>
      </w:pPr>
      <w:r w:rsidRPr="001343C2">
        <w:t>(COM(2025)0186 – C10</w:t>
      </w:r>
      <w:r w:rsidRPr="001343C2">
        <w:noBreakHyphen/>
        <w:t>0069/2025 – 2025/0101(COD))</w:t>
      </w:r>
    </w:p>
    <w:p w14:paraId="645650FD" w14:textId="77777777" w:rsidR="00793EA9" w:rsidRPr="001343C2" w:rsidRDefault="007F0056" w:rsidP="00A910C9">
      <w:pPr>
        <w:pStyle w:val="NormalBold"/>
      </w:pPr>
      <w:r w:rsidRPr="001343C2">
        <w:t>(Ordinarie lagstiftningsförfarande: första behandlingen)</w:t>
      </w:r>
    </w:p>
    <w:p w14:paraId="5E6DF89D" w14:textId="77777777" w:rsidR="00793EA9" w:rsidRPr="001343C2" w:rsidRDefault="007F0056" w:rsidP="00A910C9">
      <w:pPr>
        <w:pStyle w:val="EPComma"/>
      </w:pPr>
      <w:r w:rsidRPr="001343C2">
        <w:rPr>
          <w:i/>
          <w:iCs/>
        </w:rPr>
        <w:t>Europaparlamentet utfärdar denna resolution</w:t>
      </w:r>
    </w:p>
    <w:p w14:paraId="3BE77ECB" w14:textId="77777777" w:rsidR="00793EA9" w:rsidRPr="001343C2" w:rsidRDefault="007F0056">
      <w:pPr>
        <w:pStyle w:val="NormalHanging12a"/>
      </w:pPr>
      <w:r w:rsidRPr="001343C2">
        <w:t>–</w:t>
      </w:r>
      <w:r w:rsidRPr="001343C2">
        <w:tab/>
        <w:t>med beaktande av kommissionens förslag till Europaparlamentet och rådet (COM(2025)0186),</w:t>
      </w:r>
    </w:p>
    <w:p w14:paraId="3AF810D5" w14:textId="77777777" w:rsidR="00793EA9" w:rsidRPr="001343C2" w:rsidRDefault="007F0056">
      <w:pPr>
        <w:pStyle w:val="NormalHanging12a"/>
      </w:pPr>
      <w:r w:rsidRPr="001343C2">
        <w:t>–</w:t>
      </w:r>
      <w:r w:rsidRPr="001343C2">
        <w:tab/>
        <w:t>med beaktande av artiklarna 294.2 och 78.2 d i fördraget om Europeiska unionens funktionssätt, i enlighet med vilka kommissionen har lagt fram sitt förslag för parlamentet (C10</w:t>
      </w:r>
      <w:r w:rsidRPr="001343C2">
        <w:noBreakHyphen/>
        <w:t>0069/2025),</w:t>
      </w:r>
    </w:p>
    <w:p w14:paraId="59AA821C" w14:textId="77777777" w:rsidR="00A26F46" w:rsidRPr="001343C2" w:rsidRDefault="007F0056" w:rsidP="00A26F46">
      <w:pPr>
        <w:pStyle w:val="NormalHanging12a"/>
      </w:pPr>
      <w:r w:rsidRPr="001343C2">
        <w:t>–</w:t>
      </w:r>
      <w:r w:rsidRPr="001343C2">
        <w:tab/>
        <w:t>med beaktande av artikel 294.3 i fördraget om Europeiska unionens funktionssätt,</w:t>
      </w:r>
    </w:p>
    <w:p w14:paraId="7D4E57FE" w14:textId="77777777" w:rsidR="0058429A" w:rsidRPr="001343C2" w:rsidRDefault="007F0056" w:rsidP="00AD7FA6">
      <w:pPr>
        <w:pStyle w:val="NormalHanging12a"/>
      </w:pPr>
      <w:r w:rsidRPr="001343C2">
        <w:t>–</w:t>
      </w:r>
      <w:r w:rsidRPr="001343C2">
        <w:tab/>
        <w:t>med beaktande av Europeiska ekonomiska och sociala kommitténs yttrande,</w:t>
      </w:r>
    </w:p>
    <w:p w14:paraId="419293B9" w14:textId="77777777" w:rsidR="0058429A" w:rsidRPr="001343C2" w:rsidRDefault="007F0056" w:rsidP="0058429A">
      <w:pPr>
        <w:pStyle w:val="NormalHanging12a"/>
      </w:pPr>
      <w:r w:rsidRPr="001343C2">
        <w:t>–</w:t>
      </w:r>
      <w:r w:rsidRPr="001343C2">
        <w:tab/>
        <w:t>med beaktande av Regionkommitténs yttrande,</w:t>
      </w:r>
    </w:p>
    <w:p w14:paraId="2F3A0224" w14:textId="77777777" w:rsidR="00793EA9" w:rsidRPr="001343C2" w:rsidRDefault="007F0056">
      <w:pPr>
        <w:pStyle w:val="NormalHanging12a"/>
      </w:pPr>
      <w:r w:rsidRPr="001343C2">
        <w:t>–</w:t>
      </w:r>
      <w:r w:rsidRPr="001343C2">
        <w:tab/>
        <w:t>med beaktande av artikel 60 i arbetsordningen,</w:t>
      </w:r>
    </w:p>
    <w:p w14:paraId="5F70E210" w14:textId="77777777" w:rsidR="006A2F5D" w:rsidRPr="001343C2" w:rsidRDefault="007F0056" w:rsidP="006A2F5D">
      <w:pPr>
        <w:pStyle w:val="NormalHanging12a"/>
      </w:pPr>
      <w:r w:rsidRPr="001343C2">
        <w:t>–</w:t>
      </w:r>
      <w:r w:rsidRPr="001343C2">
        <w:tab/>
        <w:t>med beaktande av yttrandet från underutskottet för mänskliga rättigheter</w:t>
      </w:r>
    </w:p>
    <w:p w14:paraId="089D687E" w14:textId="77777777" w:rsidR="006A2F5D" w:rsidRPr="001343C2" w:rsidRDefault="007F0056" w:rsidP="006A2F5D">
      <w:pPr>
        <w:pStyle w:val="NormalHanging12a"/>
      </w:pPr>
      <w:r w:rsidRPr="001343C2">
        <w:t>–</w:t>
      </w:r>
      <w:r w:rsidRPr="001343C2">
        <w:tab/>
        <w:t>med beaktande av betänkandet från utskottet för medborgerliga fri- och rättigheter samt rättsliga och inrikes frågor (A10</w:t>
      </w:r>
      <w:r w:rsidRPr="001343C2">
        <w:noBreakHyphen/>
        <w:t>0000/2025).</w:t>
      </w:r>
    </w:p>
    <w:p w14:paraId="19BE53BC" w14:textId="77777777" w:rsidR="009F6C2F" w:rsidRPr="001343C2" w:rsidRDefault="007F0056" w:rsidP="009F6C2F">
      <w:pPr>
        <w:pStyle w:val="NormalHanging12a"/>
      </w:pPr>
      <w:r w:rsidRPr="001343C2">
        <w:t>1.</w:t>
      </w:r>
      <w:r w:rsidRPr="001343C2">
        <w:tab/>
        <w:t>Europaparlamentet antar nedanstående ståndpunkt vid första behandlingen.</w:t>
      </w:r>
    </w:p>
    <w:p w14:paraId="359F2259" w14:textId="77777777" w:rsidR="006B28A1" w:rsidRPr="001343C2" w:rsidRDefault="007F0056">
      <w:pPr>
        <w:widowControl/>
      </w:pPr>
      <w:r w:rsidRPr="001343C2">
        <w:br w:type="page"/>
      </w:r>
    </w:p>
    <w:p w14:paraId="34F57C03" w14:textId="77777777" w:rsidR="006B28A1" w:rsidRPr="00DE1D77" w:rsidRDefault="006B28A1" w:rsidP="006B28A1">
      <w:pPr>
        <w:pStyle w:val="NormalHanging12a"/>
        <w:rPr>
          <w:rStyle w:val="HideTWBExt"/>
        </w:rPr>
      </w:pPr>
    </w:p>
    <w:p w14:paraId="48A34419" w14:textId="77777777" w:rsidR="006B28A1" w:rsidRPr="001343C2" w:rsidRDefault="007F0056" w:rsidP="006B28A1">
      <w:pPr>
        <w:pStyle w:val="AMNumberTabs0"/>
        <w:keepNext/>
      </w:pPr>
      <w:r w:rsidRPr="00DE1D77">
        <w:rPr>
          <w:rStyle w:val="HideTWBExt"/>
          <w:b w:val="0"/>
        </w:rPr>
        <w:t>&lt;RepeatBlock-Amend&gt;&lt;Amend&gt;</w:t>
      </w:r>
      <w:r w:rsidRPr="001343C2">
        <w:t>Ändringsförslag</w:t>
      </w:r>
      <w:r w:rsidRPr="001343C2">
        <w:tab/>
      </w:r>
      <w:r w:rsidRPr="001343C2">
        <w:tab/>
      </w:r>
      <w:r w:rsidRPr="00DE1D77">
        <w:rPr>
          <w:rStyle w:val="HideTWBExt"/>
          <w:b w:val="0"/>
        </w:rPr>
        <w:t>&lt;NumAm&gt;</w:t>
      </w:r>
      <w:r w:rsidRPr="001343C2">
        <w:t>1</w:t>
      </w:r>
      <w:r w:rsidRPr="00DE1D77">
        <w:rPr>
          <w:rStyle w:val="HideTWBExt"/>
          <w:b w:val="0"/>
        </w:rPr>
        <w:t>&lt;/NumAm&gt;</w:t>
      </w:r>
    </w:p>
    <w:p w14:paraId="3A785816"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35D81823" w14:textId="77777777" w:rsidR="006B28A1" w:rsidRPr="001343C2" w:rsidRDefault="007F0056" w:rsidP="006B28A1">
      <w:pPr>
        <w:pStyle w:val="NormalBold"/>
      </w:pPr>
      <w:r w:rsidRPr="00DE1D77">
        <w:rPr>
          <w:rStyle w:val="HideTWBExt"/>
          <w:b w:val="0"/>
        </w:rPr>
        <w:t>&lt;Article&gt;</w:t>
      </w:r>
      <w:r w:rsidRPr="001343C2">
        <w:t>Skäl 6</w:t>
      </w:r>
      <w:r w:rsidRPr="00DE1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588DCA6C" w14:textId="77777777" w:rsidTr="006B28A1">
        <w:trPr>
          <w:jc w:val="center"/>
        </w:trPr>
        <w:tc>
          <w:tcPr>
            <w:tcW w:w="9752" w:type="dxa"/>
            <w:gridSpan w:val="2"/>
          </w:tcPr>
          <w:p w14:paraId="3E22CFE1" w14:textId="77777777" w:rsidR="006B28A1" w:rsidRPr="001343C2" w:rsidRDefault="006B28A1">
            <w:pPr>
              <w:keepNext/>
            </w:pPr>
          </w:p>
        </w:tc>
      </w:tr>
      <w:tr w:rsidR="001C0EEE" w:rsidRPr="001343C2" w14:paraId="49C2224E" w14:textId="77777777" w:rsidTr="006B28A1">
        <w:trPr>
          <w:jc w:val="center"/>
        </w:trPr>
        <w:tc>
          <w:tcPr>
            <w:tcW w:w="4876" w:type="dxa"/>
            <w:hideMark/>
          </w:tcPr>
          <w:p w14:paraId="529B6959" w14:textId="77777777" w:rsidR="006B28A1" w:rsidRPr="001343C2" w:rsidRDefault="007F0056">
            <w:pPr>
              <w:pStyle w:val="ColumnHeading"/>
              <w:keepNext/>
            </w:pPr>
            <w:r w:rsidRPr="001343C2">
              <w:t>Kommissionens förslag</w:t>
            </w:r>
          </w:p>
        </w:tc>
        <w:tc>
          <w:tcPr>
            <w:tcW w:w="4876" w:type="dxa"/>
            <w:hideMark/>
          </w:tcPr>
          <w:p w14:paraId="2F256C8D" w14:textId="77777777" w:rsidR="006B28A1" w:rsidRPr="001343C2" w:rsidRDefault="007F0056">
            <w:pPr>
              <w:pStyle w:val="ColumnHeading"/>
              <w:keepNext/>
            </w:pPr>
            <w:r w:rsidRPr="001343C2">
              <w:t>Ändringsförslag</w:t>
            </w:r>
          </w:p>
        </w:tc>
      </w:tr>
      <w:tr w:rsidR="001C0EEE" w:rsidRPr="001343C2" w14:paraId="129A06C0" w14:textId="77777777" w:rsidTr="006B28A1">
        <w:trPr>
          <w:jc w:val="center"/>
        </w:trPr>
        <w:tc>
          <w:tcPr>
            <w:tcW w:w="4876" w:type="dxa"/>
            <w:hideMark/>
          </w:tcPr>
          <w:p w14:paraId="37AAF64F" w14:textId="77777777" w:rsidR="006B28A1" w:rsidRPr="001343C2" w:rsidRDefault="007F0056">
            <w:pPr>
              <w:pStyle w:val="Normal6"/>
            </w:pPr>
            <w:r w:rsidRPr="001343C2">
              <w:t>(6)</w:t>
            </w:r>
            <w:r w:rsidRPr="001343C2">
              <w:tab/>
              <w:t>EU-kandidatländerna har beviljats denna status av Europeiska rådet genom ett enhälligt beslut, efter en rekommendation från Europeiska kommissionen. Med hänsyn till i synnerhet de politiska kriterierna för EU-medlemskap befanns EU-kandidatländerna ha gjort framsteg mot att uppnå en institutionell stabilitet som garanterar demokrati, rättsstatsprincipen, mänskliga rättigheter och respekt för och skydd av minoriteter. Slutsatsen kan därför dras att de tredjeländer som har beviljats status som EU-kandidatländer bör betecknas som säkra ursprungsländer, utom när följande omständigheter föreligger, nämligen när det föreligger ett allvarligt och personligt hot mot en civilpersons liv eller lem på grund av urskillningslöst våld i situationer av internationell eller intern väpnad konflikt i landet</w:t>
            </w:r>
            <w:r w:rsidRPr="001343C2">
              <w:rPr>
                <w:b/>
                <w:bCs/>
                <w:i/>
                <w:iCs/>
              </w:rPr>
              <w:t>,</w:t>
            </w:r>
            <w:r w:rsidRPr="001343C2">
              <w:t xml:space="preserve"> det har antagits restriktiva åtgärder i den mening som avses i avdelning IV i femte delen i fördraget om Europeiska unionens funktionssätt, med anledning av landets åtgärder</w:t>
            </w:r>
            <w:r w:rsidRPr="001343C2">
              <w:rPr>
                <w:b/>
                <w:bCs/>
                <w:i/>
                <w:iCs/>
              </w:rPr>
              <w:t>,</w:t>
            </w:r>
            <w:r w:rsidRPr="001343C2">
              <w:rPr>
                <w:b/>
                <w:i/>
              </w:rPr>
              <w:t xml:space="preserve"> </w:t>
            </w:r>
            <w:r w:rsidRPr="001343C2">
              <w:rPr>
                <w:b/>
                <w:bCs/>
                <w:i/>
                <w:iCs/>
              </w:rPr>
              <w:t>eller</w:t>
            </w:r>
            <w:r w:rsidRPr="001343C2">
              <w:t xml:space="preserve"> andelen godkända ansökningar för sökande från landet i hela EU är högre än 20 %.</w:t>
            </w:r>
          </w:p>
        </w:tc>
        <w:tc>
          <w:tcPr>
            <w:tcW w:w="4876" w:type="dxa"/>
            <w:hideMark/>
          </w:tcPr>
          <w:p w14:paraId="34B804B9" w14:textId="77777777" w:rsidR="006B28A1" w:rsidRPr="001343C2" w:rsidRDefault="007F0056">
            <w:pPr>
              <w:pStyle w:val="Normal6"/>
              <w:rPr>
                <w:szCs w:val="24"/>
              </w:rPr>
            </w:pPr>
            <w:r w:rsidRPr="001343C2">
              <w:t>(6)</w:t>
            </w:r>
            <w:r w:rsidRPr="001343C2">
              <w:tab/>
              <w:t xml:space="preserve">EU-kandidatländerna har beviljats denna status av Europeiska rådet genom ett enhälligt beslut, efter en rekommendation från Europeiska kommissionen. Med hänsyn till i synnerhet de politiska kriterierna för EU-medlemskap befanns EU-kandidatländerna ha gjort framsteg mot att uppnå en institutionell stabilitet som garanterar demokrati, rättsstatsprincipen, mänskliga rättigheter och respekt för och skydd av minoriteter. Slutsatsen kan därför dras att de tredjeländer som har beviljats status som EU-kandidatländer bör betecknas som säkra ursprungsländer, utom när </w:t>
            </w:r>
            <w:r w:rsidRPr="001343C2">
              <w:rPr>
                <w:b/>
                <w:bCs/>
                <w:i/>
                <w:iCs/>
              </w:rPr>
              <w:t>en av</w:t>
            </w:r>
            <w:r w:rsidRPr="001343C2">
              <w:t xml:space="preserve"> följande omständigheter föreligger, nämligen när det föreligger ett allvarligt och personligt hot mot en civilpersons liv eller lem på grund av urskillningslöst våld i situationer av internationell eller intern väpnad konflikt i landet</w:t>
            </w:r>
            <w:r w:rsidRPr="001343C2">
              <w:rPr>
                <w:b/>
                <w:bCs/>
                <w:i/>
                <w:iCs/>
              </w:rPr>
              <w:t>, såvida hotet inte är begränsat till ett geografiskt område och civilpersonen kan få tillgång till effektivt skydd i en annan del av landet;</w:t>
            </w:r>
            <w:r w:rsidRPr="001343C2">
              <w:t xml:space="preserve"> det har antagits restriktiva åtgärder i den mening som avses i avdelning IV i femte delen i fördraget om Europeiska unionens funktionssätt, med anledning av landets åtgärder </w:t>
            </w:r>
            <w:r w:rsidRPr="001343C2">
              <w:rPr>
                <w:b/>
                <w:bCs/>
                <w:i/>
                <w:iCs/>
              </w:rPr>
              <w:t>som påverkar de grundläggande rättigheterna och friheterna och som är relevanta för beteckningen av ett tredjeland som ett säkert ursprungsland;</w:t>
            </w:r>
            <w:r w:rsidRPr="001343C2">
              <w:t xml:space="preserve"> andelen godkända ansökningar för sökande från landet i hela EU är högre än 20 %.</w:t>
            </w:r>
          </w:p>
        </w:tc>
      </w:tr>
    </w:tbl>
    <w:p w14:paraId="3A01A98D"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6CD249BB" w14:textId="77777777" w:rsidR="006B28A1" w:rsidRPr="001343C2" w:rsidRDefault="007F0056" w:rsidP="006B28A1">
      <w:pPr>
        <w:rPr>
          <w:szCs w:val="24"/>
        </w:rPr>
      </w:pPr>
      <w:r w:rsidRPr="00DE1D77">
        <w:rPr>
          <w:rStyle w:val="HideTWBExt"/>
        </w:rPr>
        <w:t>&lt;/Amend&gt;</w:t>
      </w:r>
    </w:p>
    <w:p w14:paraId="5A637E06"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2</w:t>
      </w:r>
      <w:r w:rsidRPr="00DE1D77">
        <w:rPr>
          <w:rStyle w:val="HideTWBExt"/>
          <w:b w:val="0"/>
        </w:rPr>
        <w:t>&lt;/NumAm&gt;</w:t>
      </w:r>
    </w:p>
    <w:p w14:paraId="35E68605"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67B03F7C" w14:textId="77777777" w:rsidR="006B28A1" w:rsidRPr="001343C2" w:rsidRDefault="007F0056" w:rsidP="006B28A1">
      <w:pPr>
        <w:pStyle w:val="NormalBold"/>
      </w:pPr>
      <w:r w:rsidRPr="00DE1D77">
        <w:rPr>
          <w:rStyle w:val="HideTWBExt"/>
          <w:b w:val="0"/>
        </w:rPr>
        <w:t>&lt;Article&gt;</w:t>
      </w:r>
      <w:r w:rsidRPr="001343C2">
        <w:t>Skäl 6a (nytt)</w:t>
      </w:r>
      <w:r w:rsidRPr="00DE1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2E80C1B3" w14:textId="77777777" w:rsidTr="006B28A1">
        <w:trPr>
          <w:jc w:val="center"/>
        </w:trPr>
        <w:tc>
          <w:tcPr>
            <w:tcW w:w="9752" w:type="dxa"/>
            <w:gridSpan w:val="2"/>
          </w:tcPr>
          <w:p w14:paraId="6F8077CC" w14:textId="77777777" w:rsidR="006B28A1" w:rsidRPr="001343C2" w:rsidRDefault="006B28A1">
            <w:pPr>
              <w:keepNext/>
            </w:pPr>
          </w:p>
        </w:tc>
      </w:tr>
      <w:tr w:rsidR="001C0EEE" w:rsidRPr="001343C2" w14:paraId="58D32EBC" w14:textId="77777777" w:rsidTr="006B28A1">
        <w:trPr>
          <w:jc w:val="center"/>
        </w:trPr>
        <w:tc>
          <w:tcPr>
            <w:tcW w:w="4876" w:type="dxa"/>
            <w:hideMark/>
          </w:tcPr>
          <w:p w14:paraId="1C93BBC8" w14:textId="77777777" w:rsidR="006B28A1" w:rsidRPr="001343C2" w:rsidRDefault="007F0056">
            <w:pPr>
              <w:pStyle w:val="ColumnHeading"/>
              <w:keepNext/>
            </w:pPr>
            <w:r w:rsidRPr="001343C2">
              <w:t>Kommissionens förslag</w:t>
            </w:r>
          </w:p>
        </w:tc>
        <w:tc>
          <w:tcPr>
            <w:tcW w:w="4876" w:type="dxa"/>
            <w:hideMark/>
          </w:tcPr>
          <w:p w14:paraId="6A97B3A2" w14:textId="77777777" w:rsidR="006B28A1" w:rsidRPr="001343C2" w:rsidRDefault="007F0056">
            <w:pPr>
              <w:pStyle w:val="ColumnHeading"/>
              <w:keepNext/>
            </w:pPr>
            <w:r w:rsidRPr="001343C2">
              <w:t>Ändringsförslag</w:t>
            </w:r>
          </w:p>
        </w:tc>
      </w:tr>
      <w:tr w:rsidR="001C0EEE" w:rsidRPr="001343C2" w14:paraId="4237BD1E" w14:textId="77777777" w:rsidTr="006B28A1">
        <w:trPr>
          <w:jc w:val="center"/>
        </w:trPr>
        <w:tc>
          <w:tcPr>
            <w:tcW w:w="4876" w:type="dxa"/>
          </w:tcPr>
          <w:p w14:paraId="38B4B6D1" w14:textId="77777777" w:rsidR="006B28A1" w:rsidRPr="001343C2" w:rsidRDefault="006B28A1">
            <w:pPr>
              <w:pStyle w:val="Normal6"/>
            </w:pPr>
          </w:p>
        </w:tc>
        <w:tc>
          <w:tcPr>
            <w:tcW w:w="4876" w:type="dxa"/>
            <w:hideMark/>
          </w:tcPr>
          <w:p w14:paraId="07D64593" w14:textId="77777777" w:rsidR="006B28A1" w:rsidRPr="001343C2" w:rsidRDefault="007F0056">
            <w:pPr>
              <w:pStyle w:val="Normal6"/>
              <w:rPr>
                <w:szCs w:val="24"/>
              </w:rPr>
            </w:pPr>
            <w:r w:rsidRPr="001343C2">
              <w:rPr>
                <w:b/>
                <w:i/>
              </w:rPr>
              <w:t>(6a)</w:t>
            </w:r>
            <w:r w:rsidRPr="001343C2">
              <w:rPr>
                <w:b/>
                <w:i/>
              </w:rPr>
              <w:tab/>
              <w:t>För att säkerställa en enhetlig tillämpning av denna förordning i alla medlemsstater är det nödvändigt att inrätta en tydlig och samordnad mekanism för att avgöra när ett kandidatland för anslutning till unionen inte längre bör betraktas som ett säkert ursprungsland. För att skapa rättssäkerhet bör kommissionen göra regelbundna och objektiva bedömningar av de relevanta omständigheterna och, när så är lämpligt, meddela medlemsstaterna sina slutsatser genom en formell underrättelse. Denna underrättelse bör göras tillgänglig för allmänheten och få verkan på ett enhetligt sätt i hela unionen från och med ett angivet datum.</w:t>
            </w:r>
          </w:p>
        </w:tc>
      </w:tr>
    </w:tbl>
    <w:p w14:paraId="6F5F01E2"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2AD84113" w14:textId="77777777" w:rsidR="006B28A1" w:rsidRPr="001343C2" w:rsidRDefault="007F0056" w:rsidP="006B28A1">
      <w:pPr>
        <w:rPr>
          <w:szCs w:val="24"/>
        </w:rPr>
      </w:pPr>
      <w:r w:rsidRPr="00DE1D77">
        <w:rPr>
          <w:rStyle w:val="HideTWBExt"/>
        </w:rPr>
        <w:t>&lt;/Amend&gt;</w:t>
      </w:r>
    </w:p>
    <w:p w14:paraId="4545470D"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3</w:t>
      </w:r>
      <w:r w:rsidRPr="00DE1D77">
        <w:rPr>
          <w:rStyle w:val="HideTWBExt"/>
          <w:b w:val="0"/>
        </w:rPr>
        <w:t>&lt;/NumAm&gt;</w:t>
      </w:r>
    </w:p>
    <w:p w14:paraId="0DC38CB3"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21F973BD" w14:textId="77777777" w:rsidR="006B28A1" w:rsidRPr="001343C2" w:rsidRDefault="007F0056" w:rsidP="006B28A1">
      <w:pPr>
        <w:pStyle w:val="NormalBold"/>
      </w:pPr>
      <w:r w:rsidRPr="00DE1D77">
        <w:rPr>
          <w:rStyle w:val="HideTWBExt"/>
          <w:b w:val="0"/>
        </w:rPr>
        <w:t>&lt;Article&gt;</w:t>
      </w:r>
      <w:r w:rsidRPr="001343C2">
        <w:t>Skäl 11</w:t>
      </w:r>
      <w:r w:rsidRPr="00DE1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36DE4403" w14:textId="77777777" w:rsidTr="006B28A1">
        <w:trPr>
          <w:jc w:val="center"/>
        </w:trPr>
        <w:tc>
          <w:tcPr>
            <w:tcW w:w="9752" w:type="dxa"/>
            <w:gridSpan w:val="2"/>
          </w:tcPr>
          <w:p w14:paraId="79D9E2C9" w14:textId="77777777" w:rsidR="006B28A1" w:rsidRPr="001343C2" w:rsidRDefault="006B28A1">
            <w:pPr>
              <w:keepNext/>
            </w:pPr>
          </w:p>
        </w:tc>
      </w:tr>
      <w:tr w:rsidR="001C0EEE" w:rsidRPr="001343C2" w14:paraId="246768CE" w14:textId="77777777" w:rsidTr="006B28A1">
        <w:trPr>
          <w:jc w:val="center"/>
        </w:trPr>
        <w:tc>
          <w:tcPr>
            <w:tcW w:w="4876" w:type="dxa"/>
            <w:hideMark/>
          </w:tcPr>
          <w:p w14:paraId="07E3FED6" w14:textId="77777777" w:rsidR="006B28A1" w:rsidRPr="001343C2" w:rsidRDefault="007F0056">
            <w:pPr>
              <w:pStyle w:val="ColumnHeading"/>
              <w:keepNext/>
            </w:pPr>
            <w:r w:rsidRPr="001343C2">
              <w:t>Kommissionens förslag</w:t>
            </w:r>
          </w:p>
        </w:tc>
        <w:tc>
          <w:tcPr>
            <w:tcW w:w="4876" w:type="dxa"/>
            <w:hideMark/>
          </w:tcPr>
          <w:p w14:paraId="50B3FFC1" w14:textId="77777777" w:rsidR="006B28A1" w:rsidRPr="001343C2" w:rsidRDefault="007F0056">
            <w:pPr>
              <w:pStyle w:val="ColumnHeading"/>
              <w:keepNext/>
            </w:pPr>
            <w:r w:rsidRPr="001343C2">
              <w:t>Ändringsförslag</w:t>
            </w:r>
          </w:p>
        </w:tc>
      </w:tr>
      <w:tr w:rsidR="001C0EEE" w:rsidRPr="001343C2" w14:paraId="40B447F6" w14:textId="77777777" w:rsidTr="006B28A1">
        <w:trPr>
          <w:jc w:val="center"/>
        </w:trPr>
        <w:tc>
          <w:tcPr>
            <w:tcW w:w="4876" w:type="dxa"/>
            <w:hideMark/>
          </w:tcPr>
          <w:p w14:paraId="2E2C6A93" w14:textId="77777777" w:rsidR="006B28A1" w:rsidRPr="001343C2" w:rsidRDefault="007F0056">
            <w:pPr>
              <w:pStyle w:val="Normal6"/>
            </w:pPr>
            <w:r w:rsidRPr="001343C2">
              <w:t>(11)</w:t>
            </w:r>
            <w:r w:rsidRPr="001343C2">
              <w:tab/>
              <w:t xml:space="preserve">När det gäller Indien är det enligt informationen från asylbyrån för närvarande nio medlemsstater som betecknar Indien som ett säkert ursprungsland på nationell nivå, och andelen godkända ansökningar för sökande från Indien i hela unionen var 2 % 2024. Landet har ratificerat de viktigaste internationella människorättsinstrumenten. Indien är en konstitutionell republik och en parlamentarisk demokrati. Det finns inga tecken på att medborgare i Indien utvisas, avlägsnas eller utlämnas till länder där det finns risk för dödsstraff, tortyr, förföljelse eller omänsklig eller förnedrande behandling. Det finns i allmänhet ingen verklig risk för allvarlig skada i den mening som avses i artikel 15 i förordning </w:t>
            </w:r>
            <w:r w:rsidRPr="001343C2">
              <w:lastRenderedPageBreak/>
              <w:t xml:space="preserve">(EU) 2024/1347. Även om Indien har kvar dödsstraffet i sin straffrätt och inte undertecknade det andra fakultativa protokollet till den internationella konventionen om medborgerliga och politiska rättigheter, som syftar till att avskaffa dödsstraffet, har dödsstraffet inte tillämpats i praktiken sedan 2020. Indien har </w:t>
            </w:r>
            <w:r w:rsidRPr="001343C2">
              <w:rPr>
                <w:b/>
                <w:bCs/>
                <w:i/>
                <w:iCs/>
              </w:rPr>
              <w:t>ratificerat</w:t>
            </w:r>
            <w:r w:rsidRPr="001343C2">
              <w:t xml:space="preserve"> konventionen mot tortyr och annan grym, omänsklig eller förnedrande behandling eller bestraffning. Det pågår ingen väpnad konflikt i Indien, och därför föreligger inget hot på grund av urskillningslöst våld i situationer av internationell eller intern väpnad konflikt. Det finns i allmänhet ingen förföljelse i landet i den mening som avses i artikel 9 i förordning (EU) 2024/1347.</w:t>
            </w:r>
          </w:p>
        </w:tc>
        <w:tc>
          <w:tcPr>
            <w:tcW w:w="4876" w:type="dxa"/>
            <w:hideMark/>
          </w:tcPr>
          <w:p w14:paraId="790144AB" w14:textId="77777777" w:rsidR="006B28A1" w:rsidRPr="001343C2" w:rsidRDefault="007F0056">
            <w:pPr>
              <w:pStyle w:val="Normal6"/>
              <w:rPr>
                <w:szCs w:val="24"/>
              </w:rPr>
            </w:pPr>
            <w:r w:rsidRPr="001343C2">
              <w:lastRenderedPageBreak/>
              <w:t>(11)</w:t>
            </w:r>
            <w:r w:rsidRPr="001343C2">
              <w:tab/>
              <w:t xml:space="preserve">När det gäller Indien är det enligt informationen från asylbyrån för närvarande nio medlemsstater som betecknar Indien som ett säkert ursprungsland på nationell nivå, och andelen godkända ansökningar för sökande från Indien i hela unionen var 2 % 2024. Landet har ratificerat de viktigaste internationella människorättsinstrumenten. Indien är en konstitutionell republik och en parlamentarisk demokrati. Det finns inga tecken på att medborgare i Indien utvisas, avlägsnas eller utlämnas till länder där det finns risk för dödsstraff, tortyr, förföljelse eller omänsklig eller förnedrande behandling. Det finns i allmänhet ingen verklig risk för allvarlig skada i den mening som avses i artikel 15 i förordning </w:t>
            </w:r>
            <w:r w:rsidRPr="001343C2">
              <w:lastRenderedPageBreak/>
              <w:t xml:space="preserve">(EU) 2024/1347. Även om Indien har kvar dödsstraffet i sin straffrätt och inte undertecknade det andra fakultativa protokollet till den internationella konventionen om medborgerliga och politiska rättigheter, som syftar till att avskaffa dödsstraffet, har dödsstraffet inte tillämpats i praktiken sedan 2020. Indien har </w:t>
            </w:r>
            <w:r w:rsidRPr="001343C2">
              <w:rPr>
                <w:b/>
                <w:bCs/>
                <w:i/>
                <w:iCs/>
              </w:rPr>
              <w:t>undertecknat</w:t>
            </w:r>
            <w:r w:rsidRPr="001343C2">
              <w:t xml:space="preserve"> konventionen mot tortyr och annan grym, omänsklig eller förnedrande behandling eller bestraffning. Det pågår ingen väpnad konflikt i Indien, och därför föreligger inget hot på grund av urskillningslöst våld i situationer av internationell eller intern väpnad konflikt. Det finns i allmänhet ingen förföljelse i landet i den mening som avses i artikel 9 i förordning (EU) 2024/1347.</w:t>
            </w:r>
          </w:p>
        </w:tc>
      </w:tr>
    </w:tbl>
    <w:p w14:paraId="5F397B50" w14:textId="77777777" w:rsidR="006B28A1" w:rsidRPr="001343C2" w:rsidRDefault="007F0056" w:rsidP="006B28A1">
      <w:pPr>
        <w:pStyle w:val="Olang"/>
        <w:rPr>
          <w:sz w:val="24"/>
          <w:szCs w:val="24"/>
        </w:rPr>
      </w:pPr>
      <w:r w:rsidRPr="001343C2">
        <w:rPr>
          <w:sz w:val="24"/>
          <w:szCs w:val="24"/>
        </w:rPr>
        <w:lastRenderedPageBreak/>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3B3C88D3" w14:textId="77777777" w:rsidR="006B28A1" w:rsidRPr="001343C2" w:rsidRDefault="007F0056" w:rsidP="006B28A1">
      <w:pPr>
        <w:rPr>
          <w:szCs w:val="24"/>
        </w:rPr>
      </w:pPr>
      <w:r w:rsidRPr="00DE1D77">
        <w:rPr>
          <w:rStyle w:val="HideTWBExt"/>
        </w:rPr>
        <w:t>&lt;/Amend&gt;</w:t>
      </w:r>
    </w:p>
    <w:p w14:paraId="1C59DB8C"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4</w:t>
      </w:r>
      <w:r w:rsidRPr="00DE1D77">
        <w:rPr>
          <w:rStyle w:val="HideTWBExt"/>
          <w:b w:val="0"/>
        </w:rPr>
        <w:t>&lt;/NumAm&gt;</w:t>
      </w:r>
    </w:p>
    <w:p w14:paraId="3E485BFB"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78FD8904" w14:textId="77777777" w:rsidR="006B28A1" w:rsidRPr="001343C2" w:rsidRDefault="007F0056" w:rsidP="006B28A1">
      <w:pPr>
        <w:pStyle w:val="NormalBold"/>
      </w:pPr>
      <w:r w:rsidRPr="00DE1D77">
        <w:rPr>
          <w:rStyle w:val="HideTWBExt"/>
          <w:b w:val="0"/>
        </w:rPr>
        <w:t>&lt;Article&gt;</w:t>
      </w:r>
      <w:r w:rsidRPr="001343C2">
        <w:t>Skäl 16</w:t>
      </w:r>
      <w:r w:rsidRPr="00DE1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584FC15C" w14:textId="77777777" w:rsidTr="006B28A1">
        <w:trPr>
          <w:jc w:val="center"/>
        </w:trPr>
        <w:tc>
          <w:tcPr>
            <w:tcW w:w="9752" w:type="dxa"/>
            <w:gridSpan w:val="2"/>
          </w:tcPr>
          <w:p w14:paraId="317E60AE" w14:textId="77777777" w:rsidR="006B28A1" w:rsidRPr="001343C2" w:rsidRDefault="006B28A1">
            <w:pPr>
              <w:keepNext/>
            </w:pPr>
          </w:p>
        </w:tc>
      </w:tr>
      <w:tr w:rsidR="001C0EEE" w:rsidRPr="001343C2" w14:paraId="0324853A" w14:textId="77777777" w:rsidTr="006B28A1">
        <w:trPr>
          <w:jc w:val="center"/>
        </w:trPr>
        <w:tc>
          <w:tcPr>
            <w:tcW w:w="4876" w:type="dxa"/>
            <w:hideMark/>
          </w:tcPr>
          <w:p w14:paraId="06B9D193" w14:textId="77777777" w:rsidR="006B28A1" w:rsidRPr="001343C2" w:rsidRDefault="007F0056">
            <w:pPr>
              <w:pStyle w:val="ColumnHeading"/>
              <w:keepNext/>
            </w:pPr>
            <w:r w:rsidRPr="001343C2">
              <w:t>Kommissionens förslag</w:t>
            </w:r>
          </w:p>
        </w:tc>
        <w:tc>
          <w:tcPr>
            <w:tcW w:w="4876" w:type="dxa"/>
            <w:hideMark/>
          </w:tcPr>
          <w:p w14:paraId="21A99E24" w14:textId="77777777" w:rsidR="006B28A1" w:rsidRPr="001343C2" w:rsidRDefault="007F0056">
            <w:pPr>
              <w:pStyle w:val="ColumnHeading"/>
              <w:keepNext/>
            </w:pPr>
            <w:r w:rsidRPr="001343C2">
              <w:t>Ändringsförslag</w:t>
            </w:r>
          </w:p>
        </w:tc>
      </w:tr>
      <w:tr w:rsidR="001C0EEE" w:rsidRPr="001343C2" w14:paraId="05549D6D" w14:textId="77777777" w:rsidTr="006B28A1">
        <w:trPr>
          <w:jc w:val="center"/>
        </w:trPr>
        <w:tc>
          <w:tcPr>
            <w:tcW w:w="4876" w:type="dxa"/>
            <w:hideMark/>
          </w:tcPr>
          <w:p w14:paraId="2B17B3C0" w14:textId="77777777" w:rsidR="006B28A1" w:rsidRPr="001343C2" w:rsidRDefault="007F0056">
            <w:pPr>
              <w:pStyle w:val="Normal6"/>
            </w:pPr>
            <w:r w:rsidRPr="001343C2">
              <w:t>(16)</w:t>
            </w:r>
            <w:r w:rsidRPr="001343C2">
              <w:tab/>
              <w:t xml:space="preserve">Med tanke på att det i allmänhet inte finns någon risk för förföljelse eller allvarlig skada, i den mening som avses i förordning (EU) 2024/1347, i Bangladesh, Colombia, Egypten, Indien, Marocko och Tunisien, samt i Kosovo som potentiell kandidat för medlemskap i unionen, vilket också framgår av den mycket låga andelen godkända ansökningar, </w:t>
            </w:r>
            <w:r w:rsidRPr="001343C2">
              <w:rPr>
                <w:b/>
                <w:bCs/>
                <w:i/>
                <w:iCs/>
              </w:rPr>
              <w:t>bör de</w:t>
            </w:r>
            <w:r w:rsidRPr="001343C2">
              <w:t xml:space="preserve"> </w:t>
            </w:r>
            <w:r w:rsidRPr="001343C2">
              <w:rPr>
                <w:b/>
                <w:bCs/>
                <w:i/>
                <w:iCs/>
              </w:rPr>
              <w:t>emellertid</w:t>
            </w:r>
            <w:r w:rsidRPr="001343C2">
              <w:t xml:space="preserve"> betecknas som säkra ursprungsländer på unionsnivå.</w:t>
            </w:r>
          </w:p>
        </w:tc>
        <w:tc>
          <w:tcPr>
            <w:tcW w:w="4876" w:type="dxa"/>
            <w:hideMark/>
          </w:tcPr>
          <w:p w14:paraId="475790A3" w14:textId="77777777" w:rsidR="006B28A1" w:rsidRPr="001343C2" w:rsidRDefault="007F0056">
            <w:pPr>
              <w:pStyle w:val="Normal6"/>
              <w:rPr>
                <w:szCs w:val="24"/>
              </w:rPr>
            </w:pPr>
            <w:r w:rsidRPr="001343C2">
              <w:t>(16)</w:t>
            </w:r>
            <w:r w:rsidRPr="001343C2">
              <w:tab/>
              <w:t xml:space="preserve">Med tanke på att det i allmänhet inte finns någon risk för förföljelse eller allvarlig skada, i den mening som avses i förordning (EU) 2024/1347, i Bangladesh, Colombia, Egypten, Indien, Marocko och Tunisien, samt i Kosovo som potentiell kandidat för medlemskap i unionen, vilket också framgår av den mycket låga andelen godkända ansökningar, </w:t>
            </w:r>
            <w:r w:rsidRPr="001343C2">
              <w:rPr>
                <w:b/>
                <w:bCs/>
                <w:i/>
                <w:iCs/>
              </w:rPr>
              <w:t>kan det slås fast att de uppfyller kriterierna för att</w:t>
            </w:r>
            <w:r w:rsidRPr="001343C2">
              <w:t xml:space="preserve"> betecknas som säkra ursprungsländer på unionsnivå. </w:t>
            </w:r>
            <w:r w:rsidRPr="001343C2">
              <w:rPr>
                <w:b/>
                <w:i/>
              </w:rPr>
              <w:t>Detta påverkar inte medlemsstaternas möjlighet att beteckna andra tredjeländer som säkra ursprungsländer på nationell nivå och möjligheten att i framtiden beteckna ytterligare tredjeländer som säkra ursprungsländer på unionsnivå genom framtida ändringar av förordning (EU) 2024/1348.</w:t>
            </w:r>
          </w:p>
        </w:tc>
      </w:tr>
    </w:tbl>
    <w:p w14:paraId="1A281AC5"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0F97A593" w14:textId="77777777" w:rsidR="006B28A1" w:rsidRPr="001343C2" w:rsidRDefault="007F0056" w:rsidP="006B28A1">
      <w:pPr>
        <w:pStyle w:val="JustificationTitle"/>
        <w:rPr>
          <w:noProof w:val="0"/>
        </w:rPr>
      </w:pPr>
      <w:r w:rsidRPr="00DE1D77">
        <w:rPr>
          <w:rStyle w:val="HideTWBExt"/>
          <w:i w:val="0"/>
        </w:rPr>
        <w:lastRenderedPageBreak/>
        <w:t>&lt;TitreJust&gt;</w:t>
      </w:r>
      <w:r w:rsidRPr="001343C2">
        <w:t>Motivering</w:t>
      </w:r>
      <w:r w:rsidRPr="00DE1D77">
        <w:rPr>
          <w:rStyle w:val="HideTWBExt"/>
          <w:i w:val="0"/>
        </w:rPr>
        <w:t>&lt;/TitreJust&gt;</w:t>
      </w:r>
    </w:p>
    <w:p w14:paraId="47B7C01C" w14:textId="77777777" w:rsidR="006B28A1" w:rsidRPr="001343C2" w:rsidRDefault="007F0056" w:rsidP="006B28A1">
      <w:pPr>
        <w:pStyle w:val="Normal12Italic"/>
        <w:rPr>
          <w:noProof w:val="0"/>
        </w:rPr>
      </w:pPr>
      <w:r w:rsidRPr="001343C2">
        <w:t>För att bevara unionens och dess medlemsstaters flexibilitet när det gäller att reagera på föränderliga omständigheter är det lämpligt att klargöra att upprättandet av en gemensam förteckning över säkra ursprungsländer på unionsnivå inte utesluter möjligheten för medlemsstaterna att behålla eller anta nationella beteckningar av andra tredjeländer som säkra, och det utesluter inte heller möjligheten att i framtiden föra upp ytterligare tredjeländer på EU-förteckningen.</w:t>
      </w:r>
    </w:p>
    <w:p w14:paraId="6F51C57D" w14:textId="77777777" w:rsidR="006B28A1" w:rsidRPr="001343C2" w:rsidRDefault="007F0056" w:rsidP="006B28A1">
      <w:r w:rsidRPr="00DE1D77">
        <w:rPr>
          <w:rStyle w:val="HideTWBExt"/>
        </w:rPr>
        <w:t>&lt;/Amend&gt;</w:t>
      </w:r>
    </w:p>
    <w:p w14:paraId="2F124C04"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5</w:t>
      </w:r>
      <w:r w:rsidRPr="00DE1D77">
        <w:rPr>
          <w:rStyle w:val="HideTWBExt"/>
          <w:b w:val="0"/>
        </w:rPr>
        <w:t>&lt;/NumAm&gt;</w:t>
      </w:r>
    </w:p>
    <w:p w14:paraId="6BFAF5D0"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15B52DE4" w14:textId="77777777" w:rsidR="006B28A1" w:rsidRPr="001343C2" w:rsidRDefault="007F0056" w:rsidP="006B28A1">
      <w:pPr>
        <w:pStyle w:val="NormalBold"/>
      </w:pPr>
      <w:r w:rsidRPr="00DE1D77">
        <w:rPr>
          <w:rStyle w:val="HideTWBExt"/>
          <w:b w:val="0"/>
        </w:rPr>
        <w:t>&lt;Article&gt;</w:t>
      </w:r>
      <w:r w:rsidRPr="001343C2">
        <w:t>Skäl 18</w:t>
      </w:r>
      <w:r w:rsidRPr="00DE1D7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53835ADD" w14:textId="77777777" w:rsidTr="006B28A1">
        <w:trPr>
          <w:jc w:val="center"/>
        </w:trPr>
        <w:tc>
          <w:tcPr>
            <w:tcW w:w="9752" w:type="dxa"/>
            <w:gridSpan w:val="2"/>
          </w:tcPr>
          <w:p w14:paraId="62AE4B15" w14:textId="77777777" w:rsidR="006B28A1" w:rsidRPr="001343C2" w:rsidRDefault="006B28A1">
            <w:pPr>
              <w:keepNext/>
            </w:pPr>
          </w:p>
        </w:tc>
      </w:tr>
      <w:tr w:rsidR="001C0EEE" w:rsidRPr="001343C2" w14:paraId="7F6DF0CA" w14:textId="77777777" w:rsidTr="006B28A1">
        <w:trPr>
          <w:jc w:val="center"/>
        </w:trPr>
        <w:tc>
          <w:tcPr>
            <w:tcW w:w="4876" w:type="dxa"/>
            <w:hideMark/>
          </w:tcPr>
          <w:p w14:paraId="7141C240" w14:textId="77777777" w:rsidR="006B28A1" w:rsidRPr="001343C2" w:rsidRDefault="007F0056">
            <w:pPr>
              <w:pStyle w:val="ColumnHeading"/>
              <w:keepNext/>
            </w:pPr>
            <w:r w:rsidRPr="001343C2">
              <w:t>Kommissionens förslag</w:t>
            </w:r>
          </w:p>
        </w:tc>
        <w:tc>
          <w:tcPr>
            <w:tcW w:w="4876" w:type="dxa"/>
            <w:hideMark/>
          </w:tcPr>
          <w:p w14:paraId="02C5F5A8" w14:textId="77777777" w:rsidR="006B28A1" w:rsidRPr="001343C2" w:rsidRDefault="007F0056">
            <w:pPr>
              <w:pStyle w:val="ColumnHeading"/>
              <w:keepNext/>
            </w:pPr>
            <w:r w:rsidRPr="001343C2">
              <w:t>Ändringsförslag</w:t>
            </w:r>
          </w:p>
        </w:tc>
      </w:tr>
      <w:tr w:rsidR="001C0EEE" w:rsidRPr="001343C2" w14:paraId="45EB74AC" w14:textId="77777777" w:rsidTr="006B28A1">
        <w:trPr>
          <w:jc w:val="center"/>
        </w:trPr>
        <w:tc>
          <w:tcPr>
            <w:tcW w:w="4876" w:type="dxa"/>
            <w:hideMark/>
          </w:tcPr>
          <w:p w14:paraId="37BB6F85" w14:textId="77777777" w:rsidR="006B28A1" w:rsidRPr="001343C2" w:rsidRDefault="007F0056">
            <w:pPr>
              <w:pStyle w:val="Normal6"/>
            </w:pPr>
            <w:r w:rsidRPr="001343C2">
              <w:t>(18)</w:t>
            </w:r>
            <w:r w:rsidRPr="001343C2">
              <w:tab/>
              <w:t xml:space="preserve">Med tanke på att migrationssituationen kan förändras snabbt och pressen håller på att öka till följd av att det anländer blandade flöden med en hög andel personer som har små chanser att få internationellt skydd, bör medlemsstaterna kunna tillämpa den grund för att påskynda prövningen av ansökningar som fastställs i artikel </w:t>
            </w:r>
            <w:r w:rsidRPr="001343C2">
              <w:rPr>
                <w:b/>
                <w:bCs/>
                <w:i/>
                <w:iCs/>
              </w:rPr>
              <w:t>41.1</w:t>
            </w:r>
            <w:r w:rsidRPr="001343C2">
              <w:t xml:space="preserve"> </w:t>
            </w:r>
            <w:r w:rsidRPr="001343C2">
              <w:rPr>
                <w:b/>
                <w:bCs/>
                <w:i/>
                <w:iCs/>
              </w:rPr>
              <w:t>j</w:t>
            </w:r>
            <w:r w:rsidRPr="001343C2">
              <w:t xml:space="preserve"> i förordning (EU) 2024/1348 från ett tidigare datum än det allmänna tillämpningsdatumet för den förordningen. Detta skulle göra det möjligt för medlemsstaterna att reagera snabbt och flexibelt på förändringar i migrationsflödena. Med tanke på att ansökningar från sådana sökande sannolikt är ogrundade, skulle asyl- och migrationsmyndigheterna genom att handlägga dem snabbt i ett påskyndat förfarande eller ett gränsförfarande mer effektivt kunna bedöma välgrundade anspråk, få fram snabbare beslut och därmed bidra till en asyl- och återvändandepolitik som fungerar bättre och mer trovärdigt, med full respekt för grundläggande rättigheter.</w:t>
            </w:r>
          </w:p>
        </w:tc>
        <w:tc>
          <w:tcPr>
            <w:tcW w:w="4876" w:type="dxa"/>
            <w:hideMark/>
          </w:tcPr>
          <w:p w14:paraId="2CB20EB8" w14:textId="77777777" w:rsidR="006B28A1" w:rsidRPr="001343C2" w:rsidRDefault="007F0056">
            <w:pPr>
              <w:pStyle w:val="Normal6"/>
              <w:rPr>
                <w:szCs w:val="24"/>
              </w:rPr>
            </w:pPr>
            <w:r w:rsidRPr="001343C2">
              <w:t>(18)</w:t>
            </w:r>
            <w:r w:rsidRPr="001343C2">
              <w:tab/>
              <w:t xml:space="preserve">Med tanke på att migrationssituationen kan förändras snabbt och pressen håller på att öka till följd av att det anländer blandade flöden med en hög andel personer som har små chanser att få internationellt skydd, bör medlemsstaterna kunna tillämpa den grund för att påskynda prövningen av ansökningar som fastställs i artikel </w:t>
            </w:r>
            <w:r w:rsidRPr="001343C2">
              <w:rPr>
                <w:b/>
                <w:bCs/>
                <w:i/>
                <w:iCs/>
              </w:rPr>
              <w:t>42.1 j</w:t>
            </w:r>
            <w:r w:rsidRPr="001343C2">
              <w:t xml:space="preserve"> i förordning (EU) 2024/1348 från ett tidigare datum än det allmänna tillämpningsdatumet för den förordningen. Detta skulle göra det möjligt för medlemsstaterna att reagera snabbt och flexibelt på förändringar i migrationsflödena. Med tanke på att ansökningar från sådana sökande sannolikt är ogrundade, skulle asyl- och migrationsmyndigheterna genom att handlägga dem snabbt i ett påskyndat förfarande eller ett gränsförfarande mer effektivt kunna bedöma välgrundade anspråk, få fram snabbare beslut och därmed bidra till en asyl- och återvändandepolitik som fungerar bättre och mer trovärdigt, med full respekt för grundläggande rättigheter.</w:t>
            </w:r>
          </w:p>
        </w:tc>
      </w:tr>
    </w:tbl>
    <w:p w14:paraId="74E7BD6D"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795B01B8" w14:textId="77777777" w:rsidR="006B28A1" w:rsidRPr="001343C2" w:rsidRDefault="007F0056" w:rsidP="006B28A1">
      <w:pPr>
        <w:rPr>
          <w:szCs w:val="24"/>
        </w:rPr>
      </w:pPr>
      <w:r w:rsidRPr="00DE1D77">
        <w:rPr>
          <w:rStyle w:val="HideTWBExt"/>
        </w:rPr>
        <w:t>&lt;/Amend&gt;</w:t>
      </w:r>
    </w:p>
    <w:p w14:paraId="335DEB40" w14:textId="77777777" w:rsidR="006B28A1" w:rsidRPr="001343C2" w:rsidRDefault="007F0056" w:rsidP="006B28A1">
      <w:pPr>
        <w:pStyle w:val="AMNumberTabs0"/>
        <w:keepNext/>
      </w:pPr>
      <w:r w:rsidRPr="00DE1D77">
        <w:rPr>
          <w:rStyle w:val="HideTWBExt"/>
          <w:b w:val="0"/>
        </w:rPr>
        <w:lastRenderedPageBreak/>
        <w:t>&lt;Amend&gt;</w:t>
      </w:r>
      <w:r w:rsidRPr="001343C2">
        <w:t>Ändringsförslag</w:t>
      </w:r>
      <w:r w:rsidRPr="001343C2">
        <w:tab/>
      </w:r>
      <w:r w:rsidRPr="001343C2">
        <w:tab/>
      </w:r>
      <w:r w:rsidRPr="00DE1D77">
        <w:rPr>
          <w:rStyle w:val="HideTWBExt"/>
          <w:b w:val="0"/>
        </w:rPr>
        <w:t>&lt;NumAm&gt;</w:t>
      </w:r>
      <w:r w:rsidRPr="001343C2">
        <w:t>6</w:t>
      </w:r>
      <w:r w:rsidRPr="00DE1D77">
        <w:rPr>
          <w:rStyle w:val="HideTWBExt"/>
          <w:b w:val="0"/>
        </w:rPr>
        <w:t>&lt;/NumAm&gt;</w:t>
      </w:r>
    </w:p>
    <w:p w14:paraId="3516D662"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482B492A" w14:textId="77777777" w:rsidR="006B28A1" w:rsidRPr="001343C2" w:rsidRDefault="007F0056" w:rsidP="006B28A1">
      <w:pPr>
        <w:pStyle w:val="NormalBold"/>
      </w:pPr>
      <w:r w:rsidRPr="00DE1D77">
        <w:rPr>
          <w:rStyle w:val="HideTWBExt"/>
          <w:b w:val="0"/>
        </w:rPr>
        <w:t>&lt;Article&gt;</w:t>
      </w:r>
      <w:r w:rsidRPr="001343C2">
        <w:t>Artikel 1 – stycke 1 – led 1 – led a</w:t>
      </w:r>
      <w:r w:rsidRPr="00DE1D77">
        <w:rPr>
          <w:rStyle w:val="HideTWBExt"/>
          <w:b w:val="0"/>
        </w:rPr>
        <w:t>&lt;/Article&gt;</w:t>
      </w:r>
    </w:p>
    <w:p w14:paraId="3FA2A8C0" w14:textId="77777777" w:rsidR="006B28A1" w:rsidRPr="001343C2" w:rsidRDefault="007F0056" w:rsidP="006B28A1">
      <w:pPr>
        <w:keepNext/>
      </w:pPr>
      <w:r w:rsidRPr="00DE1D77">
        <w:rPr>
          <w:rStyle w:val="HideTWBExt"/>
        </w:rPr>
        <w:t>&lt;DocAmend2&gt;</w:t>
      </w:r>
      <w:r w:rsidRPr="001343C2">
        <w:t>Förordning (EU) 2024/1348</w:t>
      </w:r>
      <w:r w:rsidRPr="00DE1D77">
        <w:rPr>
          <w:rStyle w:val="HideTWBExt"/>
        </w:rPr>
        <w:t>&lt;/DocAmend2&gt;</w:t>
      </w:r>
    </w:p>
    <w:p w14:paraId="5E309515" w14:textId="77777777" w:rsidR="006B28A1" w:rsidRPr="001343C2" w:rsidRDefault="007F0056" w:rsidP="006B28A1">
      <w:r w:rsidRPr="00DE1D77">
        <w:rPr>
          <w:rStyle w:val="HideTWBExt"/>
        </w:rPr>
        <w:t>&lt;Article2&gt;</w:t>
      </w:r>
      <w:r w:rsidRPr="001343C2">
        <w:t>Artikel 62 – punkt 1 – inledningen</w:t>
      </w:r>
      <w:r w:rsidRPr="00DE1D7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4C7B7270" w14:textId="77777777" w:rsidTr="006B28A1">
        <w:trPr>
          <w:jc w:val="center"/>
        </w:trPr>
        <w:tc>
          <w:tcPr>
            <w:tcW w:w="9752" w:type="dxa"/>
            <w:gridSpan w:val="2"/>
          </w:tcPr>
          <w:p w14:paraId="08D41D79" w14:textId="77777777" w:rsidR="006B28A1" w:rsidRPr="001343C2" w:rsidRDefault="006B28A1">
            <w:pPr>
              <w:keepNext/>
            </w:pPr>
          </w:p>
        </w:tc>
      </w:tr>
      <w:tr w:rsidR="001C0EEE" w:rsidRPr="001343C2" w14:paraId="307171E8" w14:textId="77777777" w:rsidTr="006B28A1">
        <w:trPr>
          <w:jc w:val="center"/>
        </w:trPr>
        <w:tc>
          <w:tcPr>
            <w:tcW w:w="4876" w:type="dxa"/>
            <w:hideMark/>
          </w:tcPr>
          <w:p w14:paraId="36E21778" w14:textId="77777777" w:rsidR="006B28A1" w:rsidRPr="001343C2" w:rsidRDefault="007F0056">
            <w:pPr>
              <w:pStyle w:val="ColumnHeading"/>
              <w:keepNext/>
            </w:pPr>
            <w:r w:rsidRPr="001343C2">
              <w:t>Kommissionens förslag</w:t>
            </w:r>
          </w:p>
        </w:tc>
        <w:tc>
          <w:tcPr>
            <w:tcW w:w="4876" w:type="dxa"/>
            <w:hideMark/>
          </w:tcPr>
          <w:p w14:paraId="1AAB15D6" w14:textId="77777777" w:rsidR="006B28A1" w:rsidRPr="001343C2" w:rsidRDefault="007F0056">
            <w:pPr>
              <w:pStyle w:val="ColumnHeading"/>
              <w:keepNext/>
            </w:pPr>
            <w:r w:rsidRPr="001343C2">
              <w:t>Ändringsförslag</w:t>
            </w:r>
          </w:p>
        </w:tc>
      </w:tr>
      <w:tr w:rsidR="001C0EEE" w:rsidRPr="001343C2" w14:paraId="42E8DA53" w14:textId="77777777" w:rsidTr="006B28A1">
        <w:trPr>
          <w:jc w:val="center"/>
        </w:trPr>
        <w:tc>
          <w:tcPr>
            <w:tcW w:w="4876" w:type="dxa"/>
            <w:hideMark/>
          </w:tcPr>
          <w:p w14:paraId="0B2BAFD8" w14:textId="77777777" w:rsidR="006B28A1" w:rsidRPr="001343C2" w:rsidRDefault="007F0056">
            <w:pPr>
              <w:pStyle w:val="Normal6"/>
            </w:pPr>
            <w:r w:rsidRPr="001343C2">
              <w:t>1.</w:t>
            </w:r>
            <w:r w:rsidRPr="001343C2">
              <w:tab/>
              <w:t xml:space="preserve">De länder som har beviljats status som kandidatstater för anslutning till unionen betecknas som säkra ursprungsländer på unionsnivå, såvida inte en eller flera av följande omständigheter </w:t>
            </w:r>
            <w:r w:rsidRPr="001343C2">
              <w:rPr>
                <w:b/>
                <w:bCs/>
                <w:i/>
                <w:iCs/>
              </w:rPr>
              <w:t>föreligger</w:t>
            </w:r>
            <w:r w:rsidRPr="001343C2">
              <w:t>:</w:t>
            </w:r>
          </w:p>
        </w:tc>
        <w:tc>
          <w:tcPr>
            <w:tcW w:w="4876" w:type="dxa"/>
            <w:hideMark/>
          </w:tcPr>
          <w:p w14:paraId="2605ADCA" w14:textId="77777777" w:rsidR="006B28A1" w:rsidRPr="001343C2" w:rsidRDefault="007F0056">
            <w:pPr>
              <w:pStyle w:val="Normal6"/>
              <w:rPr>
                <w:szCs w:val="24"/>
              </w:rPr>
            </w:pPr>
            <w:r w:rsidRPr="001343C2">
              <w:t>1.</w:t>
            </w:r>
            <w:r w:rsidRPr="001343C2">
              <w:tab/>
              <w:t xml:space="preserve">De länder som har beviljats status som kandidatstater för anslutning till unionen betecknas som säkra ursprungsländer på unionsnivå, såvida inte en eller flera av följande omständigheter </w:t>
            </w:r>
            <w:r w:rsidRPr="001343C2">
              <w:rPr>
                <w:b/>
                <w:bCs/>
                <w:i/>
                <w:iCs/>
              </w:rPr>
              <w:t>är tillämpliga på dem</w:t>
            </w:r>
            <w:r w:rsidRPr="001343C2">
              <w:t>:</w:t>
            </w:r>
          </w:p>
        </w:tc>
      </w:tr>
    </w:tbl>
    <w:p w14:paraId="7A0C87FA"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4DC97C41" w14:textId="77777777" w:rsidR="006B28A1" w:rsidRPr="001343C2" w:rsidRDefault="007F0056" w:rsidP="006B28A1">
      <w:pPr>
        <w:rPr>
          <w:szCs w:val="24"/>
        </w:rPr>
      </w:pPr>
      <w:r w:rsidRPr="00DE1D77">
        <w:rPr>
          <w:rStyle w:val="HideTWBExt"/>
        </w:rPr>
        <w:t>&lt;/Amend&gt;</w:t>
      </w:r>
    </w:p>
    <w:p w14:paraId="45B09BF6"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7</w:t>
      </w:r>
      <w:r w:rsidRPr="00DE1D77">
        <w:rPr>
          <w:rStyle w:val="HideTWBExt"/>
          <w:b w:val="0"/>
        </w:rPr>
        <w:t>&lt;/NumAm&gt;</w:t>
      </w:r>
    </w:p>
    <w:p w14:paraId="235BF7BF"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1A3C29E3" w14:textId="77777777" w:rsidR="006B28A1" w:rsidRPr="001343C2" w:rsidRDefault="007F0056" w:rsidP="006B28A1">
      <w:pPr>
        <w:pStyle w:val="NormalBold"/>
      </w:pPr>
      <w:r w:rsidRPr="00DE1D77">
        <w:rPr>
          <w:rStyle w:val="HideTWBExt"/>
          <w:b w:val="0"/>
        </w:rPr>
        <w:t>&lt;Article&gt;</w:t>
      </w:r>
      <w:r w:rsidRPr="001343C2">
        <w:t>Artikel 1 – stycke 1 – led 1 – led a</w:t>
      </w:r>
      <w:r w:rsidRPr="00DE1D77">
        <w:rPr>
          <w:rStyle w:val="HideTWBExt"/>
          <w:b w:val="0"/>
        </w:rPr>
        <w:t>&lt;/Article&gt;</w:t>
      </w:r>
    </w:p>
    <w:p w14:paraId="111FB898" w14:textId="77777777" w:rsidR="006B28A1" w:rsidRPr="001343C2" w:rsidRDefault="007F0056" w:rsidP="006B28A1">
      <w:pPr>
        <w:keepNext/>
      </w:pPr>
      <w:r w:rsidRPr="00DE1D77">
        <w:rPr>
          <w:rStyle w:val="HideTWBExt"/>
        </w:rPr>
        <w:t>&lt;DocAmend2&gt;</w:t>
      </w:r>
      <w:r w:rsidRPr="001343C2">
        <w:t>Förordning (EU) 2024/1348</w:t>
      </w:r>
      <w:r w:rsidRPr="00DE1D77">
        <w:rPr>
          <w:rStyle w:val="HideTWBExt"/>
        </w:rPr>
        <w:t>&lt;/DocAmend2&gt;</w:t>
      </w:r>
    </w:p>
    <w:p w14:paraId="08F94B81" w14:textId="77777777" w:rsidR="006B28A1" w:rsidRPr="001343C2" w:rsidRDefault="007F0056" w:rsidP="006B28A1">
      <w:r w:rsidRPr="00DE1D77">
        <w:rPr>
          <w:rStyle w:val="HideTWBExt"/>
        </w:rPr>
        <w:t>&lt;Article2&gt;</w:t>
      </w:r>
      <w:r w:rsidRPr="001343C2">
        <w:t>Artikel 62 – stycke 1 – led a</w:t>
      </w:r>
      <w:r w:rsidRPr="00DE1D7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460A2F21" w14:textId="77777777" w:rsidTr="006B28A1">
        <w:trPr>
          <w:jc w:val="center"/>
        </w:trPr>
        <w:tc>
          <w:tcPr>
            <w:tcW w:w="9752" w:type="dxa"/>
            <w:gridSpan w:val="2"/>
          </w:tcPr>
          <w:p w14:paraId="5ED254C0" w14:textId="77777777" w:rsidR="006B28A1" w:rsidRPr="001343C2" w:rsidRDefault="006B28A1">
            <w:pPr>
              <w:keepNext/>
            </w:pPr>
          </w:p>
        </w:tc>
      </w:tr>
      <w:tr w:rsidR="001C0EEE" w:rsidRPr="001343C2" w14:paraId="058B24C7" w14:textId="77777777" w:rsidTr="006B28A1">
        <w:trPr>
          <w:jc w:val="center"/>
        </w:trPr>
        <w:tc>
          <w:tcPr>
            <w:tcW w:w="4876" w:type="dxa"/>
            <w:hideMark/>
          </w:tcPr>
          <w:p w14:paraId="0FBED59D" w14:textId="77777777" w:rsidR="006B28A1" w:rsidRPr="001343C2" w:rsidRDefault="007F0056">
            <w:pPr>
              <w:pStyle w:val="ColumnHeading"/>
              <w:keepNext/>
            </w:pPr>
            <w:r w:rsidRPr="001343C2">
              <w:t>Kommissionens förslag</w:t>
            </w:r>
          </w:p>
        </w:tc>
        <w:tc>
          <w:tcPr>
            <w:tcW w:w="4876" w:type="dxa"/>
            <w:hideMark/>
          </w:tcPr>
          <w:p w14:paraId="2715AC99" w14:textId="77777777" w:rsidR="006B28A1" w:rsidRPr="001343C2" w:rsidRDefault="007F0056">
            <w:pPr>
              <w:pStyle w:val="ColumnHeading"/>
              <w:keepNext/>
            </w:pPr>
            <w:r w:rsidRPr="001343C2">
              <w:t>Ändringsförslag</w:t>
            </w:r>
          </w:p>
        </w:tc>
      </w:tr>
      <w:tr w:rsidR="001C0EEE" w:rsidRPr="001343C2" w14:paraId="1BA9C9C8" w14:textId="77777777" w:rsidTr="006B28A1">
        <w:trPr>
          <w:jc w:val="center"/>
        </w:trPr>
        <w:tc>
          <w:tcPr>
            <w:tcW w:w="4876" w:type="dxa"/>
            <w:hideMark/>
          </w:tcPr>
          <w:p w14:paraId="460EACCD" w14:textId="77777777" w:rsidR="006B28A1" w:rsidRPr="001343C2" w:rsidRDefault="007F0056">
            <w:pPr>
              <w:pStyle w:val="Normal6"/>
            </w:pPr>
            <w:r w:rsidRPr="001343C2">
              <w:t>a)</w:t>
            </w:r>
            <w:r w:rsidRPr="001343C2">
              <w:tab/>
              <w:t>Det föreligger ett allvarligt och personligt hot mot en civilpersons liv eller lem på grund av urskillningslöst våld i situationer av internationell eller intern väpnad konflikt i landet.</w:t>
            </w:r>
          </w:p>
        </w:tc>
        <w:tc>
          <w:tcPr>
            <w:tcW w:w="4876" w:type="dxa"/>
            <w:hideMark/>
          </w:tcPr>
          <w:p w14:paraId="3C080B64" w14:textId="77777777" w:rsidR="006B28A1" w:rsidRPr="001343C2" w:rsidRDefault="007F0056">
            <w:pPr>
              <w:pStyle w:val="Normal6"/>
              <w:rPr>
                <w:szCs w:val="24"/>
              </w:rPr>
            </w:pPr>
            <w:r w:rsidRPr="001343C2">
              <w:t>a)</w:t>
            </w:r>
            <w:r w:rsidRPr="001343C2">
              <w:tab/>
              <w:t>Det föreligger ett allvarligt och personligt hot mot en civilpersons liv eller lem på grund av urskillningslöst våld i situationer av internationell eller intern väpnad konflikt i landet</w:t>
            </w:r>
            <w:r w:rsidRPr="001343C2">
              <w:rPr>
                <w:b/>
                <w:bCs/>
                <w:i/>
                <w:iCs/>
              </w:rPr>
              <w:t>, såvida hotet inte är begränsat till ett geografiskt område och civilpersonen kan få tillgång till effektivt skydd i en annan del av landet</w:t>
            </w:r>
            <w:r w:rsidRPr="001343C2">
              <w:t>.</w:t>
            </w:r>
          </w:p>
        </w:tc>
      </w:tr>
    </w:tbl>
    <w:p w14:paraId="5BAEB7F3"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58D3CB41" w14:textId="77777777" w:rsidR="006B28A1" w:rsidRPr="001343C2" w:rsidRDefault="007F0056" w:rsidP="006B28A1">
      <w:pPr>
        <w:rPr>
          <w:szCs w:val="24"/>
        </w:rPr>
      </w:pPr>
      <w:r w:rsidRPr="00DE1D77">
        <w:rPr>
          <w:rStyle w:val="HideTWBExt"/>
        </w:rPr>
        <w:t>&lt;/Amend&gt;</w:t>
      </w:r>
    </w:p>
    <w:p w14:paraId="50295E9E"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8</w:t>
      </w:r>
      <w:r w:rsidRPr="00DE1D77">
        <w:rPr>
          <w:rStyle w:val="HideTWBExt"/>
          <w:b w:val="0"/>
        </w:rPr>
        <w:t>&lt;/NumAm&gt;</w:t>
      </w:r>
    </w:p>
    <w:p w14:paraId="5E1FC3B7"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03A4280A" w14:textId="77777777" w:rsidR="006B28A1" w:rsidRPr="001343C2" w:rsidRDefault="007F0056" w:rsidP="006B28A1">
      <w:pPr>
        <w:pStyle w:val="NormalBold"/>
      </w:pPr>
      <w:r w:rsidRPr="00DE1D77">
        <w:rPr>
          <w:rStyle w:val="HideTWBExt"/>
          <w:b w:val="0"/>
        </w:rPr>
        <w:t>&lt;Article&gt;</w:t>
      </w:r>
      <w:r w:rsidRPr="001343C2">
        <w:t>Artikel 1 – stycke 1 – led 1 – led a</w:t>
      </w:r>
      <w:r w:rsidRPr="00DE1D77">
        <w:rPr>
          <w:rStyle w:val="HideTWBExt"/>
          <w:b w:val="0"/>
        </w:rPr>
        <w:t>&lt;/Article&gt;</w:t>
      </w:r>
    </w:p>
    <w:p w14:paraId="4BA0B1F8" w14:textId="77777777" w:rsidR="006B28A1" w:rsidRPr="001343C2" w:rsidRDefault="007F0056" w:rsidP="006B28A1">
      <w:pPr>
        <w:keepNext/>
      </w:pPr>
      <w:r w:rsidRPr="00DE1D77">
        <w:rPr>
          <w:rStyle w:val="HideTWBExt"/>
        </w:rPr>
        <w:t>&lt;DocAmend2&gt;</w:t>
      </w:r>
      <w:r w:rsidRPr="001343C2">
        <w:t>Förordning (EU) 2024/1348</w:t>
      </w:r>
      <w:r w:rsidRPr="00DE1D77">
        <w:rPr>
          <w:rStyle w:val="HideTWBExt"/>
        </w:rPr>
        <w:t>&lt;/DocAmend2&gt;</w:t>
      </w:r>
    </w:p>
    <w:p w14:paraId="6ED8429E" w14:textId="77777777" w:rsidR="006B28A1" w:rsidRPr="001343C2" w:rsidRDefault="007F0056" w:rsidP="006B28A1">
      <w:r w:rsidRPr="00DE1D77">
        <w:rPr>
          <w:rStyle w:val="HideTWBExt"/>
        </w:rPr>
        <w:t>&lt;Article2&gt;</w:t>
      </w:r>
      <w:r w:rsidRPr="001343C2">
        <w:t>Artikel 62 – punkt 1 – led b</w:t>
      </w:r>
      <w:r w:rsidRPr="00DE1D7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58348A7C" w14:textId="77777777" w:rsidTr="006B28A1">
        <w:trPr>
          <w:jc w:val="center"/>
        </w:trPr>
        <w:tc>
          <w:tcPr>
            <w:tcW w:w="9752" w:type="dxa"/>
            <w:gridSpan w:val="2"/>
          </w:tcPr>
          <w:p w14:paraId="7980AB32" w14:textId="77777777" w:rsidR="006B28A1" w:rsidRPr="001343C2" w:rsidRDefault="006B28A1">
            <w:pPr>
              <w:keepNext/>
            </w:pPr>
          </w:p>
        </w:tc>
      </w:tr>
      <w:tr w:rsidR="001C0EEE" w:rsidRPr="001343C2" w14:paraId="75C73560" w14:textId="77777777" w:rsidTr="006B28A1">
        <w:trPr>
          <w:jc w:val="center"/>
        </w:trPr>
        <w:tc>
          <w:tcPr>
            <w:tcW w:w="4876" w:type="dxa"/>
            <w:hideMark/>
          </w:tcPr>
          <w:p w14:paraId="72B1917C" w14:textId="77777777" w:rsidR="006B28A1" w:rsidRPr="001343C2" w:rsidRDefault="007F0056">
            <w:pPr>
              <w:pStyle w:val="ColumnHeading"/>
              <w:keepNext/>
            </w:pPr>
            <w:r w:rsidRPr="001343C2">
              <w:t>Kommissionens förslag</w:t>
            </w:r>
          </w:p>
        </w:tc>
        <w:tc>
          <w:tcPr>
            <w:tcW w:w="4876" w:type="dxa"/>
            <w:hideMark/>
          </w:tcPr>
          <w:p w14:paraId="2127251B" w14:textId="77777777" w:rsidR="006B28A1" w:rsidRPr="001343C2" w:rsidRDefault="007F0056">
            <w:pPr>
              <w:pStyle w:val="ColumnHeading"/>
              <w:keepNext/>
            </w:pPr>
            <w:r w:rsidRPr="001343C2">
              <w:t>Ändringsförslag</w:t>
            </w:r>
          </w:p>
        </w:tc>
      </w:tr>
      <w:tr w:rsidR="001C0EEE" w:rsidRPr="001343C2" w14:paraId="594042A1" w14:textId="77777777" w:rsidTr="006B28A1">
        <w:trPr>
          <w:jc w:val="center"/>
        </w:trPr>
        <w:tc>
          <w:tcPr>
            <w:tcW w:w="4876" w:type="dxa"/>
            <w:hideMark/>
          </w:tcPr>
          <w:p w14:paraId="7657A965" w14:textId="77777777" w:rsidR="006B28A1" w:rsidRPr="001343C2" w:rsidRDefault="007F0056">
            <w:pPr>
              <w:pStyle w:val="Normal6"/>
            </w:pPr>
            <w:r w:rsidRPr="001343C2">
              <w:t>b)</w:t>
            </w:r>
            <w:r w:rsidRPr="001343C2">
              <w:tab/>
              <w:t xml:space="preserve">Det har antagits restriktiva åtgärder i den mening som avses i avdelning IV i </w:t>
            </w:r>
            <w:r w:rsidRPr="001343C2">
              <w:lastRenderedPageBreak/>
              <w:t>femte delen i fördraget om Europeiska unionens funktionssätt, med anledning av landets åtgärder.</w:t>
            </w:r>
          </w:p>
        </w:tc>
        <w:tc>
          <w:tcPr>
            <w:tcW w:w="4876" w:type="dxa"/>
            <w:hideMark/>
          </w:tcPr>
          <w:p w14:paraId="1C0A7BE8" w14:textId="77777777" w:rsidR="006B28A1" w:rsidRPr="001343C2" w:rsidRDefault="007F0056">
            <w:pPr>
              <w:pStyle w:val="Normal6"/>
              <w:rPr>
                <w:szCs w:val="24"/>
              </w:rPr>
            </w:pPr>
            <w:r w:rsidRPr="001343C2">
              <w:lastRenderedPageBreak/>
              <w:t>b)</w:t>
            </w:r>
            <w:r w:rsidRPr="001343C2">
              <w:tab/>
              <w:t xml:space="preserve">Det har antagits restriktiva åtgärder i den mening som avses i avdelning IV i </w:t>
            </w:r>
            <w:r w:rsidRPr="001343C2">
              <w:lastRenderedPageBreak/>
              <w:t xml:space="preserve">femte delen i fördraget om Europeiska unionens funktionssätt, med anledning av landets åtgärder </w:t>
            </w:r>
            <w:r w:rsidRPr="001343C2">
              <w:rPr>
                <w:b/>
                <w:bCs/>
                <w:i/>
                <w:iCs/>
              </w:rPr>
              <w:t>som påverkar de grundläggande rättigheterna och friheterna och som är relevanta för beteckningen av ett tredjeland som ett säkert ursprungsland i enlighet med artikel 61</w:t>
            </w:r>
            <w:r w:rsidRPr="001343C2">
              <w:t>.</w:t>
            </w:r>
          </w:p>
        </w:tc>
      </w:tr>
    </w:tbl>
    <w:p w14:paraId="1149020B" w14:textId="77777777" w:rsidR="006B28A1" w:rsidRPr="001343C2" w:rsidRDefault="007F0056" w:rsidP="006B28A1">
      <w:pPr>
        <w:pStyle w:val="Olang"/>
        <w:rPr>
          <w:sz w:val="24"/>
          <w:szCs w:val="24"/>
        </w:rPr>
      </w:pPr>
      <w:r w:rsidRPr="001343C2">
        <w:rPr>
          <w:sz w:val="24"/>
          <w:szCs w:val="24"/>
        </w:rPr>
        <w:lastRenderedPageBreak/>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38E01486" w14:textId="77777777" w:rsidR="006B28A1" w:rsidRPr="001343C2" w:rsidRDefault="007F0056" w:rsidP="006B28A1">
      <w:pPr>
        <w:rPr>
          <w:szCs w:val="24"/>
        </w:rPr>
      </w:pPr>
      <w:r w:rsidRPr="00DE1D77">
        <w:rPr>
          <w:rStyle w:val="HideTWBExt"/>
        </w:rPr>
        <w:t>&lt;/Amend&gt;</w:t>
      </w:r>
    </w:p>
    <w:p w14:paraId="078018D2"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9</w:t>
      </w:r>
      <w:r w:rsidRPr="00DE1D77">
        <w:rPr>
          <w:rStyle w:val="HideTWBExt"/>
          <w:b w:val="0"/>
        </w:rPr>
        <w:t>&lt;/NumAm&gt;</w:t>
      </w:r>
    </w:p>
    <w:p w14:paraId="5844F659"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68AB87CD" w14:textId="77777777" w:rsidR="006B28A1" w:rsidRPr="001343C2" w:rsidRDefault="007F0056" w:rsidP="006B28A1">
      <w:pPr>
        <w:pStyle w:val="NormalBold"/>
      </w:pPr>
      <w:r w:rsidRPr="00DE1D77">
        <w:rPr>
          <w:rStyle w:val="HideTWBExt"/>
          <w:b w:val="0"/>
        </w:rPr>
        <w:t>&lt;Article&gt;</w:t>
      </w:r>
      <w:r w:rsidRPr="001343C2">
        <w:t>Artikel 1 – stycke 1 – led 1 – led a</w:t>
      </w:r>
      <w:r w:rsidRPr="00DE1D77">
        <w:rPr>
          <w:rStyle w:val="HideTWBExt"/>
          <w:b w:val="0"/>
        </w:rPr>
        <w:t>&lt;/Article&gt;</w:t>
      </w:r>
    </w:p>
    <w:p w14:paraId="1785AAA7" w14:textId="77777777" w:rsidR="006B28A1" w:rsidRPr="001343C2" w:rsidRDefault="007F0056" w:rsidP="006B28A1">
      <w:pPr>
        <w:keepNext/>
      </w:pPr>
      <w:r w:rsidRPr="00DE1D77">
        <w:rPr>
          <w:rStyle w:val="HideTWBExt"/>
        </w:rPr>
        <w:t>&lt;DocAmend2&gt;</w:t>
      </w:r>
      <w:r w:rsidRPr="001343C2">
        <w:t>Förordning (EU) 2024/1348</w:t>
      </w:r>
      <w:r w:rsidRPr="00DE1D77">
        <w:rPr>
          <w:rStyle w:val="HideTWBExt"/>
        </w:rPr>
        <w:t>&lt;/DocAmend2&gt;</w:t>
      </w:r>
    </w:p>
    <w:p w14:paraId="7DF080B6" w14:textId="77777777" w:rsidR="006B28A1" w:rsidRPr="001343C2" w:rsidRDefault="007F0056" w:rsidP="006B28A1">
      <w:r w:rsidRPr="00DE1D77">
        <w:rPr>
          <w:rStyle w:val="HideTWBExt"/>
        </w:rPr>
        <w:t>&lt;Article2&gt;</w:t>
      </w:r>
      <w:r w:rsidRPr="001343C2">
        <w:t>Artikel 62 – punkt 1 – stycke 1a (nytt)</w:t>
      </w:r>
      <w:r w:rsidRPr="00DE1D7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62AF9254" w14:textId="77777777" w:rsidTr="006B28A1">
        <w:trPr>
          <w:jc w:val="center"/>
        </w:trPr>
        <w:tc>
          <w:tcPr>
            <w:tcW w:w="9752" w:type="dxa"/>
            <w:gridSpan w:val="2"/>
          </w:tcPr>
          <w:p w14:paraId="0E86C13A" w14:textId="77777777" w:rsidR="006B28A1" w:rsidRPr="001343C2" w:rsidRDefault="006B28A1">
            <w:pPr>
              <w:keepNext/>
            </w:pPr>
          </w:p>
        </w:tc>
      </w:tr>
      <w:tr w:rsidR="001C0EEE" w:rsidRPr="001343C2" w14:paraId="19FA50C2" w14:textId="77777777" w:rsidTr="006B28A1">
        <w:trPr>
          <w:jc w:val="center"/>
        </w:trPr>
        <w:tc>
          <w:tcPr>
            <w:tcW w:w="4876" w:type="dxa"/>
            <w:hideMark/>
          </w:tcPr>
          <w:p w14:paraId="048D8C91" w14:textId="77777777" w:rsidR="006B28A1" w:rsidRPr="001343C2" w:rsidRDefault="007F0056">
            <w:pPr>
              <w:pStyle w:val="ColumnHeading"/>
              <w:keepNext/>
            </w:pPr>
            <w:r w:rsidRPr="001343C2">
              <w:t>Kommissionens förslag</w:t>
            </w:r>
          </w:p>
        </w:tc>
        <w:tc>
          <w:tcPr>
            <w:tcW w:w="4876" w:type="dxa"/>
            <w:hideMark/>
          </w:tcPr>
          <w:p w14:paraId="4556474E" w14:textId="77777777" w:rsidR="006B28A1" w:rsidRPr="001343C2" w:rsidRDefault="007F0056">
            <w:pPr>
              <w:pStyle w:val="ColumnHeading"/>
              <w:keepNext/>
            </w:pPr>
            <w:r w:rsidRPr="001343C2">
              <w:t>Ändringsförslag</w:t>
            </w:r>
          </w:p>
        </w:tc>
      </w:tr>
      <w:tr w:rsidR="001C0EEE" w:rsidRPr="001343C2" w14:paraId="781C9183" w14:textId="77777777" w:rsidTr="006B28A1">
        <w:trPr>
          <w:jc w:val="center"/>
        </w:trPr>
        <w:tc>
          <w:tcPr>
            <w:tcW w:w="4876" w:type="dxa"/>
          </w:tcPr>
          <w:p w14:paraId="32F8D8A7" w14:textId="77777777" w:rsidR="006B28A1" w:rsidRPr="001343C2" w:rsidRDefault="006B28A1">
            <w:pPr>
              <w:pStyle w:val="Normal6"/>
            </w:pPr>
          </w:p>
        </w:tc>
        <w:tc>
          <w:tcPr>
            <w:tcW w:w="4876" w:type="dxa"/>
            <w:hideMark/>
          </w:tcPr>
          <w:p w14:paraId="0F9C3EA9" w14:textId="77777777" w:rsidR="006B28A1" w:rsidRPr="001343C2" w:rsidRDefault="007F0056">
            <w:pPr>
              <w:pStyle w:val="Normal6"/>
              <w:rPr>
                <w:szCs w:val="24"/>
              </w:rPr>
            </w:pPr>
            <w:r w:rsidRPr="001343C2">
              <w:rPr>
                <w:b/>
                <w:i/>
              </w:rPr>
              <w:t>Kommissionen ska regelbundet bedöma om någon av de omständigheter som avses i leden a, b eller c är tillämplig på ett kandidatland för anslutning till unionen. Om så är fallet ska den utfärda en formell underrättelse till medlemsstaterna med angivande av det datum från och med vilket det berörda landet inte längre ska anses vara ett säkert ursprungsland på unionsnivå.</w:t>
            </w:r>
          </w:p>
        </w:tc>
      </w:tr>
    </w:tbl>
    <w:p w14:paraId="7B0750A9"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62AE702F" w14:textId="77777777" w:rsidR="006B28A1" w:rsidRPr="001343C2" w:rsidRDefault="007F0056" w:rsidP="006B28A1">
      <w:pPr>
        <w:pStyle w:val="JustificationTitle"/>
        <w:rPr>
          <w:noProof w:val="0"/>
        </w:rPr>
      </w:pPr>
      <w:r w:rsidRPr="00DE1D77">
        <w:rPr>
          <w:rStyle w:val="HideTWBExt"/>
          <w:i w:val="0"/>
        </w:rPr>
        <w:t>&lt;TitreJust&gt;</w:t>
      </w:r>
      <w:r w:rsidRPr="001343C2">
        <w:t>Motivering</w:t>
      </w:r>
      <w:r w:rsidRPr="00DE1D77">
        <w:rPr>
          <w:rStyle w:val="HideTWBExt"/>
          <w:i w:val="0"/>
        </w:rPr>
        <w:t>&lt;/TitreJust&gt;</w:t>
      </w:r>
    </w:p>
    <w:p w14:paraId="5912A09A" w14:textId="77777777" w:rsidR="006B28A1" w:rsidRPr="001343C2" w:rsidRDefault="007F0056" w:rsidP="006B28A1">
      <w:pPr>
        <w:pStyle w:val="Normal12Italic"/>
        <w:rPr>
          <w:noProof w:val="0"/>
        </w:rPr>
      </w:pPr>
      <w:r w:rsidRPr="001343C2">
        <w:t>För att säkerställa en enhetlig tillämpning av denna förordning i alla medlemsstater och för att skapa rättssäkerhet är det nödvändigt att inrätta en tydlig och samordnad mekanism för att avgöra när ett kandidatland för anslutning till unionen inte längre bör betraktas som ett säkert ursprungsland eller kan återfå en sådan status efter ett tillfälligt upphävande.</w:t>
      </w:r>
    </w:p>
    <w:p w14:paraId="3AA81281" w14:textId="77777777" w:rsidR="006B28A1" w:rsidRPr="001343C2" w:rsidRDefault="007F0056" w:rsidP="006B28A1">
      <w:r w:rsidRPr="00DE1D77">
        <w:rPr>
          <w:rStyle w:val="HideTWBExt"/>
        </w:rPr>
        <w:t>&lt;/Amend&gt;</w:t>
      </w:r>
    </w:p>
    <w:p w14:paraId="5CDAC18B"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10</w:t>
      </w:r>
      <w:r w:rsidRPr="00DE1D77">
        <w:rPr>
          <w:rStyle w:val="HideTWBExt"/>
          <w:b w:val="0"/>
        </w:rPr>
        <w:t>&lt;/NumAm&gt;</w:t>
      </w:r>
    </w:p>
    <w:p w14:paraId="4F3FD3CD"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5EAD454C" w14:textId="77777777" w:rsidR="006B28A1" w:rsidRPr="001343C2" w:rsidRDefault="007F0056" w:rsidP="006B28A1">
      <w:pPr>
        <w:pStyle w:val="NormalBold"/>
      </w:pPr>
      <w:r w:rsidRPr="00DE1D77">
        <w:rPr>
          <w:rStyle w:val="HideTWBExt"/>
          <w:b w:val="0"/>
        </w:rPr>
        <w:t>&lt;Article&gt;</w:t>
      </w:r>
      <w:r w:rsidRPr="001343C2">
        <w:t>Artikel 1 – stycke 1 – led 1 – led a</w:t>
      </w:r>
      <w:r w:rsidRPr="00DE1D77">
        <w:rPr>
          <w:rStyle w:val="HideTWBExt"/>
          <w:b w:val="0"/>
        </w:rPr>
        <w:t>&lt;/Article&gt;</w:t>
      </w:r>
    </w:p>
    <w:p w14:paraId="38486F0B" w14:textId="77777777" w:rsidR="006B28A1" w:rsidRPr="001343C2" w:rsidRDefault="007F0056" w:rsidP="006B28A1">
      <w:pPr>
        <w:keepNext/>
      </w:pPr>
      <w:r w:rsidRPr="00DE1D77">
        <w:rPr>
          <w:rStyle w:val="HideTWBExt"/>
        </w:rPr>
        <w:t>&lt;DocAmend2&gt;</w:t>
      </w:r>
      <w:r w:rsidRPr="001343C2">
        <w:t>Förordning (EU) 2024/1348</w:t>
      </w:r>
      <w:r w:rsidRPr="00DE1D77">
        <w:rPr>
          <w:rStyle w:val="HideTWBExt"/>
        </w:rPr>
        <w:t>&lt;/DocAmend2&gt;</w:t>
      </w:r>
    </w:p>
    <w:p w14:paraId="4DD8CB31" w14:textId="77777777" w:rsidR="006B28A1" w:rsidRPr="001343C2" w:rsidRDefault="007F0056" w:rsidP="006B28A1">
      <w:r w:rsidRPr="00DE1D77">
        <w:rPr>
          <w:rStyle w:val="HideTWBExt"/>
        </w:rPr>
        <w:t>&lt;Article2&gt;</w:t>
      </w:r>
      <w:r w:rsidRPr="001343C2">
        <w:t>Artikel 62 – punkt 1 – stycke 1b (nytt)</w:t>
      </w:r>
      <w:r w:rsidRPr="00DE1D7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1455E40D" w14:textId="77777777" w:rsidTr="006B28A1">
        <w:trPr>
          <w:jc w:val="center"/>
        </w:trPr>
        <w:tc>
          <w:tcPr>
            <w:tcW w:w="9752" w:type="dxa"/>
            <w:gridSpan w:val="2"/>
          </w:tcPr>
          <w:p w14:paraId="10F7FA9C" w14:textId="77777777" w:rsidR="006B28A1" w:rsidRPr="001343C2" w:rsidRDefault="006B28A1">
            <w:pPr>
              <w:keepNext/>
            </w:pPr>
          </w:p>
        </w:tc>
      </w:tr>
      <w:tr w:rsidR="001C0EEE" w:rsidRPr="001343C2" w14:paraId="74A1A4A9" w14:textId="77777777" w:rsidTr="006B28A1">
        <w:trPr>
          <w:jc w:val="center"/>
        </w:trPr>
        <w:tc>
          <w:tcPr>
            <w:tcW w:w="4876" w:type="dxa"/>
            <w:hideMark/>
          </w:tcPr>
          <w:p w14:paraId="3E1A9519" w14:textId="77777777" w:rsidR="006B28A1" w:rsidRPr="001343C2" w:rsidRDefault="007F0056">
            <w:pPr>
              <w:pStyle w:val="ColumnHeading"/>
              <w:keepNext/>
            </w:pPr>
            <w:r w:rsidRPr="001343C2">
              <w:t>Kommissionens förslag</w:t>
            </w:r>
          </w:p>
        </w:tc>
        <w:tc>
          <w:tcPr>
            <w:tcW w:w="4876" w:type="dxa"/>
            <w:hideMark/>
          </w:tcPr>
          <w:p w14:paraId="1CD6B9C6" w14:textId="77777777" w:rsidR="006B28A1" w:rsidRPr="001343C2" w:rsidRDefault="007F0056">
            <w:pPr>
              <w:pStyle w:val="ColumnHeading"/>
              <w:keepNext/>
            </w:pPr>
            <w:r w:rsidRPr="001343C2">
              <w:t>Ändringsförslag</w:t>
            </w:r>
          </w:p>
        </w:tc>
      </w:tr>
      <w:tr w:rsidR="001C0EEE" w:rsidRPr="001343C2" w14:paraId="56B13D94" w14:textId="77777777" w:rsidTr="006B28A1">
        <w:trPr>
          <w:jc w:val="center"/>
        </w:trPr>
        <w:tc>
          <w:tcPr>
            <w:tcW w:w="4876" w:type="dxa"/>
          </w:tcPr>
          <w:p w14:paraId="7836EF63" w14:textId="77777777" w:rsidR="006B28A1" w:rsidRPr="001343C2" w:rsidRDefault="006B28A1">
            <w:pPr>
              <w:pStyle w:val="Normal6"/>
            </w:pPr>
          </w:p>
        </w:tc>
        <w:tc>
          <w:tcPr>
            <w:tcW w:w="4876" w:type="dxa"/>
            <w:hideMark/>
          </w:tcPr>
          <w:p w14:paraId="6E8A9CE0" w14:textId="77777777" w:rsidR="006B28A1" w:rsidRPr="001343C2" w:rsidRDefault="007F0056">
            <w:pPr>
              <w:pStyle w:val="Normal6"/>
              <w:rPr>
                <w:szCs w:val="24"/>
              </w:rPr>
            </w:pPr>
            <w:r w:rsidRPr="001343C2">
              <w:rPr>
                <w:b/>
                <w:i/>
              </w:rPr>
              <w:t>Kommissionen ska också utfärda en formell underrättelse till medlemsstaterna när den konstaterar att de omständigheter som avses i leden a, b eller c inte längre föreligger. I sådana fall får betecknandet av landet som ett säkert ursprungsland på unionsnivå återinföras, med verkan från och med det datum som anges i underrättelsen.</w:t>
            </w:r>
          </w:p>
        </w:tc>
      </w:tr>
    </w:tbl>
    <w:p w14:paraId="68942883"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16E309F3" w14:textId="77777777" w:rsidR="006B28A1" w:rsidRPr="001343C2" w:rsidRDefault="007F0056" w:rsidP="006B28A1">
      <w:pPr>
        <w:pStyle w:val="JustificationTitle"/>
        <w:rPr>
          <w:noProof w:val="0"/>
        </w:rPr>
      </w:pPr>
      <w:r w:rsidRPr="00DE1D77">
        <w:rPr>
          <w:rStyle w:val="HideTWBExt"/>
          <w:i w:val="0"/>
        </w:rPr>
        <w:t>&lt;TitreJust&gt;</w:t>
      </w:r>
      <w:r w:rsidRPr="001343C2">
        <w:t>Motivering</w:t>
      </w:r>
      <w:r w:rsidRPr="00DE1D77">
        <w:rPr>
          <w:rStyle w:val="HideTWBExt"/>
          <w:i w:val="0"/>
        </w:rPr>
        <w:t>&lt;/TitreJust&gt;</w:t>
      </w:r>
    </w:p>
    <w:p w14:paraId="1F017962" w14:textId="77777777" w:rsidR="006B28A1" w:rsidRPr="001343C2" w:rsidRDefault="007F0056" w:rsidP="006B28A1">
      <w:pPr>
        <w:pStyle w:val="Normal12Italic"/>
        <w:rPr>
          <w:noProof w:val="0"/>
        </w:rPr>
      </w:pPr>
      <w:r w:rsidRPr="001343C2">
        <w:t>För att säkerställa en enhetlig tillämpning av denna förordning i alla medlemsstater och för att skapa rättssäkerhet är det nödvändigt att inrätta en tydlig och samordnad mekanism för att avgöra när ett kandidatland för anslutning till unionen inte längre bör betraktas som ett säkert ursprungsland eller kan återfå en sådan status efter ett tillfälligt upphävande.</w:t>
      </w:r>
    </w:p>
    <w:p w14:paraId="169A70BB" w14:textId="77777777" w:rsidR="006B28A1" w:rsidRPr="001343C2" w:rsidRDefault="007F0056" w:rsidP="006B28A1">
      <w:r w:rsidRPr="00DE1D77">
        <w:rPr>
          <w:rStyle w:val="HideTWBExt"/>
        </w:rPr>
        <w:t>&lt;/Amend&gt;</w:t>
      </w:r>
    </w:p>
    <w:p w14:paraId="3DE37E64" w14:textId="77777777" w:rsidR="006B28A1" w:rsidRPr="001343C2" w:rsidRDefault="007F0056" w:rsidP="006B28A1">
      <w:pPr>
        <w:pStyle w:val="AMNumberTabs0"/>
        <w:keepNext/>
      </w:pPr>
      <w:r w:rsidRPr="00DE1D77">
        <w:rPr>
          <w:rStyle w:val="HideTWBExt"/>
          <w:b w:val="0"/>
        </w:rPr>
        <w:t>&lt;Amend&gt;</w:t>
      </w:r>
      <w:r w:rsidRPr="001343C2">
        <w:t>Ändringsförslag</w:t>
      </w:r>
      <w:r w:rsidRPr="001343C2">
        <w:tab/>
      </w:r>
      <w:r w:rsidRPr="001343C2">
        <w:tab/>
      </w:r>
      <w:r w:rsidRPr="00DE1D77">
        <w:rPr>
          <w:rStyle w:val="HideTWBExt"/>
          <w:b w:val="0"/>
        </w:rPr>
        <w:t>&lt;NumAm&gt;</w:t>
      </w:r>
      <w:r w:rsidRPr="001343C2">
        <w:t>11</w:t>
      </w:r>
      <w:r w:rsidRPr="00DE1D77">
        <w:rPr>
          <w:rStyle w:val="HideTWBExt"/>
          <w:b w:val="0"/>
        </w:rPr>
        <w:t>&lt;/NumAm&gt;</w:t>
      </w:r>
    </w:p>
    <w:p w14:paraId="5B748E9B" w14:textId="77777777" w:rsidR="006B28A1" w:rsidRPr="001343C2" w:rsidRDefault="007F0056" w:rsidP="006B28A1">
      <w:pPr>
        <w:pStyle w:val="NormalBold12b"/>
        <w:keepNext/>
      </w:pPr>
      <w:r w:rsidRPr="00DE1D77">
        <w:rPr>
          <w:rStyle w:val="HideTWBExt"/>
          <w:b w:val="0"/>
        </w:rPr>
        <w:t>&lt;DocAmend&gt;</w:t>
      </w:r>
      <w:r w:rsidRPr="001343C2">
        <w:t>Förslag till förordning</w:t>
      </w:r>
      <w:r w:rsidRPr="00DE1D77">
        <w:rPr>
          <w:rStyle w:val="HideTWBExt"/>
          <w:b w:val="0"/>
        </w:rPr>
        <w:t>&lt;/DocAmend&gt;</w:t>
      </w:r>
    </w:p>
    <w:p w14:paraId="218FA6B4" w14:textId="77777777" w:rsidR="006B28A1" w:rsidRPr="001343C2" w:rsidRDefault="007F0056" w:rsidP="006B28A1">
      <w:pPr>
        <w:pStyle w:val="NormalBold"/>
      </w:pPr>
      <w:r w:rsidRPr="00DE1D77">
        <w:rPr>
          <w:rStyle w:val="HideTWBExt"/>
          <w:b w:val="0"/>
        </w:rPr>
        <w:t>&lt;Article&gt;</w:t>
      </w:r>
      <w:r w:rsidRPr="001343C2">
        <w:t>Artikel 1 – stycke 1 – led 2 – led a</w:t>
      </w:r>
      <w:r w:rsidRPr="00DE1D77">
        <w:rPr>
          <w:rStyle w:val="HideTWBExt"/>
          <w:b w:val="0"/>
        </w:rPr>
        <w:t>&lt;/Article&gt;</w:t>
      </w:r>
    </w:p>
    <w:p w14:paraId="1EFB0B6E" w14:textId="77777777" w:rsidR="006B28A1" w:rsidRPr="001343C2" w:rsidRDefault="007F0056" w:rsidP="006B28A1">
      <w:pPr>
        <w:keepNext/>
      </w:pPr>
      <w:r w:rsidRPr="00DE1D77">
        <w:rPr>
          <w:rStyle w:val="HideTWBExt"/>
        </w:rPr>
        <w:t>&lt;DocAmend2&gt;</w:t>
      </w:r>
      <w:r w:rsidRPr="001343C2">
        <w:t>Förordning (EU) 2024/1348</w:t>
      </w:r>
      <w:r w:rsidRPr="00DE1D77">
        <w:rPr>
          <w:rStyle w:val="HideTWBExt"/>
        </w:rPr>
        <w:t>&lt;/DocAmend2&gt;</w:t>
      </w:r>
    </w:p>
    <w:p w14:paraId="1FF22BBE" w14:textId="77777777" w:rsidR="006B28A1" w:rsidRPr="001343C2" w:rsidRDefault="007F0056" w:rsidP="006B28A1">
      <w:r w:rsidRPr="00DE1D77">
        <w:rPr>
          <w:rStyle w:val="HideTWBExt"/>
        </w:rPr>
        <w:t>&lt;Article2&gt;</w:t>
      </w:r>
      <w:r w:rsidRPr="001343C2">
        <w:t>Artikel 79 – punkt 2</w:t>
      </w:r>
      <w:r w:rsidRPr="00DE1D7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0EEE" w:rsidRPr="001343C2" w14:paraId="0AECCEC0" w14:textId="77777777" w:rsidTr="006B28A1">
        <w:trPr>
          <w:jc w:val="center"/>
        </w:trPr>
        <w:tc>
          <w:tcPr>
            <w:tcW w:w="9752" w:type="dxa"/>
            <w:gridSpan w:val="2"/>
          </w:tcPr>
          <w:p w14:paraId="2884D504" w14:textId="77777777" w:rsidR="006B28A1" w:rsidRPr="001343C2" w:rsidRDefault="006B28A1">
            <w:pPr>
              <w:keepNext/>
            </w:pPr>
          </w:p>
        </w:tc>
      </w:tr>
      <w:tr w:rsidR="001C0EEE" w:rsidRPr="001343C2" w14:paraId="1C69CA10" w14:textId="77777777" w:rsidTr="006B28A1">
        <w:trPr>
          <w:jc w:val="center"/>
        </w:trPr>
        <w:tc>
          <w:tcPr>
            <w:tcW w:w="4876" w:type="dxa"/>
            <w:hideMark/>
          </w:tcPr>
          <w:p w14:paraId="39C45C7D" w14:textId="77777777" w:rsidR="006B28A1" w:rsidRPr="001343C2" w:rsidRDefault="007F0056">
            <w:pPr>
              <w:pStyle w:val="ColumnHeading"/>
              <w:keepNext/>
            </w:pPr>
            <w:r w:rsidRPr="001343C2">
              <w:t>Kommissionens förslag</w:t>
            </w:r>
          </w:p>
        </w:tc>
        <w:tc>
          <w:tcPr>
            <w:tcW w:w="4876" w:type="dxa"/>
            <w:hideMark/>
          </w:tcPr>
          <w:p w14:paraId="3D1CFEDA" w14:textId="77777777" w:rsidR="006B28A1" w:rsidRPr="001343C2" w:rsidRDefault="007F0056">
            <w:pPr>
              <w:pStyle w:val="ColumnHeading"/>
              <w:keepNext/>
            </w:pPr>
            <w:r w:rsidRPr="001343C2">
              <w:t>Ändringsförslag</w:t>
            </w:r>
          </w:p>
        </w:tc>
      </w:tr>
      <w:tr w:rsidR="001C0EEE" w:rsidRPr="001343C2" w14:paraId="24682824" w14:textId="77777777" w:rsidTr="006B28A1">
        <w:trPr>
          <w:jc w:val="center"/>
        </w:trPr>
        <w:tc>
          <w:tcPr>
            <w:tcW w:w="4876" w:type="dxa"/>
            <w:hideMark/>
          </w:tcPr>
          <w:p w14:paraId="21798BA0" w14:textId="77777777" w:rsidR="006B28A1" w:rsidRPr="001343C2" w:rsidRDefault="007F0056">
            <w:pPr>
              <w:pStyle w:val="Normal6"/>
            </w:pPr>
            <w:r w:rsidRPr="001343C2">
              <w:t xml:space="preserve">”Emellertid ska artiklarna 59.2, 61.2 och 61.5 b tillämpas från och med dagen för ikraftträdande av förordning (EU) …/…[om ändring av förordning (EU) 2024/1348] med avseende på tillämpningen av begreppet säkert </w:t>
            </w:r>
            <w:r w:rsidRPr="001343C2">
              <w:rPr>
                <w:b/>
                <w:bCs/>
                <w:i/>
                <w:iCs/>
              </w:rPr>
              <w:t>tredjeland</w:t>
            </w:r>
            <w:r w:rsidRPr="001343C2">
              <w:t xml:space="preserve"> i enlighet med artiklarna 36 och 37 i direktiv 2013/32/EU och av begreppet säkert </w:t>
            </w:r>
            <w:r w:rsidRPr="001343C2">
              <w:rPr>
                <w:b/>
                <w:bCs/>
                <w:i/>
                <w:iCs/>
              </w:rPr>
              <w:t>ursprungsland</w:t>
            </w:r>
            <w:r w:rsidRPr="001343C2">
              <w:t xml:space="preserve"> i enlighet med artikel 38 i direktiv 2013/32/EU.”</w:t>
            </w:r>
          </w:p>
        </w:tc>
        <w:tc>
          <w:tcPr>
            <w:tcW w:w="4876" w:type="dxa"/>
            <w:hideMark/>
          </w:tcPr>
          <w:p w14:paraId="4EEE3B5C" w14:textId="77777777" w:rsidR="006B28A1" w:rsidRPr="001343C2" w:rsidRDefault="007F0056">
            <w:pPr>
              <w:pStyle w:val="Normal6"/>
              <w:rPr>
                <w:szCs w:val="24"/>
              </w:rPr>
            </w:pPr>
            <w:r w:rsidRPr="001343C2">
              <w:t xml:space="preserve">”Emellertid ska artiklarna 59.2, 61.2 och 61.5 b tillämpas från och med dagen för ikraftträdande av förordning (EU) …/…[om ändring av förordning (EU) 2024/1348] med avseende på tillämpningen av begreppet säkert </w:t>
            </w:r>
            <w:r w:rsidRPr="001343C2">
              <w:rPr>
                <w:b/>
                <w:bCs/>
                <w:i/>
                <w:iCs/>
              </w:rPr>
              <w:t>ursprungsland</w:t>
            </w:r>
            <w:r w:rsidRPr="001343C2">
              <w:t xml:space="preserve"> i enlighet med artiklarna 36 och 37 i direktiv 2013/32/EU och av begreppet säkert </w:t>
            </w:r>
            <w:r w:rsidRPr="001343C2">
              <w:rPr>
                <w:b/>
                <w:bCs/>
                <w:i/>
                <w:iCs/>
              </w:rPr>
              <w:t>tredjeland</w:t>
            </w:r>
            <w:r w:rsidRPr="001343C2">
              <w:t xml:space="preserve"> i enlighet med artikel 38 i direktiv 2013/32/EU.”</w:t>
            </w:r>
          </w:p>
        </w:tc>
      </w:tr>
    </w:tbl>
    <w:p w14:paraId="4AD8C040" w14:textId="77777777" w:rsidR="006B28A1" w:rsidRPr="001343C2" w:rsidRDefault="007F0056" w:rsidP="006B28A1">
      <w:pPr>
        <w:pStyle w:val="Olang"/>
        <w:rPr>
          <w:sz w:val="24"/>
          <w:szCs w:val="24"/>
        </w:rPr>
      </w:pPr>
      <w:r w:rsidRPr="001343C2">
        <w:rPr>
          <w:sz w:val="24"/>
          <w:szCs w:val="24"/>
        </w:rPr>
        <w:t xml:space="preserve">Or. </w:t>
      </w:r>
      <w:r w:rsidRPr="00DE1D77">
        <w:rPr>
          <w:rStyle w:val="HideTWBExt"/>
        </w:rPr>
        <w:t>&lt;Original&gt;</w:t>
      </w:r>
      <w:r w:rsidRPr="00DE1D77">
        <w:rPr>
          <w:rStyle w:val="HideTWBInt"/>
        </w:rPr>
        <w:t>{EN}</w:t>
      </w:r>
      <w:r w:rsidRPr="001343C2">
        <w:rPr>
          <w:sz w:val="24"/>
          <w:szCs w:val="24"/>
        </w:rPr>
        <w:t>en</w:t>
      </w:r>
      <w:r w:rsidRPr="00DE1D77">
        <w:rPr>
          <w:rStyle w:val="HideTWBExt"/>
        </w:rPr>
        <w:t>&lt;/Original&gt;</w:t>
      </w:r>
    </w:p>
    <w:p w14:paraId="7854228D" w14:textId="77777777" w:rsidR="006B28A1" w:rsidRPr="001343C2" w:rsidRDefault="007F0056" w:rsidP="006B28A1">
      <w:pPr>
        <w:rPr>
          <w:szCs w:val="24"/>
        </w:rPr>
      </w:pPr>
      <w:r w:rsidRPr="00DE1D77">
        <w:rPr>
          <w:rStyle w:val="HideTWBExt"/>
        </w:rPr>
        <w:t>&lt;/Amend&gt;&lt;/RepeatBlock-Amend&gt;</w:t>
      </w:r>
    </w:p>
    <w:p w14:paraId="4EBE6A1E" w14:textId="77777777" w:rsidR="006B28A1" w:rsidRPr="001343C2" w:rsidRDefault="006B28A1" w:rsidP="006B28A1"/>
    <w:p w14:paraId="6E835730" w14:textId="77777777" w:rsidR="00C2607D" w:rsidRPr="001343C2" w:rsidRDefault="00C2607D" w:rsidP="002669B6">
      <w:pPr>
        <w:sectPr w:rsidR="00C2607D" w:rsidRPr="001343C2" w:rsidSect="001343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FB4C7AF" w14:textId="77777777" w:rsidR="00C2607D" w:rsidRDefault="007F0056" w:rsidP="00C2607D">
      <w:pPr>
        <w:pStyle w:val="PageHeading"/>
      </w:pPr>
      <w:bookmarkStart w:id="1" w:name="_Toc210737288"/>
      <w:r w:rsidRPr="001343C2">
        <w:lastRenderedPageBreak/>
        <w:t>MOTIVERING</w:t>
      </w:r>
      <w:bookmarkEnd w:id="1"/>
    </w:p>
    <w:p w14:paraId="089222D9" w14:textId="77777777" w:rsidR="008B4A86" w:rsidRPr="00BF1232" w:rsidRDefault="008B4A86" w:rsidP="008B4A86">
      <w:pPr>
        <w:spacing w:after="240"/>
      </w:pPr>
      <w:r>
        <w:t xml:space="preserve">Detta förslag är ett nödvändigt strategiskt steg på väg mot att stärka Europeiska unionens operativa kapacitet på asyl- och migrationsområdet. Det syftar nämligen till att stärka tillämpningen av begreppet ”säkert ursprungsland”, bland annat genom att upprätta en förteckning över säkra ursprungsländer på EU-nivå och genom att tidigarelägga tillämpningen av vissa bestämmelser i asyl- och migrationspakten, särskilt dem som ingår i förordning (EU) 2024/1348 om upprättande av ett gemensamt förfarande för internationellt skydd i unionen och om upphävande av direktiv 2013/32/EU (förordningen om asylförfaranden), vilken nu är planerad till juni 2026. </w:t>
      </w:r>
    </w:p>
    <w:p w14:paraId="694F9BF9" w14:textId="77777777" w:rsidR="008B4A86" w:rsidRPr="00BF1232" w:rsidRDefault="008B4A86" w:rsidP="008B4A86">
      <w:pPr>
        <w:spacing w:after="240"/>
      </w:pPr>
      <w:r>
        <w:t>Förslaget föreskriver på EU-nivå att de länder som har beviljats status som kandidatländer till EU är säkra ursprungsländer och att detsamma gäller ett land som är ett potentiellt kandidatland. Förslaget upprättar också en förteckning (i bilaga II) över andra länder som betraktas som säkra ursprungsländer på EU-nivå. Dessutom gör förslaget till förordning det möjligt att beteckna länder som säkra med undantag av vissa regioner inom deras territorium eller tydligt identifierbara kategorier av personer, vilket ger medlemsstaterna större flexibilitet på nationell nivå, och det gör det också möjligt att i ett gränsförfarande eller ett påskyndat förfarande tidigare behandla ansökningar från tredjelandsmedborgare för vilka andelen beslut om beviljande av internationellt skydd på EU-nivå är lika med eller lägre än 20 %.</w:t>
      </w:r>
    </w:p>
    <w:p w14:paraId="2E1F81B0" w14:textId="77777777" w:rsidR="008B4A86" w:rsidRPr="00BF1232" w:rsidRDefault="008B4A86" w:rsidP="008B4A86">
      <w:pPr>
        <w:spacing w:after="240"/>
      </w:pPr>
      <w:r>
        <w:t>I en snabbt föränderlig geopolitisk miljö och migrationsmiljö har unionen beslutsamt inlett ett paradigmskifte i hanteringen av migrationsströmmarna och gradvis övergett de ineffektiva strategier som tillämpats i tidigare modeller. Denna nya politiska och lagstiftningsmässiga inriktning bygger på en mer strukturerad och pragmatisk vision som är mer anpassad efter de akuta behoven av säkerhet, effektivitet och solidaritet, och den återspeglar den tydliga viljan att förse unionen med gemensamma, snabba och rättsligt robusta verktyg som kan hantera migrationsutmaningarna på ett säkert och hållbart sätt, med full respekt för de grundläggande principerna i den europeiska rättsordningen. Förslaget är förenligt med de grundläggande rättigheterna och de principer som erkänns i EU-stadgan om de grundläggande rättigheterna, däribland den rätt till asyl och det skydd mot refoulement som föreskrivs i artiklarna 18 och 19.</w:t>
      </w:r>
    </w:p>
    <w:p w14:paraId="09BF1BCD" w14:textId="77777777" w:rsidR="008B4A86" w:rsidRPr="00BF1232" w:rsidRDefault="008B4A86" w:rsidP="008B4A86">
      <w:pPr>
        <w:spacing w:after="240"/>
      </w:pPr>
      <w:r>
        <w:t>Vi välkomnar därför kommissionens förslag och erkänner dess strategiska värde, eftersom det gör det möjligt att tidigare genomföra paktens mest brådskande och operativa bestämmelser och därigenom stärka unionens och dess medlemsstaters förmåga att agera på kort sikt.</w:t>
      </w:r>
    </w:p>
    <w:p w14:paraId="039A394E" w14:textId="77777777" w:rsidR="008B4A86" w:rsidRPr="00BF1232" w:rsidRDefault="008B4A86" w:rsidP="008B4A86">
      <w:pPr>
        <w:spacing w:after="240"/>
      </w:pPr>
      <w:r>
        <w:t xml:space="preserve">Detta tidigareläggande av den ursprungliga tidsramen motiveras av behovet av att se till att unionen och medlemsstaterna inte förblir utan effektiva instrument fram till juni 2026, i en situation där migrationstrycket och utmaningarna i samband med återvändanden, gränsförvaltning och hantering av ansökningar om internationellt skydd kräver snabba och effektiva åtgärder. Förslaget till förordning ska betraktas i detta sammanhang. Dess syfte är att befästa den praktiska tillämpningen av begreppet ”säkert ursprungsland”, som ett viktigt verktyg för att underlätta och påskynda prövningen av ansökningar som sannolikt är ogrundade och för att säkerställa en effektivare och mer trovärdig förvaltning av det europeiska asylsystemet. </w:t>
      </w:r>
    </w:p>
    <w:p w14:paraId="4E9510CB" w14:textId="77777777" w:rsidR="008B4A86" w:rsidRPr="00BF1232" w:rsidRDefault="008B4A86" w:rsidP="008B4A86">
      <w:pPr>
        <w:spacing w:after="240"/>
      </w:pPr>
      <w:r>
        <w:t>Med detta i åtanke är det mycket viktigt att förslaget behandlas och antas så snart som möjligt och att man undviker förseningar som undergräver dess effektivitet.</w:t>
      </w:r>
    </w:p>
    <w:p w14:paraId="47B22312" w14:textId="77777777" w:rsidR="008B4A86" w:rsidRPr="00BF1232" w:rsidRDefault="008B4A86" w:rsidP="008B4A86">
      <w:pPr>
        <w:spacing w:after="240"/>
      </w:pPr>
      <w:r>
        <w:lastRenderedPageBreak/>
        <w:t xml:space="preserve">Precis som väntat fastställs i förslaget att kandidatländerna och ett potentiellt kandidatland (Kosovo), samt sex andra länder (Bangladesh, Colombia, Egypten, Indien, Marocko och Tunisien), är säkra ursprungsländer på EU-nivå. När en person som ansöker om internationellt skydd kommer från ett säkert ursprungsland bör enligt </w:t>
      </w:r>
      <w:bookmarkStart w:id="2" w:name="_Hlk209183937"/>
      <w:r>
        <w:t xml:space="preserve">förordningen </w:t>
      </w:r>
      <w:bookmarkEnd w:id="2"/>
      <w:r>
        <w:t>om asylförfaranden prövningen av en ansökan påskyndas och slutföras inom högst tre månader. Om sökanden ännu inte har tillåtits att resa in på medlemsstaternas territorium får en medlemsstat dessutom pröva ansökan i ett gränsförfarande.</w:t>
      </w:r>
    </w:p>
    <w:p w14:paraId="17F855E3" w14:textId="77777777" w:rsidR="008B4A86" w:rsidRPr="00BF1232" w:rsidRDefault="008B4A86" w:rsidP="008B4A86">
      <w:pPr>
        <w:spacing w:after="240"/>
      </w:pPr>
      <w:r>
        <w:t>Vi instämmer därför i kommissionens beslut att bland de säkra ursprungsländerna inkludera dem som har fått status som kandidatländer eller potentiella kandidatländer för anslutning till Europeiska unionen. Vi anser att detta val är korrekt och förenligt med den nuvarande rättsliga ramen, eftersom det inte bara bygger på en automatisk presumtion, utan även på en teknisk analys på flera nivåer som utförts av Europeiska unionens asylbyrå (EUAA). I denna analys görs en grundlig bedömning av den rättsliga och institutionella situationen och situationen för de grundläggande rättigheterna i varje land, oavsett hur långt landet har nått i anslutningsprocessen.</w:t>
      </w:r>
    </w:p>
    <w:p w14:paraId="2D03B1F8" w14:textId="77777777" w:rsidR="008B4A86" w:rsidRPr="00BF1232" w:rsidRDefault="008B4A86" w:rsidP="008B4A86">
      <w:pPr>
        <w:spacing w:after="240"/>
      </w:pPr>
      <w:r>
        <w:t>De kriterier som tillämpas är de som fastställs i skyddsgrundsförordningen (EU 2024/1347) och själva förordningen om asylförfaranden. Det kontrolleras bland annat att det inte förekommer någon systematisk förföljelse, allvarlig skada eller strukturella kränkningar av de mänskliga rättigheterna. Beteckningarna av säkra ursprungsländer grundar sig därför på objektiva, kontrollerbara och harmoniserade parametrar på unionsnivå som är helt förenliga med internationell rätt och med de grundläggande principerna i den europeiska rättsordningen.</w:t>
      </w:r>
    </w:p>
    <w:p w14:paraId="01CF3C08" w14:textId="77777777" w:rsidR="008B4A86" w:rsidRPr="00BF1232" w:rsidRDefault="008B4A86" w:rsidP="008B4A86">
      <w:pPr>
        <w:spacing w:after="240"/>
      </w:pPr>
      <w:r>
        <w:t xml:space="preserve">Samtidigt tar förslaget hänsyn till möjligheten att vissa problem kan komma att uppstå, och därför införs en mekanism för dynamisk översyn av förteckningen, så att det blir möjligt att tillfälligt upphäva eller återinföra beteckningarna mot bakgrund av den föränderliga situationen. </w:t>
      </w:r>
    </w:p>
    <w:p w14:paraId="063EB695" w14:textId="77777777" w:rsidR="008B4A86" w:rsidRPr="00BF1232" w:rsidRDefault="008B4A86" w:rsidP="008B4A86">
      <w:pPr>
        <w:spacing w:after="240"/>
      </w:pPr>
      <w:r>
        <w:t>För att säkerställa en enhetlig tillämpning av förordningen i alla medlemsstater och större rättssäkerhet anses det dock lämpligt att införa vissa ändringar av texten. Syftet med detta är både att bättre klargöra de omständigheter som motiverar upphävandet och att inrätta en tydlig och samordnad mekanism för att avgöra när ett kandidatland för anslutning till unionen inte längre kan betraktas som ett säkert ursprungsland eller kan återfå en sådan status efter ett tillfälligt upphävande. Kommissionen bör därför göra regelbundna och objektiva bedömningar av de relevanta omständigheterna och formellt underrätta medlemsstaterna om resultatet av dessa bedömningar. En sådan underrättelse bör offentliggöras och ha verkan på ett enhetligt sätt i hela unionen från och med ett visst datum.</w:t>
      </w:r>
    </w:p>
    <w:p w14:paraId="2EEF2409" w14:textId="77777777" w:rsidR="008B4A86" w:rsidRPr="00BF1232" w:rsidRDefault="008B4A86" w:rsidP="008B4A86">
      <w:pPr>
        <w:spacing w:after="240"/>
      </w:pPr>
      <w:r>
        <w:t xml:space="preserve">Vi tycker också det är bra att de länder som förtecknas i bilagan betecknas som säkra ursprungsländer, eftersom detta utgör ett konkret och nödvändigt steg mot att bygga upp ett verkligt gemensamt, sammanhängande och välfungerande europeiskt asylsystem. Vi vill än en gång betona att varje betecknande som säkert ursprungsland byggde på en grundlig teknisk analys som utfördes av EUAA, utifrån kvalificerade källor och objektiva kriterier som fastställts i EU-förordningar, och som var transparent och åtkomlig, eftersom ledamöterna fick tillgång till den i enlighet med gällande regler och erbjöds tillgång till källorna. </w:t>
      </w:r>
    </w:p>
    <w:p w14:paraId="274636B1" w14:textId="77777777" w:rsidR="008B4A86" w:rsidRPr="00BF1232" w:rsidRDefault="008B4A86" w:rsidP="008B4A86">
      <w:pPr>
        <w:spacing w:after="240"/>
      </w:pPr>
      <w:r>
        <w:t xml:space="preserve">De länder som fanns med på förteckningen bedömdes på grundval av sin förmåga att </w:t>
      </w:r>
      <w:r>
        <w:lastRenderedPageBreak/>
        <w:t>strukturellt säkerställa frånvaron av förföljelse och allvarlig skada samt förekomsten av rättsliga och institutionella skyddsmekanismer. Presumtionen om säkerhet kan emellertid fortfarande åsidosättas i enskilda fall, i enlighet med principen om individuell bedömning och rätten till ett effektivt rättsmedel.</w:t>
      </w:r>
    </w:p>
    <w:p w14:paraId="4BACEF31" w14:textId="72EA494E" w:rsidR="008B4A86" w:rsidRPr="00BF1232" w:rsidRDefault="008B4A86" w:rsidP="008B4A86">
      <w:pPr>
        <w:spacing w:after="240"/>
      </w:pPr>
      <w:r>
        <w:t>Det bör betonas att beteckningen som ”säkert ursprungsland” lämnar fullt utrymme för individuell bedömning av ansökningar och för varje sökandes rätt att visa sin sårbarhet eller personliga risk, i enlighet med de garantier som fastställs i EU-lagstiftningen. Med andra ord tar förslaget inte bort principen om individuell bedömning, utan integrerar den i ett effektivare system som minskar risken för missbruk och gör det möjligt att koncentrera resurserna på de mest komplexa och sårbara individerna, som paradoxalt nog är de som för närvarande kommer i kläm. Tillämpningen av påskyndade förfaranden innebär inte att man nekar asylrätten, utan att man stramar upp systemet, som för närvarande är överbelastat och strukturellt trögt.</w:t>
      </w:r>
    </w:p>
    <w:p w14:paraId="4461068D" w14:textId="77777777" w:rsidR="008B4A86" w:rsidRPr="00BF1232" w:rsidRDefault="008B4A86" w:rsidP="008B4A86">
      <w:pPr>
        <w:spacing w:after="240"/>
      </w:pPr>
      <w:r>
        <w:t xml:space="preserve">Det bör också påpekas att kommissionen bad EUAA att inrikta sin analys på ett begränsat antal länder som valts ut på grundval av objektiva kriterier, inklusive en andel godkända ansökningar på under 5 %. Detta tillvägagångssätt gjorde det möjligt att upprätta en operativ kortlista, vilket bidrog till att processen snabbt kunde inledas. Denna förteckning är dock inte uttömmande och hindrar inte att principen om ”säkert ursprungsland” tillämpas på andra länder. </w:t>
      </w:r>
    </w:p>
    <w:p w14:paraId="594525FD" w14:textId="77777777" w:rsidR="008B4A86" w:rsidRPr="00BF1232" w:rsidRDefault="008B4A86" w:rsidP="008B4A86">
      <w:pPr>
        <w:spacing w:after="240"/>
      </w:pPr>
      <w:r>
        <w:t>Förteckningen utgör en utgångspunkt och kan ändras och utvidgas, inte minst mot bakgrund av andra faktorer, även befintliga beteckningar på de nationella förteckningarna i många medlemsstater.</w:t>
      </w:r>
    </w:p>
    <w:p w14:paraId="4CCF41C9" w14:textId="77777777" w:rsidR="008B4A86" w:rsidRPr="00BF1232" w:rsidRDefault="008B4A86" w:rsidP="008B4A86">
      <w:pPr>
        <w:spacing w:after="240"/>
      </w:pPr>
      <w:r>
        <w:t xml:space="preserve">Sammanfattningsvis ligger förslaget helt i linje med den strategiska visionen för reformen av det europeiska asylsystemet, som syftar till att komma till rätta med tidigare ineffektivitet och bygga upp en modell som bygger på tydliga regler, samarbete mellan medlemsstaterna, säkerhet och skydd av de grundläggande rättigheterna. Ett snabbt antagande av förteckningen över säkra ursprungsländer, tillsammans med övriga delar av förslaget, är inte bara ett konkret steg mot ett mer trovärdigt och effektivt system, utan också en stark politisk signal: unionen är redo att agera för att ta sig an migrationsutmaningarna på ett genomtänkt, mänskligt, effektivt och framsynt sätt. </w:t>
      </w:r>
    </w:p>
    <w:p w14:paraId="461BA4EB" w14:textId="77777777" w:rsidR="008B4A86" w:rsidRPr="00BF1232" w:rsidRDefault="008B4A86" w:rsidP="008B4A86">
      <w:pPr>
        <w:spacing w:after="240"/>
      </w:pPr>
      <w:r>
        <w:t xml:space="preserve">Att stödja detta förslag innebär att välja ett Europa som är mer förenligt med dess värden och som är säkrare och rättvisare. </w:t>
      </w:r>
    </w:p>
    <w:p w14:paraId="2D92B09A" w14:textId="77777777" w:rsidR="008B4A86" w:rsidRPr="00BF1232" w:rsidRDefault="008B4A86" w:rsidP="008B4A86">
      <w:pPr>
        <w:spacing w:after="240"/>
      </w:pPr>
      <w:r>
        <w:t xml:space="preserve">Det innebär också att man skapar operativa lösningar som stärker medborgarnas förtroende och samarbetet mellan medlemsstaterna. </w:t>
      </w:r>
    </w:p>
    <w:p w14:paraId="6F8DC6A1" w14:textId="77777777" w:rsidR="008B4A86" w:rsidRPr="00BF1232" w:rsidRDefault="008B4A86" w:rsidP="008B4A86">
      <w:pPr>
        <w:rPr>
          <w:b/>
          <w:bCs/>
        </w:rPr>
      </w:pPr>
    </w:p>
    <w:p w14:paraId="2DF9F542" w14:textId="77777777" w:rsidR="008B4A86" w:rsidRPr="001343C2" w:rsidRDefault="008B4A86" w:rsidP="00C2607D">
      <w:pPr>
        <w:pStyle w:val="PageHeading"/>
      </w:pPr>
    </w:p>
    <w:sectPr w:rsidR="008B4A86" w:rsidRPr="001343C2"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8C844" w14:textId="77777777" w:rsidR="007F0056" w:rsidRPr="001343C2" w:rsidRDefault="007F0056">
      <w:r w:rsidRPr="001343C2">
        <w:separator/>
      </w:r>
    </w:p>
  </w:endnote>
  <w:endnote w:type="continuationSeparator" w:id="0">
    <w:p w14:paraId="5FB0E85E" w14:textId="77777777" w:rsidR="007F0056" w:rsidRPr="001343C2" w:rsidRDefault="007F0056">
      <w:r w:rsidRPr="001343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69792" w14:textId="77777777" w:rsidR="001343C2" w:rsidRPr="001343C2" w:rsidRDefault="001343C2" w:rsidP="001343C2">
    <w:pPr>
      <w:pStyle w:val="EPFooter"/>
    </w:pPr>
    <w:r w:rsidRPr="001343C2">
      <w:t>PE</w:t>
    </w:r>
    <w:r w:rsidRPr="00DE1D77">
      <w:rPr>
        <w:rStyle w:val="HideTWBExt"/>
      </w:rPr>
      <w:t>&lt;NoPE&gt;</w:t>
    </w:r>
    <w:r w:rsidRPr="001343C2">
      <w:t>778.073</w:t>
    </w:r>
    <w:r w:rsidRPr="00DE1D77">
      <w:rPr>
        <w:rStyle w:val="HideTWBExt"/>
      </w:rPr>
      <w:t>&lt;/NoPE&gt;&lt;Version&gt;</w:t>
    </w:r>
    <w:r w:rsidRPr="001343C2">
      <w:t>v01-00</w:t>
    </w:r>
    <w:r w:rsidRPr="00DE1D77">
      <w:rPr>
        <w:rStyle w:val="HideTWBExt"/>
      </w:rPr>
      <w:t>&lt;/Version&gt;</w:t>
    </w:r>
    <w:r w:rsidRPr="001343C2">
      <w:tab/>
    </w:r>
    <w:r w:rsidRPr="001343C2">
      <w:fldChar w:fldCharType="begin"/>
    </w:r>
    <w:r w:rsidRPr="001343C2">
      <w:instrText xml:space="preserve"> PAGE  \* MERGEFORMAT </w:instrText>
    </w:r>
    <w:r w:rsidRPr="001343C2">
      <w:fldChar w:fldCharType="separate"/>
    </w:r>
    <w:r w:rsidRPr="001343C2">
      <w:rPr>
        <w:noProof/>
      </w:rPr>
      <w:t>1</w:t>
    </w:r>
    <w:r w:rsidRPr="001343C2">
      <w:fldChar w:fldCharType="end"/>
    </w:r>
    <w:r w:rsidRPr="001343C2">
      <w:t>/</w:t>
    </w:r>
    <w:r w:rsidR="00DE1D77">
      <w:fldChar w:fldCharType="begin"/>
    </w:r>
    <w:r w:rsidR="00DE1D77">
      <w:instrText xml:space="preserve"> NUMPAGES  \* MERGEFORMAT </w:instrText>
    </w:r>
    <w:r w:rsidR="00DE1D77">
      <w:fldChar w:fldCharType="separate"/>
    </w:r>
    <w:r w:rsidRPr="001343C2">
      <w:rPr>
        <w:noProof/>
      </w:rPr>
      <w:t>1</w:t>
    </w:r>
    <w:r w:rsidR="00DE1D77">
      <w:rPr>
        <w:noProof/>
      </w:rPr>
      <w:fldChar w:fldCharType="end"/>
    </w:r>
    <w:r w:rsidRPr="001343C2">
      <w:tab/>
    </w:r>
    <w:r w:rsidRPr="00DE1D77">
      <w:rPr>
        <w:rStyle w:val="HideTWBExt"/>
      </w:rPr>
      <w:t>&lt;PathFdR&gt;</w:t>
    </w:r>
    <w:r w:rsidRPr="001343C2">
      <w:t>PR\1328529SV.docx</w:t>
    </w:r>
    <w:r w:rsidRPr="00DE1D77">
      <w:rPr>
        <w:rStyle w:val="HideTWBExt"/>
      </w:rPr>
      <w:t>&lt;/PathFdR&gt;</w:t>
    </w:r>
  </w:p>
  <w:p w14:paraId="49F12140" w14:textId="3B3E6DBA" w:rsidR="00FB52FE" w:rsidRPr="001343C2" w:rsidRDefault="001343C2" w:rsidP="001343C2">
    <w:pPr>
      <w:pStyle w:val="EPFooter2"/>
    </w:pPr>
    <w:r w:rsidRPr="001343C2">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9A5D6" w14:textId="77777777" w:rsidR="001343C2" w:rsidRPr="001343C2" w:rsidRDefault="001343C2" w:rsidP="001343C2">
    <w:pPr>
      <w:pStyle w:val="EPFooter"/>
    </w:pPr>
    <w:r w:rsidRPr="00DE1D77">
      <w:rPr>
        <w:rStyle w:val="HideTWBExt"/>
      </w:rPr>
      <w:t>&lt;PathFdR&gt;</w:t>
    </w:r>
    <w:r w:rsidRPr="001343C2">
      <w:t>PR\1328529SV.docx</w:t>
    </w:r>
    <w:r w:rsidRPr="00DE1D77">
      <w:rPr>
        <w:rStyle w:val="HideTWBExt"/>
      </w:rPr>
      <w:t>&lt;/PathFdR&gt;</w:t>
    </w:r>
    <w:r w:rsidRPr="001343C2">
      <w:tab/>
    </w:r>
    <w:r w:rsidRPr="001343C2">
      <w:fldChar w:fldCharType="begin"/>
    </w:r>
    <w:r w:rsidRPr="001343C2">
      <w:instrText xml:space="preserve"> PAGE  \* MERGEFORMAT </w:instrText>
    </w:r>
    <w:r w:rsidRPr="001343C2">
      <w:fldChar w:fldCharType="separate"/>
    </w:r>
    <w:r w:rsidRPr="001343C2">
      <w:rPr>
        <w:noProof/>
      </w:rPr>
      <w:t>1</w:t>
    </w:r>
    <w:r w:rsidRPr="001343C2">
      <w:fldChar w:fldCharType="end"/>
    </w:r>
    <w:r w:rsidRPr="001343C2">
      <w:t>/</w:t>
    </w:r>
    <w:r w:rsidR="00DE1D77">
      <w:fldChar w:fldCharType="begin"/>
    </w:r>
    <w:r w:rsidR="00DE1D77">
      <w:instrText xml:space="preserve"> NUMPAGES  \* MERGEFORMAT </w:instrText>
    </w:r>
    <w:r w:rsidR="00DE1D77">
      <w:fldChar w:fldCharType="separate"/>
    </w:r>
    <w:r w:rsidRPr="001343C2">
      <w:rPr>
        <w:noProof/>
      </w:rPr>
      <w:t>1</w:t>
    </w:r>
    <w:r w:rsidR="00DE1D77">
      <w:rPr>
        <w:noProof/>
      </w:rPr>
      <w:fldChar w:fldCharType="end"/>
    </w:r>
    <w:r w:rsidRPr="001343C2">
      <w:tab/>
      <w:t>PE</w:t>
    </w:r>
    <w:r w:rsidRPr="00DE1D77">
      <w:rPr>
        <w:rStyle w:val="HideTWBExt"/>
      </w:rPr>
      <w:t>&lt;NoPE&gt;</w:t>
    </w:r>
    <w:r w:rsidRPr="001343C2">
      <w:t>778.073</w:t>
    </w:r>
    <w:r w:rsidRPr="00DE1D77">
      <w:rPr>
        <w:rStyle w:val="HideTWBExt"/>
      </w:rPr>
      <w:t>&lt;/NoPE&gt;&lt;Version&gt;</w:t>
    </w:r>
    <w:r w:rsidRPr="001343C2">
      <w:t>v01-00</w:t>
    </w:r>
    <w:r w:rsidRPr="00DE1D77">
      <w:rPr>
        <w:rStyle w:val="HideTWBExt"/>
      </w:rPr>
      <w:t>&lt;/Version&gt;</w:t>
    </w:r>
  </w:p>
  <w:p w14:paraId="508A52B6" w14:textId="24D9A553" w:rsidR="00FB52FE" w:rsidRPr="001343C2" w:rsidRDefault="001343C2" w:rsidP="001343C2">
    <w:pPr>
      <w:pStyle w:val="EPFooter2"/>
    </w:pPr>
    <w:r w:rsidRPr="001343C2">
      <w:tab/>
    </w:r>
    <w:r w:rsidRPr="001343C2">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8E2E6" w14:textId="77777777" w:rsidR="001343C2" w:rsidRPr="001343C2" w:rsidRDefault="001343C2" w:rsidP="001343C2">
    <w:pPr>
      <w:pStyle w:val="EPFooter"/>
    </w:pPr>
    <w:r w:rsidRPr="00DE1D77">
      <w:rPr>
        <w:rStyle w:val="HideTWBExt"/>
      </w:rPr>
      <w:t>&lt;PathFdR&gt;</w:t>
    </w:r>
    <w:r w:rsidRPr="001343C2">
      <w:t>PR\1328529SV.docx</w:t>
    </w:r>
    <w:r w:rsidRPr="00DE1D77">
      <w:rPr>
        <w:rStyle w:val="HideTWBExt"/>
      </w:rPr>
      <w:t>&lt;/PathFdR&gt;</w:t>
    </w:r>
    <w:r w:rsidRPr="001343C2">
      <w:tab/>
    </w:r>
    <w:r w:rsidRPr="001343C2">
      <w:tab/>
      <w:t>PE</w:t>
    </w:r>
    <w:r w:rsidRPr="00DE1D77">
      <w:rPr>
        <w:rStyle w:val="HideTWBExt"/>
      </w:rPr>
      <w:t>&lt;NoPE&gt;</w:t>
    </w:r>
    <w:r w:rsidRPr="001343C2">
      <w:t>778.073</w:t>
    </w:r>
    <w:r w:rsidRPr="00DE1D77">
      <w:rPr>
        <w:rStyle w:val="HideTWBExt"/>
      </w:rPr>
      <w:t>&lt;/NoPE&gt;&lt;Version&gt;</w:t>
    </w:r>
    <w:r w:rsidRPr="001343C2">
      <w:t>v01-00</w:t>
    </w:r>
    <w:r w:rsidRPr="00DE1D77">
      <w:rPr>
        <w:rStyle w:val="HideTWBExt"/>
      </w:rPr>
      <w:t>&lt;/Version&gt;</w:t>
    </w:r>
  </w:p>
  <w:p w14:paraId="0083244E" w14:textId="418F3AD7" w:rsidR="00FB52FE" w:rsidRPr="001343C2" w:rsidRDefault="001343C2" w:rsidP="001343C2">
    <w:pPr>
      <w:pStyle w:val="EPFooter2"/>
    </w:pPr>
    <w:r w:rsidRPr="001343C2">
      <w:t>SV</w:t>
    </w:r>
    <w:r w:rsidRPr="001343C2">
      <w:tab/>
    </w:r>
    <w:r w:rsidRPr="001343C2">
      <w:rPr>
        <w:b w:val="0"/>
        <w:i/>
        <w:color w:val="C0C0C0"/>
        <w:sz w:val="22"/>
      </w:rPr>
      <w:t>Förenade i mångfalden</w:t>
    </w:r>
    <w:r w:rsidRPr="001343C2">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6D71" w14:textId="77777777" w:rsidR="007F0056" w:rsidRPr="001343C2" w:rsidRDefault="007F0056">
      <w:r w:rsidRPr="001343C2">
        <w:separator/>
      </w:r>
    </w:p>
  </w:footnote>
  <w:footnote w:type="continuationSeparator" w:id="0">
    <w:p w14:paraId="0E780BDE" w14:textId="77777777" w:rsidR="007F0056" w:rsidRPr="001343C2" w:rsidRDefault="007F0056">
      <w:r w:rsidRPr="001343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E03C5" w14:textId="77777777" w:rsidR="008B4A86" w:rsidRDefault="008B4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0C1A9" w14:textId="77777777" w:rsidR="008B4A86" w:rsidRDefault="008B4A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5A73F" w14:textId="77777777" w:rsidR="008B4A86" w:rsidRDefault="008B4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SV"/>
    <w:docVar w:name="TXTLANGUEMIN" w:val="sv"/>
    <w:docVar w:name="TXTNRC" w:val="0069/2025"/>
    <w:docVar w:name="TXTNRCOD" w:val="2025/0101"/>
    <w:docVar w:name="TXTNRCOM" w:val="(2025)0186"/>
    <w:docVar w:name="TXTNRFIRSTAM" w:val="1"/>
    <w:docVar w:name="TXTNRLASTAM" w:val="3"/>
    <w:docVar w:name="TXTNRPE" w:val="778.073"/>
    <w:docVar w:name="TXTPEorAP" w:val="PE"/>
    <w:docVar w:name="TXTROUTE" w:val="PR\1328529ENSV.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F1096"/>
    <w:rsid w:val="0011495B"/>
    <w:rsid w:val="00120948"/>
    <w:rsid w:val="00123DD5"/>
    <w:rsid w:val="001277AE"/>
    <w:rsid w:val="001343C2"/>
    <w:rsid w:val="00142215"/>
    <w:rsid w:val="001767E2"/>
    <w:rsid w:val="00187008"/>
    <w:rsid w:val="001B3829"/>
    <w:rsid w:val="001C0EEE"/>
    <w:rsid w:val="001C5592"/>
    <w:rsid w:val="001C5B44"/>
    <w:rsid w:val="001C6FFC"/>
    <w:rsid w:val="001E44F2"/>
    <w:rsid w:val="001F7C7C"/>
    <w:rsid w:val="00212B84"/>
    <w:rsid w:val="002346B0"/>
    <w:rsid w:val="002667C3"/>
    <w:rsid w:val="002669B6"/>
    <w:rsid w:val="00290BED"/>
    <w:rsid w:val="002D13EE"/>
    <w:rsid w:val="002E33EE"/>
    <w:rsid w:val="002F40BB"/>
    <w:rsid w:val="002F41CA"/>
    <w:rsid w:val="002F4B02"/>
    <w:rsid w:val="002F5E30"/>
    <w:rsid w:val="00305CD9"/>
    <w:rsid w:val="00323EF8"/>
    <w:rsid w:val="003316DD"/>
    <w:rsid w:val="00341F32"/>
    <w:rsid w:val="003506ED"/>
    <w:rsid w:val="00366A46"/>
    <w:rsid w:val="00370A8D"/>
    <w:rsid w:val="00370AC3"/>
    <w:rsid w:val="003824EE"/>
    <w:rsid w:val="00392073"/>
    <w:rsid w:val="003B1D7F"/>
    <w:rsid w:val="003B4689"/>
    <w:rsid w:val="003C2068"/>
    <w:rsid w:val="003C37CF"/>
    <w:rsid w:val="004100B1"/>
    <w:rsid w:val="00426E47"/>
    <w:rsid w:val="0045079E"/>
    <w:rsid w:val="00455743"/>
    <w:rsid w:val="00461601"/>
    <w:rsid w:val="004C0915"/>
    <w:rsid w:val="004D424E"/>
    <w:rsid w:val="004E42C8"/>
    <w:rsid w:val="004E733D"/>
    <w:rsid w:val="004F3FA5"/>
    <w:rsid w:val="0051271F"/>
    <w:rsid w:val="00521F46"/>
    <w:rsid w:val="00551111"/>
    <w:rsid w:val="00551123"/>
    <w:rsid w:val="00570A6A"/>
    <w:rsid w:val="0058429A"/>
    <w:rsid w:val="00586E50"/>
    <w:rsid w:val="0059583D"/>
    <w:rsid w:val="005A42D9"/>
    <w:rsid w:val="005C2BEF"/>
    <w:rsid w:val="005D1A99"/>
    <w:rsid w:val="005D7609"/>
    <w:rsid w:val="005D7EE8"/>
    <w:rsid w:val="00642325"/>
    <w:rsid w:val="0069092A"/>
    <w:rsid w:val="006A2F5D"/>
    <w:rsid w:val="006A7911"/>
    <w:rsid w:val="006B28A1"/>
    <w:rsid w:val="006D39AF"/>
    <w:rsid w:val="006F7907"/>
    <w:rsid w:val="00703166"/>
    <w:rsid w:val="00743189"/>
    <w:rsid w:val="00743D33"/>
    <w:rsid w:val="00753BED"/>
    <w:rsid w:val="00760AE6"/>
    <w:rsid w:val="007932B3"/>
    <w:rsid w:val="00793EA9"/>
    <w:rsid w:val="007C736F"/>
    <w:rsid w:val="007D6F68"/>
    <w:rsid w:val="007E0987"/>
    <w:rsid w:val="007F0056"/>
    <w:rsid w:val="00823E6B"/>
    <w:rsid w:val="00826780"/>
    <w:rsid w:val="00837CCD"/>
    <w:rsid w:val="008633CC"/>
    <w:rsid w:val="00865190"/>
    <w:rsid w:val="008719B9"/>
    <w:rsid w:val="00894923"/>
    <w:rsid w:val="00894ECE"/>
    <w:rsid w:val="00896BB4"/>
    <w:rsid w:val="008976B3"/>
    <w:rsid w:val="008A7FB8"/>
    <w:rsid w:val="008B4A86"/>
    <w:rsid w:val="009022B8"/>
    <w:rsid w:val="00914537"/>
    <w:rsid w:val="00917CC4"/>
    <w:rsid w:val="009763DA"/>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D18C8"/>
    <w:rsid w:val="00AD7FA6"/>
    <w:rsid w:val="00AE4643"/>
    <w:rsid w:val="00AF0416"/>
    <w:rsid w:val="00B10CB4"/>
    <w:rsid w:val="00B13D6F"/>
    <w:rsid w:val="00B23B72"/>
    <w:rsid w:val="00B36AF0"/>
    <w:rsid w:val="00B40F20"/>
    <w:rsid w:val="00B42702"/>
    <w:rsid w:val="00B54EAF"/>
    <w:rsid w:val="00B57B8B"/>
    <w:rsid w:val="00B85407"/>
    <w:rsid w:val="00B95702"/>
    <w:rsid w:val="00BC6489"/>
    <w:rsid w:val="00BD480C"/>
    <w:rsid w:val="00C20954"/>
    <w:rsid w:val="00C23324"/>
    <w:rsid w:val="00C2361A"/>
    <w:rsid w:val="00C2607D"/>
    <w:rsid w:val="00C42A41"/>
    <w:rsid w:val="00C47E74"/>
    <w:rsid w:val="00C57A72"/>
    <w:rsid w:val="00C73602"/>
    <w:rsid w:val="00C85D0F"/>
    <w:rsid w:val="00CA5C55"/>
    <w:rsid w:val="00CF60C8"/>
    <w:rsid w:val="00D30DE2"/>
    <w:rsid w:val="00D32924"/>
    <w:rsid w:val="00D503A3"/>
    <w:rsid w:val="00D93766"/>
    <w:rsid w:val="00DA6ED0"/>
    <w:rsid w:val="00DC5011"/>
    <w:rsid w:val="00DE1D77"/>
    <w:rsid w:val="00E105F4"/>
    <w:rsid w:val="00E171B6"/>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DC4EB"/>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sv-SE"/>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4213</Words>
  <Characters>25532</Characters>
  <Application>Microsoft Office Word</Application>
  <DocSecurity>0</DocSecurity>
  <Lines>709</Lines>
  <Paragraphs>206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HEIDERSCHEID Mona</cp:lastModifiedBy>
  <cp:revision>2</cp:revision>
  <cp:lastPrinted>2004-11-04T09:41:00Z</cp:lastPrinted>
  <dcterms:created xsi:type="dcterms:W3CDTF">2025-10-07T11:48:00Z</dcterms:created>
  <dcterms:modified xsi:type="dcterms:W3CDTF">2025-10-07T11:48:00Z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PR\1328529SV.docx</vt:lpwstr>
  </property>
  <property fmtid="{D5CDD505-2E9C-101B-9397-08002B2CF9AE}" pid="10" name="LastEdited with">
    <vt:lpwstr>10.1.2 Build [20250817]</vt:lpwstr>
  </property>
  <property fmtid="{D5CDD505-2E9C-101B-9397-08002B2CF9AE}" pid="11" name="OriLang">
    <vt:lpwstr>EN</vt:lpwstr>
  </property>
  <property fmtid="{D5CDD505-2E9C-101B-9397-08002B2CF9AE}" pid="12" name="PE number">
    <vt:lpwstr>778.073</vt:lpwstr>
  </property>
  <property fmtid="{D5CDD505-2E9C-101B-9397-08002B2CF9AE}" pid="13" name="SDLStudio">
    <vt:lpwstr/>
  </property>
  <property fmtid="{D5CDD505-2E9C-101B-9397-08002B2CF9AE}" pid="14" name="SendToEpades">
    <vt:lpwstr>OK - 2025/09/26 13:19</vt:lpwstr>
  </property>
  <property fmtid="{D5CDD505-2E9C-101B-9397-08002B2CF9AE}" pid="15" name="Bookout">
    <vt:lpwstr>OK - 2025/10/07 13:32</vt:lpwstr>
  </property>
</Properties>
</file>