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D449A2" w:rsidRPr="005D666C" w14:paraId="66460DFC" w14:textId="77777777" w:rsidTr="00245869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8D4F86F" w14:textId="77777777" w:rsidR="00D449A2" w:rsidRPr="005D666C" w:rsidRDefault="00D449A2" w:rsidP="00245869">
            <w:pPr>
              <w:pStyle w:val="EPName"/>
            </w:pPr>
            <w:r w:rsidRPr="005D666C">
              <w:t>Parlament Europejski</w:t>
            </w:r>
          </w:p>
          <w:p w14:paraId="6D4B7763" w14:textId="77777777" w:rsidR="00D449A2" w:rsidRPr="005D666C" w:rsidRDefault="00D449A2" w:rsidP="00245869">
            <w:pPr>
              <w:pStyle w:val="EPTerm"/>
            </w:pPr>
            <w:r w:rsidRPr="005D666C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03301298" w14:textId="77777777" w:rsidR="00D449A2" w:rsidRPr="005D666C" w:rsidRDefault="00D449A2" w:rsidP="00245869">
            <w:pPr>
              <w:pStyle w:val="EPLogo"/>
            </w:pPr>
            <w:r w:rsidRPr="005D666C">
              <w:rPr>
                <w:noProof/>
              </w:rPr>
              <w:drawing>
                <wp:inline distT="0" distB="0" distL="0" distR="0" wp14:anchorId="13B293D0" wp14:editId="44DD5E3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93624E" w14:textId="77777777" w:rsidR="00D449A2" w:rsidRPr="005D666C" w:rsidRDefault="00D449A2" w:rsidP="00D449A2">
      <w:pPr>
        <w:pStyle w:val="LineTop"/>
      </w:pPr>
    </w:p>
    <w:p w14:paraId="392F0814" w14:textId="77777777" w:rsidR="00D449A2" w:rsidRPr="005D666C" w:rsidRDefault="00D449A2" w:rsidP="00D449A2">
      <w:pPr>
        <w:pStyle w:val="EPBody"/>
      </w:pPr>
      <w:r w:rsidRPr="005D666C">
        <w:rPr>
          <w:rStyle w:val="HideTWBExt"/>
          <w:i w:val="0"/>
        </w:rPr>
        <w:t>&lt;Commission&gt;</w:t>
      </w:r>
      <w:r w:rsidRPr="005D666C">
        <w:rPr>
          <w:rStyle w:val="HideTWBInt"/>
        </w:rPr>
        <w:t>{LIBE}</w:t>
      </w:r>
      <w:r w:rsidRPr="005D666C">
        <w:t>Komisja Wolności Obywatelskich, Sprawiedliwości i Spraw Wewnętrznych</w:t>
      </w:r>
      <w:r w:rsidRPr="005D666C">
        <w:rPr>
          <w:rStyle w:val="HideTWBExt"/>
          <w:i w:val="0"/>
        </w:rPr>
        <w:t>&lt;/Commission&gt;</w:t>
      </w:r>
    </w:p>
    <w:p w14:paraId="5C55B484" w14:textId="77777777" w:rsidR="00D449A2" w:rsidRPr="005D666C" w:rsidRDefault="00D449A2" w:rsidP="00D449A2">
      <w:pPr>
        <w:pStyle w:val="LineBottom"/>
      </w:pPr>
    </w:p>
    <w:p w14:paraId="5EFB1035" w14:textId="77777777" w:rsidR="00D449A2" w:rsidRPr="005D666C" w:rsidRDefault="00D449A2" w:rsidP="00D449A2">
      <w:pPr>
        <w:pStyle w:val="CoverReference"/>
      </w:pPr>
      <w:r w:rsidRPr="005D666C">
        <w:rPr>
          <w:rStyle w:val="HideTWBExt"/>
          <w:b w:val="0"/>
        </w:rPr>
        <w:t>&lt;RefProc&gt;</w:t>
      </w:r>
      <w:r w:rsidRPr="005D666C">
        <w:t>2025/2135</w:t>
      </w:r>
      <w:r w:rsidRPr="005D666C">
        <w:rPr>
          <w:rStyle w:val="HideTWBExt"/>
          <w:b w:val="0"/>
        </w:rPr>
        <w:t>&lt;/RefProc&gt;&lt;RefTypeProc&gt;</w:t>
      </w:r>
      <w:r w:rsidRPr="005D666C">
        <w:t>(INI)</w:t>
      </w:r>
      <w:r w:rsidRPr="005D666C">
        <w:rPr>
          <w:rStyle w:val="HideTWBExt"/>
          <w:b w:val="0"/>
        </w:rPr>
        <w:t>&lt;/RefTypeProc&gt;</w:t>
      </w:r>
    </w:p>
    <w:p w14:paraId="60A99C71" w14:textId="77777777" w:rsidR="00D449A2" w:rsidRPr="005D666C" w:rsidRDefault="00D449A2" w:rsidP="00D449A2">
      <w:pPr>
        <w:pStyle w:val="CoverDate"/>
      </w:pPr>
      <w:r w:rsidRPr="005D666C">
        <w:rPr>
          <w:rStyle w:val="HideTWBExt"/>
        </w:rPr>
        <w:t>&lt;Date&gt;</w:t>
      </w:r>
      <w:r w:rsidRPr="005D666C">
        <w:rPr>
          <w:rStyle w:val="HideTWBInt"/>
        </w:rPr>
        <w:t>{30/09/2025}</w:t>
      </w:r>
      <w:r w:rsidRPr="005D666C">
        <w:t>30.9.2025</w:t>
      </w:r>
      <w:r w:rsidRPr="005D666C">
        <w:rPr>
          <w:rStyle w:val="HideTWBExt"/>
        </w:rPr>
        <w:t>&lt;/Date&gt;</w:t>
      </w:r>
    </w:p>
    <w:p w14:paraId="65E37710" w14:textId="77777777" w:rsidR="00D449A2" w:rsidRPr="005D666C" w:rsidRDefault="00D449A2" w:rsidP="00D449A2">
      <w:pPr>
        <w:pStyle w:val="CoverDocType24a"/>
      </w:pPr>
      <w:r w:rsidRPr="005D666C">
        <w:rPr>
          <w:rStyle w:val="HideTWBExt"/>
          <w:b w:val="0"/>
        </w:rPr>
        <w:t>&lt;TitreType&gt;</w:t>
      </w:r>
      <w:r w:rsidRPr="005D666C">
        <w:t>PROJEKT SPRAWOZDANIA</w:t>
      </w:r>
      <w:r w:rsidRPr="005D666C">
        <w:rPr>
          <w:rStyle w:val="HideTWBExt"/>
          <w:b w:val="0"/>
        </w:rPr>
        <w:t>&lt;/TitreType&gt;</w:t>
      </w:r>
    </w:p>
    <w:p w14:paraId="625B7CBF" w14:textId="77777777" w:rsidR="00D449A2" w:rsidRPr="005D666C" w:rsidRDefault="00D449A2" w:rsidP="00D449A2">
      <w:pPr>
        <w:pStyle w:val="CoverNormal"/>
      </w:pPr>
      <w:r w:rsidRPr="005D666C">
        <w:rPr>
          <w:rStyle w:val="HideTWBExt"/>
        </w:rPr>
        <w:t>&lt;Titre&gt;</w:t>
      </w:r>
      <w:r w:rsidRPr="005D666C">
        <w:t>w sprawie sytuacji w zakresie praw podstawowych w Unii Europejskiej w latach 2024 i 2025</w:t>
      </w:r>
      <w:r w:rsidRPr="005D666C">
        <w:rPr>
          <w:rStyle w:val="HideTWBExt"/>
        </w:rPr>
        <w:t>&lt;/Titre&gt;</w:t>
      </w:r>
    </w:p>
    <w:p w14:paraId="6ACDA6B7" w14:textId="77777777" w:rsidR="00D449A2" w:rsidRPr="005D666C" w:rsidRDefault="00D449A2" w:rsidP="00D449A2">
      <w:pPr>
        <w:pStyle w:val="CoverNormal24a"/>
      </w:pPr>
      <w:r w:rsidRPr="005D666C">
        <w:rPr>
          <w:rStyle w:val="HideTWBExt"/>
        </w:rPr>
        <w:t>&lt;DocRef&gt;</w:t>
      </w:r>
      <w:r w:rsidRPr="005D666C">
        <w:t>(2025/2135(INI))</w:t>
      </w:r>
      <w:r w:rsidRPr="005D666C">
        <w:rPr>
          <w:rStyle w:val="HideTWBExt"/>
        </w:rPr>
        <w:t>&lt;/DocRef&gt;</w:t>
      </w:r>
    </w:p>
    <w:p w14:paraId="6E81B9EE" w14:textId="77777777" w:rsidR="00D449A2" w:rsidRPr="005D666C" w:rsidRDefault="00D449A2" w:rsidP="00D449A2">
      <w:pPr>
        <w:pStyle w:val="CoverNormal24a"/>
      </w:pPr>
      <w:r w:rsidRPr="005D666C">
        <w:rPr>
          <w:rStyle w:val="HideTWBExt"/>
        </w:rPr>
        <w:t>&lt;Commission&gt;</w:t>
      </w:r>
      <w:r w:rsidRPr="005D666C">
        <w:rPr>
          <w:rStyle w:val="HideTWBInt"/>
        </w:rPr>
        <w:t>{LIBE}</w:t>
      </w:r>
      <w:r w:rsidRPr="005D666C">
        <w:t>Komisja Wolności Obywatelskich, Sprawiedliwości i Spraw Wewnętrznych</w:t>
      </w:r>
      <w:r w:rsidRPr="005D666C">
        <w:rPr>
          <w:rStyle w:val="HideTWBExt"/>
        </w:rPr>
        <w:t>&lt;/Commission&gt;</w:t>
      </w:r>
    </w:p>
    <w:p w14:paraId="01C6DE9E" w14:textId="77777777" w:rsidR="00D449A2" w:rsidRPr="005D666C" w:rsidRDefault="00D449A2" w:rsidP="00D449A2">
      <w:pPr>
        <w:pStyle w:val="CoverNormal24a"/>
      </w:pPr>
      <w:r w:rsidRPr="005D666C">
        <w:t xml:space="preserve">Sprawozdawczyni: </w:t>
      </w:r>
      <w:r w:rsidRPr="005D666C">
        <w:rPr>
          <w:rStyle w:val="HideTWBExt"/>
        </w:rPr>
        <w:t>&lt;Depute&gt;</w:t>
      </w:r>
      <w:r w:rsidRPr="005D666C">
        <w:t>Anna Strolenberg</w:t>
      </w:r>
      <w:r w:rsidRPr="005D666C">
        <w:rPr>
          <w:rStyle w:val="HideTWBExt"/>
        </w:rPr>
        <w:t>&lt;/Depute&gt;</w:t>
      </w:r>
    </w:p>
    <w:p w14:paraId="45571051" w14:textId="77777777" w:rsidR="00D449A2" w:rsidRPr="005D666C" w:rsidRDefault="00D449A2" w:rsidP="00D449A2">
      <w:pPr>
        <w:widowControl/>
        <w:tabs>
          <w:tab w:val="center" w:pos="4677"/>
        </w:tabs>
      </w:pPr>
      <w:r w:rsidRPr="005D666C">
        <w:br w:type="page"/>
      </w:r>
      <w:r w:rsidRPr="005D666C">
        <w:lastRenderedPageBreak/>
        <w:t>PR_INI</w:t>
      </w:r>
    </w:p>
    <w:p w14:paraId="3819C0C1" w14:textId="77777777" w:rsidR="00D449A2" w:rsidRPr="005D666C" w:rsidRDefault="00D449A2" w:rsidP="00D449A2">
      <w:pPr>
        <w:pStyle w:val="TOCHeading"/>
      </w:pPr>
      <w:r w:rsidRPr="005D666C">
        <w:t>SPIS STREŚCI</w:t>
      </w:r>
    </w:p>
    <w:p w14:paraId="4F0487FA" w14:textId="77777777" w:rsidR="00D449A2" w:rsidRPr="005D666C" w:rsidRDefault="00D449A2" w:rsidP="00D449A2">
      <w:pPr>
        <w:pStyle w:val="TOCPage"/>
      </w:pPr>
      <w:r w:rsidRPr="005D666C">
        <w:t>Strona</w:t>
      </w:r>
    </w:p>
    <w:p w14:paraId="78CDB3ED" w14:textId="1E56036D" w:rsidR="005D666C" w:rsidRDefault="00D449A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5D666C">
        <w:rPr>
          <w:b/>
        </w:rPr>
        <w:fldChar w:fldCharType="begin"/>
      </w:r>
      <w:r w:rsidRPr="005D666C">
        <w:rPr>
          <w:b/>
        </w:rPr>
        <w:instrText xml:space="preserve"> TOC \t "PageHeading</w:instrText>
      </w:r>
      <w:r w:rsidR="00AA161F" w:rsidRPr="005D666C">
        <w:rPr>
          <w:b/>
        </w:rPr>
        <w:instrText>;</w:instrText>
      </w:r>
      <w:r w:rsidRPr="005D666C">
        <w:rPr>
          <w:b/>
        </w:rPr>
        <w:instrText xml:space="preserve">1" </w:instrText>
      </w:r>
      <w:r w:rsidRPr="005D666C">
        <w:rPr>
          <w:b/>
        </w:rPr>
        <w:fldChar w:fldCharType="separate"/>
      </w:r>
      <w:r w:rsidR="005D666C">
        <w:rPr>
          <w:noProof/>
        </w:rPr>
        <w:t>PROJEKT REZOLUCJI PARLAMENTU EUROPEJSKIEGO</w:t>
      </w:r>
      <w:r w:rsidR="005D666C">
        <w:rPr>
          <w:noProof/>
        </w:rPr>
        <w:tab/>
      </w:r>
      <w:r w:rsidR="005D666C">
        <w:rPr>
          <w:noProof/>
        </w:rPr>
        <w:fldChar w:fldCharType="begin"/>
      </w:r>
      <w:r w:rsidR="005D666C">
        <w:rPr>
          <w:noProof/>
        </w:rPr>
        <w:instrText xml:space="preserve"> PAGEREF _Toc210922897 \h </w:instrText>
      </w:r>
      <w:r w:rsidR="005D666C">
        <w:rPr>
          <w:noProof/>
        </w:rPr>
      </w:r>
      <w:r w:rsidR="005D666C">
        <w:rPr>
          <w:noProof/>
        </w:rPr>
        <w:fldChar w:fldCharType="separate"/>
      </w:r>
      <w:r w:rsidR="005D666C">
        <w:rPr>
          <w:noProof/>
        </w:rPr>
        <w:t>3</w:t>
      </w:r>
      <w:r w:rsidR="005D666C">
        <w:rPr>
          <w:noProof/>
        </w:rPr>
        <w:fldChar w:fldCharType="end"/>
      </w:r>
    </w:p>
    <w:p w14:paraId="067C8F81" w14:textId="52AB8AD5" w:rsidR="005D666C" w:rsidRDefault="005D666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UZASADNIENIE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_Toc210922898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1B12EED8" w14:textId="7399EA67" w:rsidR="00D449A2" w:rsidRPr="005D666C" w:rsidRDefault="00D449A2" w:rsidP="00D449A2">
      <w:r w:rsidRPr="005D666C">
        <w:rPr>
          <w:b/>
        </w:rPr>
        <w:fldChar w:fldCharType="end"/>
      </w:r>
    </w:p>
    <w:p w14:paraId="40618DDD" w14:textId="77777777" w:rsidR="00D449A2" w:rsidRPr="005D666C" w:rsidRDefault="00D449A2" w:rsidP="00D449A2">
      <w:pPr>
        <w:pStyle w:val="PageHeading"/>
      </w:pPr>
      <w:r w:rsidRPr="005D666C">
        <w:br w:type="page"/>
      </w:r>
      <w:bookmarkStart w:id="0" w:name="_Toc210922897"/>
      <w:r w:rsidRPr="005D666C">
        <w:lastRenderedPageBreak/>
        <w:t>PROJEKT REZOLUCJI PARLAMENTU EUROPEJSKIEGO</w:t>
      </w:r>
      <w:bookmarkEnd w:id="0"/>
    </w:p>
    <w:p w14:paraId="798C365E" w14:textId="77777777" w:rsidR="00D449A2" w:rsidRPr="005D666C" w:rsidRDefault="00D449A2" w:rsidP="00D449A2">
      <w:pPr>
        <w:pStyle w:val="NormalBold"/>
      </w:pPr>
      <w:r w:rsidRPr="005D666C">
        <w:t>w sprawie sytuacji w zakresie praw podstawowych w Unii Europejskiej w latach 2024 i 2025</w:t>
      </w:r>
    </w:p>
    <w:p w14:paraId="130EA13F" w14:textId="77777777" w:rsidR="00D449A2" w:rsidRPr="005D666C" w:rsidRDefault="00D449A2" w:rsidP="00D449A2">
      <w:pPr>
        <w:pStyle w:val="NormalBold"/>
      </w:pPr>
      <w:r w:rsidRPr="005D666C">
        <w:t>(2025/2135(INI))</w:t>
      </w:r>
    </w:p>
    <w:p w14:paraId="334CB359" w14:textId="77777777" w:rsidR="00D449A2" w:rsidRPr="005D666C" w:rsidRDefault="00D449A2" w:rsidP="00D449A2">
      <w:pPr>
        <w:pStyle w:val="EPComma"/>
      </w:pPr>
      <w:r w:rsidRPr="005D666C">
        <w:rPr>
          <w:i/>
          <w:iCs/>
        </w:rPr>
        <w:t>Parlament Europejski</w:t>
      </w:r>
      <w:r w:rsidRPr="005D666C">
        <w:t>,</w:t>
      </w:r>
    </w:p>
    <w:p w14:paraId="20891F6C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Traktat o Unii Europejskiej (TUE),</w:t>
      </w:r>
    </w:p>
    <w:p w14:paraId="47872DA7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Traktat o funkcjonowaniu Unii Europejskiej (TFUE),</w:t>
      </w:r>
    </w:p>
    <w:p w14:paraId="27EF3B15" w14:textId="7BFE7EEF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Kartę praw podstawowych Unii Europejskiej (zwaną dalej „Kartą”),</w:t>
      </w:r>
    </w:p>
    <w:p w14:paraId="1FBA5F2F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orzecznictwo Trybunału Sprawiedliwości Unii Europejskiej (TSUE),</w:t>
      </w:r>
    </w:p>
    <w:p w14:paraId="4BE25DA6" w14:textId="7A47DDA1" w:rsidR="00D449A2" w:rsidRPr="005D666C" w:rsidRDefault="00D449A2" w:rsidP="00D449A2">
      <w:pPr>
        <w:pStyle w:val="NormalHanging12a"/>
      </w:pPr>
      <w:r w:rsidRPr="005D666C">
        <w:tab/>
        <w:t>uwzględniając dyrektywę Parlamentu Europejskiego i Rady (UE) 2024/1385 z 14 maja 2024 r. w sprawie zwalczania przemocy wobec kobiet i przemocy domowej</w:t>
      </w:r>
      <w:r w:rsidRPr="005D666C">
        <w:rPr>
          <w:rStyle w:val="FootnoteReference"/>
        </w:rPr>
        <w:footnoteReference w:id="1"/>
      </w:r>
      <w:r w:rsidRPr="005D666C">
        <w:t>,</w:t>
      </w:r>
    </w:p>
    <w:p w14:paraId="462F7F66" w14:textId="3EB0B38E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rozporządzenie Parlamentu Europejskiego i Rady (UE) 2024/1083 z 11 kwietnia 2024 r. w sprawie ustanowienia wspólnych ram dla usług medialnych na rynku wewnętrznym i zmiany dyrektywy 2010/13/UE (europejski akt o wolności mediów)</w:t>
      </w:r>
      <w:r w:rsidRPr="005D666C">
        <w:rPr>
          <w:rStyle w:val="FootnoteReference"/>
        </w:rPr>
        <w:footnoteReference w:id="2"/>
      </w:r>
      <w:r w:rsidRPr="005D666C">
        <w:t>,</w:t>
      </w:r>
    </w:p>
    <w:p w14:paraId="27373A95" w14:textId="71CBC35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dyrektywę Parlamentu Europejskiego i Rady (UE) 2024/1069 z 11 kwietnia 2024 r. w sprawie ochrony osób, które angażują się w debatę publiczną, przed oczywiście bezzasadnymi roszczeniami lub stanowiącymi nadużycie postępowaniami sądowymi (strategiczne powództwa zmierzające do stłumienia debaty publicznej”)</w:t>
      </w:r>
      <w:r w:rsidRPr="005D666C">
        <w:rPr>
          <w:rStyle w:val="FootnoteReference"/>
        </w:rPr>
        <w:footnoteReference w:id="3"/>
      </w:r>
      <w:r w:rsidRPr="005D666C">
        <w:t xml:space="preserve"> (dyrektywę w sprawie przeciwdziałania powództwom typu SLAPP),</w:t>
      </w:r>
    </w:p>
    <w:p w14:paraId="0CCF2765" w14:textId="2C24E57D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rozporządzenie Parlamentu Europejskiego i Rady (UE, Euratom) 2020/2092 z 16 grudnia 2020 r. w sprawie ogólnego systemu warunkowości służącego ochronie budżetu Unii</w:t>
      </w:r>
      <w:r w:rsidRPr="005D666C">
        <w:rPr>
          <w:rStyle w:val="FootnoteReference"/>
        </w:rPr>
        <w:footnoteReference w:id="4"/>
      </w:r>
      <w:r w:rsidRPr="005D666C">
        <w:t xml:space="preserve"> (rozporządzenie w sprawie warunkowości w zakresie praworządności),</w:t>
      </w:r>
    </w:p>
    <w:p w14:paraId="02270930" w14:textId="64CACD09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rozporządzenie Parlamentu Europejskiego i Rady (UE) 2016/679 z 27 kwietnia 2016 r. w sprawie ochrony osób fizycznych w związku z przetwarzaniem danych osobowych i w sprawie swobodnego przepływu takich danych oraz uchylenia dyrektywy 95/46/WE (ogólne rozporządzenie o ochronie danych)</w:t>
      </w:r>
      <w:r w:rsidRPr="005D666C">
        <w:rPr>
          <w:rStyle w:val="FootnoteReference"/>
        </w:rPr>
        <w:footnoteReference w:id="5"/>
      </w:r>
      <w:r w:rsidRPr="005D666C">
        <w:t>,</w:t>
      </w:r>
    </w:p>
    <w:p w14:paraId="2E983275" w14:textId="5328B9D2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decyzję ramową Rady 2008/913/WSiSW z 28 listopada 2008 r. w sprawie zwalczania pewnych form i przejawów rasizmu i ksenofobii za pomocą środków prawnokarnych</w:t>
      </w:r>
      <w:r w:rsidRPr="005D666C">
        <w:rPr>
          <w:rStyle w:val="FootnoteReference"/>
        </w:rPr>
        <w:footnoteReference w:id="6"/>
      </w:r>
      <w:r w:rsidRPr="005D666C">
        <w:t>,</w:t>
      </w:r>
    </w:p>
    <w:p w14:paraId="1FD478F1" w14:textId="491CB678" w:rsidR="00D449A2" w:rsidRPr="005D666C" w:rsidRDefault="00D449A2" w:rsidP="00D449A2">
      <w:pPr>
        <w:pStyle w:val="NormalHanging12a"/>
      </w:pPr>
      <w:r w:rsidRPr="005D666C">
        <w:lastRenderedPageBreak/>
        <w:t>–</w:t>
      </w:r>
      <w:r w:rsidRPr="005D666C">
        <w:tab/>
        <w:t>uwzględniając wniosek Komisji z 2 lipca 2008 r. dotyczący dyrektywy Rady w sprawie wprowadzenia w życie zasady równego traktowania osób bez względu na religię lub światopogląd, niepełnosprawność, wiek lub orientację seksualną (COM(2008)0426) (horyzontalna dyrektywa antydyskryminacyjna),</w:t>
      </w:r>
    </w:p>
    <w:p w14:paraId="35307624" w14:textId="6E9DE68F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dyrektywę Rady 2000/43/WE z 29 czerwca 2000 r. wprowadzającą w życie zasadę równego traktowania osób bez względu na pochodzenie rasowe lub etniczne</w:t>
      </w:r>
      <w:r w:rsidRPr="005D666C">
        <w:rPr>
          <w:rStyle w:val="FootnoteReference"/>
        </w:rPr>
        <w:footnoteReference w:id="7"/>
      </w:r>
      <w:r w:rsidRPr="005D666C">
        <w:t>,</w:t>
      </w:r>
    </w:p>
    <w:p w14:paraId="1F310C96" w14:textId="0B8AE6B2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strategię UE na rzecz równości osób LGBTIQ na lata 2020–2025 (COM(2020)0698), strategię na rzecz równouprawnienia płci na lata 2020–2025 (COM(2020)0152), strategię na rzecz praw osób z niepełnosprawnościami na lata 2021–2030 (COM(2021)0101), unijny plan działania przeciwko rasizmowi na lata 2020–2025 (COM(2020)0565), unijne ramy strategiczne na rzecz równouprawnienia, włączenia społecznego i udziału Romów na lata 2020–2030 (COM(2020)0620) oraz zapowiedź Komisji dotyczącą ich aktualizacji i wzmocnienia,</w:t>
      </w:r>
    </w:p>
    <w:p w14:paraId="37BC913D" w14:textId="131B9748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strategię UE na rzecz wzmocnienia stosowania Karty praw podstawowych (COM(2020)0711) oraz sprawozdania roczne Komisji, w szczególności sprawozdanie roczne ze stosowania Karty praw podstawowych Unii Europejskiej za 2024 r. – Finansowanie w celu propagowania, ochrony i egzekwowania praw podstawowych (COM(2024)0456),</w:t>
      </w:r>
    </w:p>
    <w:p w14:paraId="581C9438" w14:textId="3D71E76F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komunikaty Komisji z 24 lipca 2024 r. pt. „Sprawozdanie na temat praworządności z 2024 r. Sytuacja w zakresie praworządności w Unii Europejskiej” (COM(2024)0800) i z 8 lipca 2025 r. pt. „Sprawozdanie na temat praworządności z 2025 r. Sytuacja w zakresie praworządności w Unii Europejskiej” (COM(2025)0900) oraz załączone do nich 27 rozdziałów dotyczących poszczególnych krajów,</w:t>
      </w:r>
    </w:p>
    <w:p w14:paraId="5B6F17FC" w14:textId="609F809F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komunikat Komisji z 7 marca 2025 r. pt. „Plan działania na rzecz praw kobiet” (COM(2025)0097), w którym przedstawiono długofalową wizję osiągnięcia równości płci,</w:t>
      </w:r>
    </w:p>
    <w:p w14:paraId="4FF8111D" w14:textId="18A0304A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traktaty ONZ dotyczące praw człowiek i instrumenty służące ochronie praw człowieka i podstawowych wolności, w szczególności Powszechną deklarację praw człowieka, Międzynarodowy pakt praw obywatelskich i politycznych, Międzynarodową konwencję w sprawie likwidacji wszelkich form dyskryminacji rasowej i Konwencję w sprawie likwidacji wszelkich form dyskryminacji kobiet, zalecenia i sprawozdania z powszechnego okresowego przeglądu praw człowieka ONZ, orzecznictwo organów traktatowych ONZ i specjalne procedury Rady Praw Człowieka,</w:t>
      </w:r>
    </w:p>
    <w:p w14:paraId="7AB554F5" w14:textId="25142F2D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Konwencję ONZ o prawach osób niepełnosprawnych, ratyfikowaną przez UE w dniu 23 grudnia 2010 r., której wszystkie państwa członkowskie są stronami, załączony do niej protokół fakultatywny, ratyfikowany przez 22 państwa członkowskie, a także uwagi ogólne dotyczące Konwencji o prawach osób niepełnosprawnych oraz uwagi Komitetu ONZ ds. Praw Osób z Niepełnosprawnościami,</w:t>
      </w:r>
    </w:p>
    <w:p w14:paraId="19892987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 xml:space="preserve">uwzględniając Agendę ONZ na rzecz zrównoważonego rozwoju 2030 oraz cele </w:t>
      </w:r>
      <w:r w:rsidRPr="005D666C">
        <w:lastRenderedPageBreak/>
        <w:t>zrównoważonego rozwoju,</w:t>
      </w:r>
    </w:p>
    <w:p w14:paraId="3E0AD086" w14:textId="5C3BA5F8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zasady z Yogyakarty dotyczące stosowania prawa międzynarodowego w dziedzinie praw człowieka w odniesieniu do orientacji seksualnej, tożsamości płciowej, ekspresji płciowej i cech płciowych,</w:t>
      </w:r>
    </w:p>
    <w:p w14:paraId="3FEE6C29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zalecenia i sprawozdania Biura Instytucji Demokratycznych i Praw Człowieka, Wysokiego Komisarza ds. Mniejszości Narodowych, Przedstawicielki OBWE ds. Wolności Mediów oraz innych organów Organizacji Bezpieczeństwa i Współpracy w Europie (OBWE),</w:t>
      </w:r>
    </w:p>
    <w:p w14:paraId="38B845AD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europejską Konwencję o ochronie praw człowieka i podstawowych wolności (EKPC),</w:t>
      </w:r>
    </w:p>
    <w:p w14:paraId="1055BD17" w14:textId="775B0710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zalecenia, opinie, sprawozdania i rezolucje Rady Europy, w szczególności Komisji Weneckiej, Europejskiej Komisji przeciwko Rasizmowi i Nietolerancji (ECRI), Grupy Ekspertów ds. Przeciwdziałania Przemocy wobec Kobiet i Przemocy Domowej (GREVIO), Grupy Państw przeciwko Korupcji (GRECO), Komitetu Sterującego ds. Walki z Dyskryminacją, Różnorodności i Włączenia, Zgromadzenia Parlamentarnego, Europejskiego Komitetu Praw Społecznych i innych organów Rady Europy,</w:t>
      </w:r>
    </w:p>
    <w:p w14:paraId="4443DA85" w14:textId="6A037FD4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oświadczenia, zalecenia, sprawozdania i wizyty krajowe komisarza Rady Europy ds. praw człowieka, w tym jego sprawozdanie z 4 września 2025 r. pt. „Externalised asylum and migration policies and human rights law” [Zewnętrzna polityka azylowa i migracyjna a prawo dotyczące praw człowieka],</w:t>
      </w:r>
    </w:p>
    <w:p w14:paraId="7A22FEDF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Platformę Rady Europy na rzecz Bezpieczeństwa Dziennikarzy,</w:t>
      </w:r>
    </w:p>
    <w:p w14:paraId="2B98BA0F" w14:textId="6B90E5FC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Konwencję Rady Europy o zapobieganiu i zwalczaniu przemocy wobec kobiet i przemocy domowej (konwencja stambulska), którą to konwencję Unia Europejska ratyfikowała 28 czerwca 2023 r.,</w:t>
      </w:r>
    </w:p>
    <w:p w14:paraId="1D268D78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Europejską kartę społeczną Rady Europy,</w:t>
      </w:r>
    </w:p>
    <w:p w14:paraId="6B0DFB06" w14:textId="4BD1D8FC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Europejski filar praw socjalnych i dotyczący go plan działania,</w:t>
      </w:r>
    </w:p>
    <w:p w14:paraId="12640B7F" w14:textId="5F5FCB74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sprawozdania, badania i opinie Agencji Praw Podstawowych UE (FRA), w szczególności sprawozdanie na temat praw podstawowych z lat 2024 i 2025,</w:t>
      </w:r>
    </w:p>
    <w:p w14:paraId="2319B36C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swoje poprzednie rezolucje w sprawie stanu praw podstawowych w UE,</w:t>
      </w:r>
    </w:p>
    <w:p w14:paraId="2C04F720" w14:textId="2E022D1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swoje rezolucje w sprawie sprawozdań Komisji na temat praworządności,</w:t>
      </w:r>
    </w:p>
    <w:p w14:paraId="558945A4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swoje rezolucje w sprawie poszczególnych państw członkowskich, w tym Grecji, Węgier i Słowacji,</w:t>
      </w:r>
    </w:p>
    <w:p w14:paraId="0E417534" w14:textId="5BCC7FB3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 xml:space="preserve">uwzględniając swoją rezolucję z 8 lutego 2024 r. w sprawie realizacji unijnej strategii </w:t>
      </w:r>
      <w:r w:rsidRPr="005D666C">
        <w:lastRenderedPageBreak/>
        <w:t>na rzecz równości osób LGBTIQ na lata 2020–2025</w:t>
      </w:r>
      <w:r w:rsidRPr="005D666C">
        <w:rPr>
          <w:rStyle w:val="FootnoteReference"/>
        </w:rPr>
        <w:footnoteReference w:id="8"/>
      </w:r>
      <w:r w:rsidRPr="005D666C">
        <w:t>,</w:t>
      </w:r>
    </w:p>
    <w:p w14:paraId="003A1074" w14:textId="4F4BDE8D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 13 grudnia 2022 r. w sprawie dążenia do równouprawnienia osób z niepełnosprawnościami</w:t>
      </w:r>
      <w:r w:rsidRPr="005D666C">
        <w:rPr>
          <w:rStyle w:val="FootnoteReference"/>
        </w:rPr>
        <w:footnoteReference w:id="9"/>
      </w:r>
      <w:r w:rsidRPr="005D666C">
        <w:t>,</w:t>
      </w:r>
    </w:p>
    <w:p w14:paraId="4E95ED55" w14:textId="2CA5AFF9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 10 listopada 2022 r. w sprawie sprawiedliwości rasowej, niedyskryminacji i przeciwdziałania rasizmowi w UE</w:t>
      </w:r>
      <w:r w:rsidRPr="005D666C">
        <w:rPr>
          <w:rStyle w:val="FootnoteReference"/>
        </w:rPr>
        <w:footnoteReference w:id="10"/>
      </w:r>
      <w:r w:rsidRPr="005D666C">
        <w:t>,</w:t>
      </w:r>
    </w:p>
    <w:p w14:paraId="68BEC2C0" w14:textId="6B5CBABF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 8 marca 2022 r. w sprawie kurczącej się przestrzeni działania społeczeństwa obywatelskiego w Europie</w:t>
      </w:r>
      <w:r w:rsidRPr="005D666C">
        <w:rPr>
          <w:rStyle w:val="FootnoteReference"/>
        </w:rPr>
        <w:footnoteReference w:id="11"/>
      </w:r>
      <w:r w:rsidRPr="005D666C">
        <w:t>,</w:t>
      </w:r>
    </w:p>
    <w:p w14:paraId="7942250D" w14:textId="5F7522AD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 14 grudnia 2021 r. zawierającą zalecenia dla Komisji w sprawie zwalczania przemocy ze względu na płeć: cyberprzemoc</w:t>
      </w:r>
      <w:r w:rsidRPr="005D666C">
        <w:rPr>
          <w:rStyle w:val="FootnoteReference"/>
        </w:rPr>
        <w:footnoteReference w:id="12"/>
      </w:r>
      <w:r w:rsidRPr="005D666C">
        <w:t>,</w:t>
      </w:r>
    </w:p>
    <w:p w14:paraId="799453BD" w14:textId="0861A732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 16 września 2021 r. zawierającą zalecenia dla Komisji w sprawie uznania przemocy ze względu na płeć za nową dziedzinę przestępczości wśród wymienionych w art. 83 ust. 1 TFUE</w:t>
      </w:r>
      <w:r w:rsidRPr="005D666C">
        <w:rPr>
          <w:rStyle w:val="FootnoteReference"/>
        </w:rPr>
        <w:footnoteReference w:id="13"/>
      </w:r>
      <w:r w:rsidRPr="005D666C">
        <w:t>, a także swoją rezolucję z 18 stycznia 2024 r. w sprawie rozszerzenia unijnego wykazu przestępstw o nawoływanie do nienawiści i przestępstwa z nienawiści</w:t>
      </w:r>
      <w:r w:rsidRPr="005D666C">
        <w:rPr>
          <w:rStyle w:val="FootnoteReference"/>
        </w:rPr>
        <w:footnoteReference w:id="14"/>
      </w:r>
      <w:r w:rsidRPr="005D666C">
        <w:t>,</w:t>
      </w:r>
    </w:p>
    <w:p w14:paraId="4A5D68C7" w14:textId="2557D333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swoją rezolucję z 7 października 2020 r. w sprawie ustanowienia unijnego mechanizmu na rzecz demokracji, praworządności i praw podstawowych</w:t>
      </w:r>
      <w:r w:rsidRPr="005D666C">
        <w:rPr>
          <w:rStyle w:val="FootnoteReference"/>
        </w:rPr>
        <w:footnoteReference w:id="15"/>
      </w:r>
      <w:r w:rsidRPr="005D666C">
        <w:t>,</w:t>
      </w:r>
    </w:p>
    <w:p w14:paraId="7C898284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art. 55 Regulaminu,</w:t>
      </w:r>
    </w:p>
    <w:p w14:paraId="4260F531" w14:textId="77777777" w:rsidR="00D449A2" w:rsidRPr="005D666C" w:rsidRDefault="00D449A2" w:rsidP="00D449A2">
      <w:pPr>
        <w:pStyle w:val="NormalHanging12a"/>
      </w:pPr>
      <w:r w:rsidRPr="005D666C">
        <w:t>–</w:t>
      </w:r>
      <w:r w:rsidRPr="005D666C">
        <w:tab/>
        <w:t>uwzględniając sprawozdanie Komisji Wolności Obywatelskich, Sprawiedliwości i Spraw Wewnętrznych (A10</w:t>
      </w:r>
      <w:r w:rsidRPr="005D666C">
        <w:noBreakHyphen/>
        <w:t>0000/2025),</w:t>
      </w:r>
    </w:p>
    <w:p w14:paraId="1CAB40BB" w14:textId="354E218C" w:rsidR="00D449A2" w:rsidRPr="005D666C" w:rsidRDefault="00D449A2" w:rsidP="00D449A2">
      <w:pPr>
        <w:pStyle w:val="NormalHanging12a"/>
      </w:pPr>
      <w:r w:rsidRPr="005D666C">
        <w:t>A.</w:t>
      </w:r>
      <w:r w:rsidRPr="005D666C">
        <w:tab/>
        <w:t>mając na uwadze, że w niektórych państwach członkowskich obserwuje się regres demokracji;</w:t>
      </w:r>
    </w:p>
    <w:p w14:paraId="70DEF6EF" w14:textId="77777777" w:rsidR="00D449A2" w:rsidRPr="005D666C" w:rsidRDefault="00D449A2" w:rsidP="00D449A2">
      <w:pPr>
        <w:pStyle w:val="NormalHanging12a"/>
      </w:pPr>
      <w:r w:rsidRPr="005D666C">
        <w:t>B.</w:t>
      </w:r>
      <w:r w:rsidRPr="005D666C">
        <w:tab/>
        <w:t>mając na uwadze, że poważnym problemem pozostaje korupcja;</w:t>
      </w:r>
    </w:p>
    <w:p w14:paraId="34B42716" w14:textId="77777777" w:rsidR="00D449A2" w:rsidRPr="005D666C" w:rsidRDefault="00D449A2" w:rsidP="00D449A2">
      <w:pPr>
        <w:pStyle w:val="NormalHanging12a"/>
      </w:pPr>
      <w:r w:rsidRPr="005D666C">
        <w:t>C.</w:t>
      </w:r>
      <w:r w:rsidRPr="005D666C">
        <w:tab/>
        <w:t>mając na uwadze, że wolność mediów jest nadal zagrożona w całej UE, szczególnie w Bułgarii, w Grecji, we Włoszech, na Węgrzech i na Słowacji; mając na uwadze, że strategiczne powództwa zmierzające do stłumienia debaty publicznej (SLAPP) nadal stanowią zagrożenie dla wolności mediów;</w:t>
      </w:r>
    </w:p>
    <w:p w14:paraId="7E4C3EFF" w14:textId="77777777" w:rsidR="00D449A2" w:rsidRPr="005D666C" w:rsidRDefault="00D449A2" w:rsidP="00D449A2">
      <w:pPr>
        <w:pStyle w:val="NormalHanging12a"/>
      </w:pPr>
      <w:r w:rsidRPr="005D666C">
        <w:t>D.</w:t>
      </w:r>
      <w:r w:rsidRPr="005D666C">
        <w:tab/>
        <w:t>mając na uwadze, że dziennikarze i pracownicy mediów odczuwają skutki niepewnych warunków i niebezpiecznego środowiska;</w:t>
      </w:r>
    </w:p>
    <w:p w14:paraId="4E19ABD4" w14:textId="77777777" w:rsidR="00D449A2" w:rsidRPr="005D666C" w:rsidRDefault="00D449A2" w:rsidP="00D449A2">
      <w:pPr>
        <w:pStyle w:val="NormalHanging12a"/>
      </w:pPr>
      <w:r w:rsidRPr="005D666C">
        <w:t>E.</w:t>
      </w:r>
      <w:r w:rsidRPr="005D666C">
        <w:tab/>
        <w:t xml:space="preserve">mając na uwadze, że rozpowszechnienie się dezinformacji polaryzuje i osłabia </w:t>
      </w:r>
      <w:r w:rsidRPr="005D666C">
        <w:lastRenderedPageBreak/>
        <w:t>demokrację;</w:t>
      </w:r>
    </w:p>
    <w:p w14:paraId="49E1D322" w14:textId="77777777" w:rsidR="00D449A2" w:rsidRPr="005D666C" w:rsidRDefault="00D449A2" w:rsidP="00D449A2">
      <w:pPr>
        <w:pStyle w:val="NormalHanging12a"/>
      </w:pPr>
      <w:r w:rsidRPr="005D666C">
        <w:t>F.</w:t>
      </w:r>
      <w:r w:rsidRPr="005D666C">
        <w:tab/>
        <w:t>mając na uwadze, że nowe technologie, w tym systemy AI, mogą pogłębić dyskryminację i istniejące nierówności; mając na uwadze, że stosowanie oprogramowania szpiegowskiego, technologii rozpoznawania twarzy i technologii masowej inwigilacji to niedemokratyczne praktyki stanowiące nadużycie;</w:t>
      </w:r>
    </w:p>
    <w:p w14:paraId="776DA780" w14:textId="20E13142" w:rsidR="00D449A2" w:rsidRPr="005D666C" w:rsidRDefault="00D449A2" w:rsidP="00D449A2">
      <w:pPr>
        <w:pStyle w:val="NormalHanging12a"/>
      </w:pPr>
      <w:r w:rsidRPr="005D666C">
        <w:t>G.</w:t>
      </w:r>
      <w:r w:rsidRPr="005D666C">
        <w:tab/>
        <w:t>mając na uwadze, że przestrzeganie wartości unijnych określonych w art. 2 TUE jest podstawowym warunkiem dostępu do unijnych środków finansowych;</w:t>
      </w:r>
    </w:p>
    <w:p w14:paraId="44BFC5C5" w14:textId="7A2B6C17" w:rsidR="00D449A2" w:rsidRPr="005D666C" w:rsidRDefault="00D449A2" w:rsidP="00D449A2">
      <w:pPr>
        <w:pStyle w:val="NormalHanging12a"/>
      </w:pPr>
      <w:r w:rsidRPr="005D666C">
        <w:t>H.</w:t>
      </w:r>
      <w:r w:rsidRPr="005D666C">
        <w:tab/>
        <w:t>mając na uwadze, że komisarz Rady Europy ds. praw człowieka zaleca przeprowadzenie kompleksowych ocen ryzyka dla praw człowieka przed nawiązaniem współpracy zewnętrznej;</w:t>
      </w:r>
    </w:p>
    <w:p w14:paraId="0C13028B" w14:textId="77777777" w:rsidR="00D449A2" w:rsidRPr="005D666C" w:rsidRDefault="00D449A2" w:rsidP="00D449A2">
      <w:pPr>
        <w:pStyle w:val="NormalHanging12a"/>
      </w:pPr>
      <w:r w:rsidRPr="005D666C">
        <w:t>I.</w:t>
      </w:r>
      <w:r w:rsidRPr="005D666C">
        <w:tab/>
        <w:t>mając na uwadze, że próby zawieszenia rejestracji wniosków o udzielenie azylu budzą poważne obawy; mając na uwadze, że należy respektować prawa człowieka przysługujące danym osobom, ocenić ich potrzeby w zakresie ochrony, a osobom kwalifikującym się do ochrony międzynarodowej zapewnić dostęp do realnych środków ochrony;</w:t>
      </w:r>
    </w:p>
    <w:p w14:paraId="50553828" w14:textId="77777777" w:rsidR="00D449A2" w:rsidRPr="005D666C" w:rsidRDefault="00D449A2" w:rsidP="00D449A2">
      <w:pPr>
        <w:pStyle w:val="NormalHanging12a"/>
      </w:pPr>
      <w:r w:rsidRPr="005D666C">
        <w:t>J.</w:t>
      </w:r>
      <w:r w:rsidRPr="005D666C">
        <w:tab/>
        <w:t>mając na uwadze, że przemoc ze względu na płeć wobec kobiet i osób LGBTIQ+ pozostaje wszechobecna, szczególnie w przypadku osób doświadczających dyskryminacji z wielu przyczyn jednocześnie i dyskryminacji krzyżowej; mając na uwadze, że odmowa dostępu do bezpiecznej i legalnej aborcji stanowi formę przemocy ze względu na płeć;</w:t>
      </w:r>
    </w:p>
    <w:p w14:paraId="70583011" w14:textId="6EDEBA9E" w:rsidR="00D449A2" w:rsidRPr="005D666C" w:rsidRDefault="00D449A2" w:rsidP="00D449A2">
      <w:pPr>
        <w:pStyle w:val="NormalHanging12a"/>
      </w:pPr>
      <w:r w:rsidRPr="005D666C">
        <w:t>K.</w:t>
      </w:r>
      <w:r w:rsidRPr="005D666C">
        <w:tab/>
        <w:t>mając na uwadze bezprecedensowy i wzmożony atak na przestrzeń społeczeństwa obywatelskiego w całej UE; mając na uwadze, że ataki wymierzone przeciwko organizacjom społeczeństwa obywatelskiego i obrońcom praw człowieka chroniącym i propagującym wartości unijne nasiliły się i nadal budzą poważne obawy;</w:t>
      </w:r>
    </w:p>
    <w:p w14:paraId="0238FEB4" w14:textId="71AA40CC" w:rsidR="00D449A2" w:rsidRPr="005D666C" w:rsidRDefault="00D449A2" w:rsidP="00D449A2">
      <w:pPr>
        <w:pStyle w:val="NormalHanging12a"/>
      </w:pPr>
      <w:r w:rsidRPr="005D666C">
        <w:t>L.</w:t>
      </w:r>
      <w:r w:rsidRPr="005D666C">
        <w:tab/>
        <w:t>mając na uwadze, że w niektórych państwach członkowskich, takich jak Cypr, Francja, Grecja, Hiszpania, Malta, Polska i Włochy, organizacje społeczeństwa obywatelskiego i obrońcy praw człowieka są ścigani za pomoc uchodźcom i migrantom;</w:t>
      </w:r>
    </w:p>
    <w:p w14:paraId="5F90030D" w14:textId="77777777" w:rsidR="00D449A2" w:rsidRPr="005D666C" w:rsidRDefault="00D449A2" w:rsidP="00D449A2">
      <w:pPr>
        <w:pStyle w:val="NormalHanging12a"/>
      </w:pPr>
      <w:r w:rsidRPr="005D666C">
        <w:t>M.</w:t>
      </w:r>
      <w:r w:rsidRPr="005D666C">
        <w:tab/>
        <w:t>mając na uwadze, że w kolejnych wieloletnich ramach finansowych (WRF) należy zapewnić unijne finansowanie na rzecz społeczeństwa obywatelskiego;</w:t>
      </w:r>
    </w:p>
    <w:p w14:paraId="32D1E464" w14:textId="2B84C6A0" w:rsidR="00D449A2" w:rsidRPr="005D666C" w:rsidRDefault="00D449A2" w:rsidP="00D449A2">
      <w:pPr>
        <w:pStyle w:val="NormalHanging12a"/>
      </w:pPr>
      <w:r w:rsidRPr="005D666C">
        <w:t>N.</w:t>
      </w:r>
      <w:r w:rsidRPr="005D666C">
        <w:tab/>
        <w:t>mając na uwadze, że zinstytucjonalizowany rasizm jest zakorzeniony w polityce rządowej i w służbach publicznych, takich jak siły policyjne;</w:t>
      </w:r>
    </w:p>
    <w:p w14:paraId="39339291" w14:textId="77C9616B" w:rsidR="00D449A2" w:rsidRPr="005D666C" w:rsidRDefault="00D449A2" w:rsidP="00D449A2">
      <w:pPr>
        <w:pStyle w:val="NormalHanging12a"/>
      </w:pPr>
      <w:r w:rsidRPr="005D666C">
        <w:t>O.</w:t>
      </w:r>
      <w:r w:rsidRPr="005D666C">
        <w:tab/>
        <w:t>mając na uwadze, że badania przeprowadzone przez FRA wśród osób czarnoskórych, Żydów, muzułmanów i osób LGBTIQ+ w UE pokazują, że doświadczają one powszechnej nienawiści;</w:t>
      </w:r>
    </w:p>
    <w:p w14:paraId="0A8A8E09" w14:textId="77777777" w:rsidR="00D449A2" w:rsidRPr="005D666C" w:rsidRDefault="00D449A2" w:rsidP="00D449A2">
      <w:pPr>
        <w:pStyle w:val="NormalHanging12a"/>
        <w:rPr>
          <w:b/>
          <w:bCs/>
          <w:i/>
          <w:iCs/>
        </w:rPr>
      </w:pPr>
      <w:r w:rsidRPr="005D666C">
        <w:rPr>
          <w:b/>
          <w:i/>
        </w:rPr>
        <w:t>Prawa podstawowe w niebezpieczeństwie</w:t>
      </w:r>
    </w:p>
    <w:p w14:paraId="00779C15" w14:textId="03AB44A7" w:rsidR="00D449A2" w:rsidRPr="005D666C" w:rsidRDefault="00D449A2" w:rsidP="00D449A2">
      <w:pPr>
        <w:pStyle w:val="NormalHanging12a"/>
      </w:pPr>
      <w:r w:rsidRPr="005D666C">
        <w:t>1.</w:t>
      </w:r>
      <w:r w:rsidRPr="005D666C">
        <w:tab/>
        <w:t>apeluje do Komisji i państw członkowskich o respektowanie i promowanie wartości unijnych zapisanych w art. 2 TUE;</w:t>
      </w:r>
    </w:p>
    <w:p w14:paraId="07AB7693" w14:textId="77777777" w:rsidR="00D449A2" w:rsidRPr="005D666C" w:rsidRDefault="00D449A2" w:rsidP="00D449A2">
      <w:pPr>
        <w:pStyle w:val="NormalHanging12a"/>
      </w:pPr>
      <w:r w:rsidRPr="005D666C">
        <w:t>2.</w:t>
      </w:r>
      <w:r w:rsidRPr="005D666C">
        <w:tab/>
        <w:t>apeluje do Komisji o pogłębienie sprawozdań rocznych ze stosowania Karty;</w:t>
      </w:r>
    </w:p>
    <w:p w14:paraId="57F08792" w14:textId="77777777" w:rsidR="00D449A2" w:rsidRPr="005D666C" w:rsidRDefault="00D449A2" w:rsidP="00D449A2">
      <w:pPr>
        <w:pStyle w:val="NormalHanging12a"/>
      </w:pPr>
      <w:r w:rsidRPr="005D666C">
        <w:lastRenderedPageBreak/>
        <w:t>3.</w:t>
      </w:r>
      <w:r w:rsidRPr="005D666C">
        <w:tab/>
        <w:t>podkreśla, że należy wzmocnić mechanizmy monitorowania i oceny;</w:t>
      </w:r>
    </w:p>
    <w:p w14:paraId="418DCAC9" w14:textId="77777777" w:rsidR="00D449A2" w:rsidRPr="005D666C" w:rsidRDefault="00D449A2" w:rsidP="00D449A2">
      <w:pPr>
        <w:pStyle w:val="NormalHanging12a"/>
        <w:rPr>
          <w:b/>
          <w:bCs/>
          <w:i/>
          <w:iCs/>
        </w:rPr>
      </w:pPr>
      <w:r w:rsidRPr="005D666C">
        <w:rPr>
          <w:b/>
          <w:i/>
        </w:rPr>
        <w:t>Demokracja pod presją</w:t>
      </w:r>
    </w:p>
    <w:p w14:paraId="77A961F9" w14:textId="77777777" w:rsidR="00D449A2" w:rsidRPr="005D666C" w:rsidRDefault="00D449A2" w:rsidP="00D449A2">
      <w:pPr>
        <w:pStyle w:val="NormalHanging12a"/>
      </w:pPr>
      <w:r w:rsidRPr="005D666C">
        <w:t>4.</w:t>
      </w:r>
      <w:r w:rsidRPr="005D666C">
        <w:tab/>
        <w:t>przypomina, że należy ustanowić unijny mechanizm na rzecz demokracji, praworządności i praw podstawowych;</w:t>
      </w:r>
    </w:p>
    <w:p w14:paraId="38208F4F" w14:textId="29BA7AE3" w:rsidR="00D449A2" w:rsidRPr="005D666C" w:rsidRDefault="00D449A2" w:rsidP="00D449A2">
      <w:pPr>
        <w:pStyle w:val="NormalHanging12a"/>
      </w:pPr>
      <w:r w:rsidRPr="005D666C">
        <w:t>5.</w:t>
      </w:r>
      <w:r w:rsidRPr="005D666C">
        <w:tab/>
        <w:t>apeluje do państw członkowskich o zwalczanie korupcji i pełne przestrzeganie zaleceń GRECO;</w:t>
      </w:r>
    </w:p>
    <w:p w14:paraId="54269B4C" w14:textId="77777777" w:rsidR="00D449A2" w:rsidRPr="005D666C" w:rsidRDefault="00D449A2" w:rsidP="00D449A2">
      <w:pPr>
        <w:pStyle w:val="NormalHanging12a"/>
      </w:pPr>
      <w:r w:rsidRPr="005D666C">
        <w:t>6.</w:t>
      </w:r>
      <w:r w:rsidRPr="005D666C">
        <w:tab/>
        <w:t>wyraża głębokie zaniepokojenie rosnącą presją, ingerencją polityczną i atakami na media i dziennikarstwo w niektórych państwach członkowskich, w tym brakiem niezależności mediów publicznych;</w:t>
      </w:r>
    </w:p>
    <w:p w14:paraId="68208507" w14:textId="77777777" w:rsidR="00D449A2" w:rsidRPr="005D666C" w:rsidRDefault="00D449A2" w:rsidP="00D449A2">
      <w:pPr>
        <w:pStyle w:val="NormalHanging12a"/>
      </w:pPr>
      <w:r w:rsidRPr="005D666C">
        <w:t>7.</w:t>
      </w:r>
      <w:r w:rsidRPr="005D666C">
        <w:tab/>
        <w:t>ubolewa nad systemowymi niepowodzeniami w badaniu i ściganiu przestępstw przeciwko dziennikarzom w niektórych państwach członkowskich, takich jak Malta, Grecja i Słowacja;</w:t>
      </w:r>
    </w:p>
    <w:p w14:paraId="429C5641" w14:textId="77777777" w:rsidR="00D449A2" w:rsidRPr="005D666C" w:rsidRDefault="00D449A2" w:rsidP="00D449A2">
      <w:pPr>
        <w:pStyle w:val="NormalHanging12a"/>
      </w:pPr>
      <w:r w:rsidRPr="005D666C">
        <w:t>8.</w:t>
      </w:r>
      <w:r w:rsidRPr="005D666C">
        <w:tab/>
        <w:t>wzywa Komisję i państwa członkowskie, aby zapewniły bezpieczeństwo i ochronę dziennikarzom i podmiotom medialnym oraz wspierały wolne, niezależne i pluralistyczne media; wzywa Komisję i państwa członkowskie do wdrożenia niezbędnych środków w celu położenia kresu wszelkim powództwom typu SLAPP w UE;</w:t>
      </w:r>
    </w:p>
    <w:p w14:paraId="02A5C6FF" w14:textId="21FDBCDF" w:rsidR="00D449A2" w:rsidRPr="005D666C" w:rsidRDefault="00D449A2" w:rsidP="00D449A2">
      <w:pPr>
        <w:pStyle w:val="NormalHanging12a"/>
      </w:pPr>
      <w:r w:rsidRPr="005D666C">
        <w:t>9.</w:t>
      </w:r>
      <w:r w:rsidRPr="005D666C">
        <w:tab/>
        <w:t>podziela opinię sekretarza generalnego ONZ, że algorytmy nie powinny decydować o tym, które treści docierają do odbiorców, oraz że firmy technologiczne powinny stosować modele biznesowe, które nie stawiają przyciągania uwagi użytkowników ponad prawami człowieka;</w:t>
      </w:r>
    </w:p>
    <w:p w14:paraId="2CCFCDC6" w14:textId="1EB4D160" w:rsidR="00D449A2" w:rsidRPr="005D666C" w:rsidRDefault="00D449A2" w:rsidP="00D449A2">
      <w:pPr>
        <w:pStyle w:val="NormalHanging12a"/>
      </w:pPr>
      <w:r w:rsidRPr="005D666C">
        <w:t>10.</w:t>
      </w:r>
      <w:r w:rsidRPr="005D666C">
        <w:tab/>
        <w:t>ponownie wzywa państwa członkowskie, a w szczególności Grecję, Cypr, Włochy, Węgry, Polskę i Hiszpanię, aby stosowania się do wszystkich zaleceń komisji śledczej ds. zbadania stosowania oprogramowania Pegasus i równoważnego oprogramowania szpiegowskiego służącego inwigilacji (PEGA) oraz Komisji Weneckiej;</w:t>
      </w:r>
    </w:p>
    <w:p w14:paraId="3B15F40F" w14:textId="65D3EEE7" w:rsidR="00D449A2" w:rsidRPr="005D666C" w:rsidRDefault="00D449A2" w:rsidP="00D449A2">
      <w:pPr>
        <w:pStyle w:val="NormalHanging12a"/>
      </w:pPr>
      <w:r w:rsidRPr="005D666C">
        <w:t>11.</w:t>
      </w:r>
      <w:r w:rsidRPr="005D666C">
        <w:tab/>
        <w:t>wzywa UE do sfinalizowania przystąpienia UE do EKPC;</w:t>
      </w:r>
    </w:p>
    <w:p w14:paraId="5440A6BC" w14:textId="77777777" w:rsidR="00D449A2" w:rsidRPr="005D666C" w:rsidRDefault="00D449A2" w:rsidP="00D449A2">
      <w:pPr>
        <w:pStyle w:val="NormalHanging12a"/>
        <w:rPr>
          <w:b/>
          <w:i/>
        </w:rPr>
      </w:pPr>
      <w:r w:rsidRPr="005D666C">
        <w:rPr>
          <w:b/>
          <w:i/>
        </w:rPr>
        <w:t>Naruszenia praw podstawowych na granicach</w:t>
      </w:r>
    </w:p>
    <w:p w14:paraId="4F49587B" w14:textId="77777777" w:rsidR="00D449A2" w:rsidRPr="005D666C" w:rsidRDefault="00D449A2" w:rsidP="00D449A2">
      <w:pPr>
        <w:pStyle w:val="NormalHanging12a"/>
      </w:pPr>
      <w:r w:rsidRPr="005D666C">
        <w:t>12.</w:t>
      </w:r>
      <w:r w:rsidRPr="005D666C">
        <w:tab/>
        <w:t>zdecydowanie potępia powszechne naruszenia praw podstawowych na granicach, w tym siłowe zawracanie, które staje się systematyczną praktyką w niektórych państwach członkowskich;</w:t>
      </w:r>
    </w:p>
    <w:p w14:paraId="4BD44CE3" w14:textId="6FD26411" w:rsidR="00D449A2" w:rsidRPr="005D666C" w:rsidRDefault="00D449A2" w:rsidP="00D449A2">
      <w:pPr>
        <w:pStyle w:val="NormalHanging12a"/>
      </w:pPr>
      <w:r w:rsidRPr="005D666C">
        <w:t>13.</w:t>
      </w:r>
      <w:r w:rsidRPr="005D666C">
        <w:tab/>
        <w:t>wzywa UE i państwa członkowskie, aby przestrzegały międzynarodowych obowiązków i zobowiązań w zakresie praw człowieka oraz powstrzymały się od przyjmowania polityk migracyjnych, które pogłębiają nierówności i wykluczenie;</w:t>
      </w:r>
    </w:p>
    <w:p w14:paraId="2A967104" w14:textId="2A8BEE51" w:rsidR="00D449A2" w:rsidRPr="005D666C" w:rsidRDefault="00D449A2" w:rsidP="00D449A2">
      <w:pPr>
        <w:pStyle w:val="NormalHanging12a"/>
      </w:pPr>
      <w:r w:rsidRPr="005D666C">
        <w:t>14.</w:t>
      </w:r>
      <w:r w:rsidRPr="005D666C">
        <w:tab/>
        <w:t>apeluje do Komisji i państw członkowskich, aby położyły kres systematycznemu utrudnianiu pozarządowych działań poszukiwawczo-ratowniczych; przypomina, że należy pilnie utworzyć unijny fundusz poszukiwawczo-ratowniczy, i wzywa instytucje UE, aby przeznaczyły na ten cel odpowiednie środki finansowe w kolejnych WRF;</w:t>
      </w:r>
    </w:p>
    <w:p w14:paraId="687A640B" w14:textId="5542742A" w:rsidR="00D449A2" w:rsidRPr="005D666C" w:rsidRDefault="00D449A2" w:rsidP="00D449A2">
      <w:pPr>
        <w:pStyle w:val="NormalHanging12a"/>
      </w:pPr>
      <w:r w:rsidRPr="005D666C">
        <w:t>15.</w:t>
      </w:r>
      <w:r w:rsidRPr="005D666C">
        <w:tab/>
        <w:t xml:space="preserve">apeluje do państw członkowskich, aby stosowały się do zaleceń zawartych w </w:t>
      </w:r>
      <w:r w:rsidRPr="005D666C">
        <w:lastRenderedPageBreak/>
        <w:t>sprawozdaniu Komisarza Praw Człowieka Rady Europy; stanowczo potępia powtarzającą się retorykę antyuchodźczą i antymigracyjną;</w:t>
      </w:r>
    </w:p>
    <w:p w14:paraId="3A5CDFAD" w14:textId="716F47D2" w:rsidR="00D449A2" w:rsidRPr="005D666C" w:rsidRDefault="00D449A2" w:rsidP="00D449A2">
      <w:pPr>
        <w:pStyle w:val="NormalHanging12a"/>
      </w:pPr>
      <w:r w:rsidRPr="005D666C">
        <w:t>16.</w:t>
      </w:r>
      <w:r w:rsidRPr="005D666C">
        <w:tab/>
        <w:t>wzywa państwa członkowskie do pełnego wdrożenia paktu o migracji i azylu; wyraża zaniepokojenie brakiem gotowości niektórych państw członkowskich do dotrzymania terminu wdrożenia, w szczególności w odniesieniu do przepisów dotyczących praw podstawowych;</w:t>
      </w:r>
    </w:p>
    <w:p w14:paraId="17FDB5FC" w14:textId="058F61BC" w:rsidR="00D449A2" w:rsidRPr="005D666C" w:rsidRDefault="00D449A2" w:rsidP="00D449A2">
      <w:pPr>
        <w:pStyle w:val="NormalHanging12a"/>
        <w:rPr>
          <w:b/>
          <w:i/>
        </w:rPr>
      </w:pPr>
      <w:r w:rsidRPr="005D666C">
        <w:rPr>
          <w:b/>
          <w:i/>
        </w:rPr>
        <w:t>Przemoc ze względu na płeć, prawa kobiet i prawa osób LGBTIQ+</w:t>
      </w:r>
    </w:p>
    <w:p w14:paraId="7B3B389E" w14:textId="552337F4" w:rsidR="00D449A2" w:rsidRPr="005D666C" w:rsidRDefault="00D449A2" w:rsidP="00D449A2">
      <w:pPr>
        <w:pStyle w:val="NormalHanging12a"/>
      </w:pPr>
      <w:r w:rsidRPr="005D666C">
        <w:t>17.</w:t>
      </w:r>
      <w:r w:rsidRPr="005D666C">
        <w:tab/>
        <w:t>apeluje do Komisji i państw członkowskich, aby zastosowały środki niezbędne do walki z ruchami antygenderowymi i sprzeciwiającymi się prawom;</w:t>
      </w:r>
    </w:p>
    <w:p w14:paraId="29F80ED2" w14:textId="2289DB61" w:rsidR="00D449A2" w:rsidRPr="005D666C" w:rsidRDefault="00D449A2" w:rsidP="00D449A2">
      <w:pPr>
        <w:pStyle w:val="NormalHanging12a"/>
      </w:pPr>
      <w:r w:rsidRPr="005D666C">
        <w:t>18.</w:t>
      </w:r>
      <w:r w:rsidRPr="005D666C">
        <w:tab/>
        <w:t>z zadowoleniem odnotowuje unijny plan działania na rzecz praw kobiet oraz załączoną do niego deklarację zasad społeczeństwa równego pod względem płci; ubolewa jednak nad brakiem znaczących zobowiązań finansowych;</w:t>
      </w:r>
    </w:p>
    <w:p w14:paraId="2C5D46DD" w14:textId="77777777" w:rsidR="00D449A2" w:rsidRPr="005D666C" w:rsidRDefault="00D449A2" w:rsidP="00D449A2">
      <w:pPr>
        <w:pStyle w:val="NormalHanging12a"/>
      </w:pPr>
      <w:r w:rsidRPr="005D666C">
        <w:t>19.</w:t>
      </w:r>
      <w:r w:rsidRPr="005D666C">
        <w:tab/>
        <w:t>apeluje do UE i państw członkowskich, aby zwalczały wszystkie formy przemocy ze względu na płeć – w tym cyberprzemoc ze względu na płeć – oraz zajęły się ich głębokimi przyczynami; ponownie apeluje do Komisji o uznanie przemocy ze względu na płeć za nowe przestępstwo ścigane na szczeblu UE na podstawie art. 83 ust. 1 TFUE;</w:t>
      </w:r>
    </w:p>
    <w:p w14:paraId="11744515" w14:textId="77777777" w:rsidR="00D449A2" w:rsidRPr="005D666C" w:rsidRDefault="00D449A2" w:rsidP="00D449A2">
      <w:pPr>
        <w:pStyle w:val="NormalHanging12a"/>
      </w:pPr>
      <w:r w:rsidRPr="005D666C">
        <w:t>20.</w:t>
      </w:r>
      <w:r w:rsidRPr="005D666C">
        <w:tab/>
        <w:t>ponownie apeluje o zapisanie prawa do aborcji w Karcie; zaznacza, że nadal nie istnieje unijna definicja gwałtu oparta na braku zgody;</w:t>
      </w:r>
    </w:p>
    <w:p w14:paraId="348B0455" w14:textId="77777777" w:rsidR="00D449A2" w:rsidRPr="005D666C" w:rsidRDefault="00D449A2" w:rsidP="00D449A2">
      <w:pPr>
        <w:pStyle w:val="NormalHanging12a"/>
      </w:pPr>
      <w:r w:rsidRPr="005D666C">
        <w:t>21.</w:t>
      </w:r>
      <w:r w:rsidRPr="005D666C">
        <w:tab/>
        <w:t>wzywa Bułgarię, Czechy, Litwę, Słowację i Węgry, aby ratyfikowały konwencję stambulską;</w:t>
      </w:r>
    </w:p>
    <w:p w14:paraId="5431F237" w14:textId="77777777" w:rsidR="00D449A2" w:rsidRPr="005D666C" w:rsidRDefault="00D449A2" w:rsidP="00D449A2">
      <w:pPr>
        <w:pStyle w:val="NormalHanging12a"/>
      </w:pPr>
      <w:r w:rsidRPr="005D666C">
        <w:rPr>
          <w:b/>
          <w:i/>
        </w:rPr>
        <w:t>Społeczeństwo obywatelskie w obliczu zagrożenia</w:t>
      </w:r>
    </w:p>
    <w:p w14:paraId="1B2610CF" w14:textId="3201BD83" w:rsidR="00D449A2" w:rsidRPr="005D666C" w:rsidRDefault="00D449A2" w:rsidP="00D449A2">
      <w:pPr>
        <w:pStyle w:val="NormalHanging12a"/>
      </w:pPr>
      <w:r w:rsidRPr="005D666C">
        <w:t>22.</w:t>
      </w:r>
      <w:r w:rsidRPr="005D666C">
        <w:tab/>
        <w:t>wzywa Komisję i państwa członkowskie, aby zapewniły i promowały zaangażowanie i faktyczny udział obywateli i organizacji społeczeństwa obywatelskiego w kształtowaniu polityki;</w:t>
      </w:r>
    </w:p>
    <w:p w14:paraId="1E5F8D19" w14:textId="07D027BB" w:rsidR="00D449A2" w:rsidRPr="005D666C" w:rsidRDefault="00D449A2" w:rsidP="00D449A2">
      <w:pPr>
        <w:pStyle w:val="NormalHanging12a"/>
      </w:pPr>
      <w:r w:rsidRPr="005D666C">
        <w:t>23.</w:t>
      </w:r>
      <w:r w:rsidRPr="005D666C">
        <w:tab/>
        <w:t>wzywa Komisję, aby zagwarantowała, że przyszła strategia UE na rzecz społeczeństwa obywatelskiego zapewni wspieranie, ochronę i wzmacnianie organizacji społeczeństwa obywatelskiego i obrońców praw człowieka chroniących i propagujących wartości UE, a także ustanowiła mechanizm szybkiego reagowania w UE w celu udzielenia im wsparcia;</w:t>
      </w:r>
    </w:p>
    <w:p w14:paraId="52B4BEE3" w14:textId="5790DBF1" w:rsidR="00D449A2" w:rsidRPr="005D666C" w:rsidRDefault="00D449A2" w:rsidP="00D449A2">
      <w:pPr>
        <w:pStyle w:val="NormalHanging12a"/>
      </w:pPr>
      <w:r w:rsidRPr="005D666C">
        <w:t>24.</w:t>
      </w:r>
      <w:r w:rsidRPr="005D666C">
        <w:tab/>
        <w:t>stanowczo potępia stałą kryminalizację solidarności i apeluje do państwa członkowskich, aby powstrzymały się od takiego podejścia;</w:t>
      </w:r>
    </w:p>
    <w:p w14:paraId="7B0BFD40" w14:textId="6B52906E" w:rsidR="00D449A2" w:rsidRPr="005D666C" w:rsidRDefault="00D449A2" w:rsidP="00D449A2">
      <w:pPr>
        <w:pStyle w:val="NormalHanging12a"/>
      </w:pPr>
      <w:r w:rsidRPr="005D666C">
        <w:t>25.</w:t>
      </w:r>
      <w:r w:rsidRPr="005D666C">
        <w:tab/>
        <w:t>apeluje do Komisji i państw członkowskich, aby zagwarantowały obywatelom korzystanie z prawa do pokojowych zgromadzeń oraz powstrzymały się od występowania z inicjatywami, które mogą wywoływać efekt mrożący w przestrzeni społeczeństwa obywatelskiego;</w:t>
      </w:r>
    </w:p>
    <w:p w14:paraId="15FF8AF2" w14:textId="77777777" w:rsidR="00D449A2" w:rsidRPr="005D666C" w:rsidRDefault="00D449A2" w:rsidP="00D449A2">
      <w:pPr>
        <w:pStyle w:val="NormalHanging12a"/>
        <w:rPr>
          <w:b/>
          <w:i/>
        </w:rPr>
      </w:pPr>
      <w:r w:rsidRPr="005D666C">
        <w:rPr>
          <w:b/>
          <w:i/>
        </w:rPr>
        <w:t>Rasizm strukturalny i dyskryminacja strukturalna</w:t>
      </w:r>
    </w:p>
    <w:p w14:paraId="078221C9" w14:textId="77777777" w:rsidR="00D449A2" w:rsidRPr="005D666C" w:rsidRDefault="00D449A2" w:rsidP="00D449A2">
      <w:pPr>
        <w:pStyle w:val="NormalHanging12a"/>
      </w:pPr>
      <w:r w:rsidRPr="005D666C">
        <w:t>26.</w:t>
      </w:r>
      <w:r w:rsidRPr="005D666C">
        <w:tab/>
        <w:t>ponownie apeluje o odblokowanie horyzontalnej dyrektywy antydyskryminacyjnej;</w:t>
      </w:r>
    </w:p>
    <w:p w14:paraId="2656D484" w14:textId="4976FDEF" w:rsidR="00D449A2" w:rsidRPr="005D666C" w:rsidRDefault="00D449A2" w:rsidP="00D449A2">
      <w:pPr>
        <w:pStyle w:val="NormalHanging12a"/>
      </w:pPr>
      <w:r w:rsidRPr="005D666C">
        <w:lastRenderedPageBreak/>
        <w:t>27.</w:t>
      </w:r>
      <w:r w:rsidRPr="005D666C">
        <w:tab/>
        <w:t>wzywa Komisję do przedstawienia ambitnych strategii na rzecz równości i przeciwko rasizmowi;</w:t>
      </w:r>
    </w:p>
    <w:p w14:paraId="6C23A424" w14:textId="77777777" w:rsidR="00D449A2" w:rsidRPr="005D666C" w:rsidRDefault="00D449A2" w:rsidP="00D449A2">
      <w:pPr>
        <w:pStyle w:val="NormalHanging12a"/>
      </w:pPr>
      <w:r w:rsidRPr="005D666C">
        <w:t>28.</w:t>
      </w:r>
      <w:r w:rsidRPr="005D666C">
        <w:tab/>
        <w:t>wzywa Komisję i państwa członkowskie, aby zwalczały ksenofobię, rasizm, mizoginię, homofobię, transfobię i inne formy uprzedzeń, nietolerancji, dyskryminacji i nienawiści wobec osób znajdujących się w szczególnie trudnej sytuacji;</w:t>
      </w:r>
    </w:p>
    <w:p w14:paraId="2E5CF144" w14:textId="25FB33CA" w:rsidR="00D449A2" w:rsidRPr="005D666C" w:rsidRDefault="00D449A2" w:rsidP="00D449A2">
      <w:pPr>
        <w:pStyle w:val="NormalHanging12a"/>
      </w:pPr>
      <w:r w:rsidRPr="005D666C">
        <w:t>29.</w:t>
      </w:r>
      <w:r w:rsidRPr="005D666C">
        <w:tab/>
        <w:t>apeluje do państw członkowskich, w szczególności do Węgier i Słowacji, aby dokonały przeglądu przepisów dyskryminujących osoby LGBTIQ+ i tęczowe rodziny, powstrzymały się od występowania z inicjatywami, które grożą naruszaniem praw osób LGBTIQ+, co obejmuje przepisy zakazujące tzw. propagandy LGBTI, oraz zakazały terapii konwersyjnych;</w:t>
      </w:r>
    </w:p>
    <w:p w14:paraId="3EA07EAB" w14:textId="30FE80E9" w:rsidR="00D449A2" w:rsidRPr="005D666C" w:rsidRDefault="00D449A2" w:rsidP="00D449A2">
      <w:pPr>
        <w:pStyle w:val="NormalHanging12a"/>
      </w:pPr>
      <w:r w:rsidRPr="005D666C">
        <w:t>30.</w:t>
      </w:r>
      <w:r w:rsidRPr="005D666C">
        <w:tab/>
        <w:t>wzywa Komisję i państwa członkowskie, aby zajęły się problemem dyskryminacji i wykluczenia społecznego Romów i osób z niepełnosprawnościami;</w:t>
      </w:r>
    </w:p>
    <w:p w14:paraId="2E282C1B" w14:textId="77777777" w:rsidR="00D449A2" w:rsidRPr="005D666C" w:rsidRDefault="00D449A2" w:rsidP="00D449A2">
      <w:pPr>
        <w:pStyle w:val="NormalHanging12a"/>
        <w:rPr>
          <w:b/>
          <w:i/>
        </w:rPr>
      </w:pPr>
      <w:r w:rsidRPr="005D666C">
        <w:rPr>
          <w:b/>
          <w:i/>
        </w:rPr>
        <w:t>Prawa środowiskowe, socjalne i gospodarcze w niebezpieczeństwie</w:t>
      </w:r>
    </w:p>
    <w:p w14:paraId="5630D44F" w14:textId="77777777" w:rsidR="00D449A2" w:rsidRPr="005D666C" w:rsidRDefault="00D449A2" w:rsidP="00D449A2">
      <w:pPr>
        <w:pStyle w:val="NormalHanging12a"/>
      </w:pPr>
      <w:r w:rsidRPr="005D666C">
        <w:t>31.</w:t>
      </w:r>
      <w:r w:rsidRPr="005D666C">
        <w:tab/>
        <w:t>wzywa Komisję i państwa członkowskie, aby zapewniły wszystkim odpowiedni poziom życia i zdrowe środowisko, w tym dostęp do mieszkań, wysokiej jakości edukację, zabezpieczenie społeczne i opiekę zdrowotną;</w:t>
      </w:r>
    </w:p>
    <w:p w14:paraId="2A4DC600" w14:textId="77777777" w:rsidR="00D449A2" w:rsidRPr="005D666C" w:rsidRDefault="00D449A2" w:rsidP="00D449A2">
      <w:pPr>
        <w:pStyle w:val="NormalHanging12a"/>
      </w:pPr>
      <w:r w:rsidRPr="005D666C">
        <w:t>32.</w:t>
      </w:r>
      <w:r w:rsidRPr="005D666C">
        <w:tab/>
        <w:t>zobowiązuje swoją przewodniczącą do przekazania niniejszej rezolucji Radzie i Komisji oraz rządom i parlamentom państw członkowskich.</w:t>
      </w:r>
    </w:p>
    <w:p w14:paraId="04B1A5AD" w14:textId="77777777" w:rsidR="00D449A2" w:rsidRPr="005D666C" w:rsidRDefault="00D449A2" w:rsidP="00D449A2">
      <w:pPr>
        <w:sectPr w:rsidR="00D449A2" w:rsidRPr="005D666C" w:rsidSect="006B40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2E2D8FC0" w14:textId="77777777" w:rsidR="00D449A2" w:rsidRPr="005D666C" w:rsidRDefault="00D449A2" w:rsidP="00D449A2">
      <w:pPr>
        <w:pStyle w:val="PageHeading"/>
      </w:pPr>
      <w:bookmarkStart w:id="1" w:name="_Toc210922898"/>
      <w:r w:rsidRPr="005D666C">
        <w:lastRenderedPageBreak/>
        <w:t>UZASADNIENIE</w:t>
      </w:r>
      <w:bookmarkEnd w:id="1"/>
    </w:p>
    <w:p w14:paraId="24F0918B" w14:textId="49DDF1C5" w:rsidR="00D449A2" w:rsidRPr="005D666C" w:rsidRDefault="00D449A2" w:rsidP="00D449A2">
      <w:pPr>
        <w:rPr>
          <w:szCs w:val="24"/>
        </w:rPr>
      </w:pPr>
      <w:r w:rsidRPr="005D666C">
        <w:t>W latach 2024 i 2025 prawa podstawowe w Unii Europejskiej znalazły się pod coraz większą presją z różnych stron. Zagrożenia dla praworządności, kurcząca się przestrzeń społeczeństwa obywatelskiego, szerzenie się mowy nienawiści i narracji ksenofobicznych, przemoc wobec uchodźców i migrantów oraz naruszenia praw kobiet i osób LGBTQ+ ilustrują niepokojącą tendencję. </w:t>
      </w:r>
    </w:p>
    <w:p w14:paraId="3C0C3E57" w14:textId="6FDDC004" w:rsidR="00D449A2" w:rsidRPr="005D666C" w:rsidRDefault="00D449A2" w:rsidP="00D449A2">
      <w:pPr>
        <w:rPr>
          <w:szCs w:val="24"/>
        </w:rPr>
      </w:pPr>
      <w:r w:rsidRPr="005D666C">
        <w:t>Tę erozję praw podstawowych pogłębiają utrzymujące się nierówności społeczno-gospodarcze. Podczas gdy trwa rosyjska wojna przeciwko Ukrainie, nie ustają ataki na Strefę Gazy, a coraz więcej przywódców postępuje w sposób autokratyczny, prawa podstawowe znajdują się pod coraz większą presją. W tych niespokojnych czasach istnieje realne ryzyko, że prawa podstawowe zostaną zepchnięte na margines programu politycznego.  </w:t>
      </w:r>
    </w:p>
    <w:p w14:paraId="3CC055F7" w14:textId="3D18F144" w:rsidR="00D449A2" w:rsidRPr="005D666C" w:rsidRDefault="00D449A2" w:rsidP="00D449A2">
      <w:pPr>
        <w:rPr>
          <w:szCs w:val="24"/>
        </w:rPr>
      </w:pPr>
      <w:r w:rsidRPr="005D666C">
        <w:t>To właśnie w momentach niestabilności ważne jest, by przypominać o wartościach, na których opiera się Unia Europejska: o godności ludzkiej, wolności, demokracji, równości, praworządności i poszanowaniu praw człowieka, zapisanych w Karcie praw podstawowych i w Traktatach UE. Przestrzeganie tych zasad jest nie tylko prawnym obowiązkiem instytucji unijnych i państw członkowskich, lecz także czyni z Europy wyjątkowy projekt polityczny, którego centralnym elementem jest dobro obywateli. UE nie może naruszyć tych fundamentów. Prawa podstawowe nie są dane na stałe; wymagają aktywnego promowania i wdrażania.     </w:t>
      </w:r>
    </w:p>
    <w:p w14:paraId="39AEADB6" w14:textId="77777777" w:rsidR="00D449A2" w:rsidRPr="005D666C" w:rsidRDefault="00D449A2" w:rsidP="00D449A2">
      <w:pPr>
        <w:rPr>
          <w:szCs w:val="24"/>
        </w:rPr>
      </w:pPr>
      <w:r w:rsidRPr="005D666C">
        <w:t>Ataki na przestrzeń społeczeństwa obywatelskiego w całej Europie są jedną z oznak osłabienia demokracji. Niebezpieczny precedens stanowią niedawne ograniczenie prawa do pokojowych zgromadzeń, w szczególności zakaz protestów propalestyńskich i marszów równości, a także represjonowanie i kryminalizacja obrońców praw człowieka i organizacji pozarządowych pracujących z uchodźcami, osobami ubiegającymi się o azyl i migrantami. Sytuację pogarszają cięcia w finansowaniu organizacji społeczeństwa obywatelskiego przez USA i UE. </w:t>
      </w:r>
    </w:p>
    <w:p w14:paraId="7D4AF5CE" w14:textId="77777777" w:rsidR="00D449A2" w:rsidRPr="005D666C" w:rsidRDefault="00D449A2" w:rsidP="00D449A2">
      <w:pPr>
        <w:rPr>
          <w:szCs w:val="24"/>
        </w:rPr>
      </w:pPr>
      <w:r w:rsidRPr="005D666C">
        <w:t>Sprawozdawczyni jest zaniepokojona rosnącą polaryzacją i fragmentaryzacją społeczeństw europejskich, często podsycaną przez populistyczne podmioty polityczne. Czynienie z mniejszości kozłów ofiarnych, wyzyskiwanie polityki tożsamości i rozpowszechnianie dezinformacji dzieli społeczności i niszczy zaufanie. Politycy i rządy mają obowiązek stać na straży standardów demokratycznych i powstrzymywać się od retoryki podsycającej nienawiść, rasizm i przemoc.  </w:t>
      </w:r>
    </w:p>
    <w:p w14:paraId="3FC4E61C" w14:textId="77777777" w:rsidR="00D449A2" w:rsidRPr="005D666C" w:rsidRDefault="00D449A2" w:rsidP="00D449A2">
      <w:pPr>
        <w:rPr>
          <w:szCs w:val="24"/>
        </w:rPr>
      </w:pPr>
      <w:r w:rsidRPr="005D666C">
        <w:t>Szybkie przemiany cyfrowe i sztuczna inteligencja pogłębiają ryzyko, gdyż niekontrolowane rozpowszechnianie mowy nienawiści i szkodliwych treści w internecie, w połączeniu ze stronniczymi algorytmami i manipulacyjnym projektowaniem, szkodzi równości i życiu obywatelskiemu. Zagrożenia te szczególnie uwidoczniły się podczas wyborów europejskich, kiedy to w różnych państwach członkowskich odnotowano nasilenie mowy nienawiści, przemocy i gróźb śmierci rozpowszechnianych w internecie</w:t>
      </w:r>
      <w:r w:rsidRPr="005D666C">
        <w:rPr>
          <w:rStyle w:val="FootnoteReference"/>
          <w:szCs w:val="24"/>
        </w:rPr>
        <w:footnoteReference w:id="16"/>
      </w:r>
      <w:r w:rsidRPr="005D666C">
        <w:t>. Ponadto siły bezpieczeństwa w niektórych krajach ostrzegały przed szybką radykalizacją młodych ludzi w internecie, szczególnie w sieciach skrajnej prawicy. Wreszcie, obce ingerencje w procesy wyborcze są wyraźnym przykładem wykorzystywania platform internetowych jako broni przeciwko demokracji. </w:t>
      </w:r>
    </w:p>
    <w:p w14:paraId="7FBC86D3" w14:textId="0D8D378B" w:rsidR="00D449A2" w:rsidRPr="005D666C" w:rsidRDefault="00D449A2" w:rsidP="00D449A2">
      <w:pPr>
        <w:rPr>
          <w:szCs w:val="24"/>
        </w:rPr>
      </w:pPr>
      <w:r w:rsidRPr="005D666C">
        <w:t xml:space="preserve">W nadchodzących latach Unia musi odnowić swoje demokratyczne fundamenty, wzmocnić uczestnictwo obywateli oraz umieścić równość, sprawiedliwość i zrównoważony rozwój w </w:t>
      </w:r>
      <w:r w:rsidRPr="005D666C">
        <w:lastRenderedPageBreak/>
        <w:t>centrum swojej polityki. Tylko przez aktywną obronę i propagowanie praw UE może odbudować zaufanie do swoich instytucji i pozostać wiarygodna na arenie międzynarodowej. </w:t>
      </w:r>
    </w:p>
    <w:p w14:paraId="7E8D57DE" w14:textId="77777777" w:rsidR="00D449A2" w:rsidRPr="005D666C" w:rsidRDefault="00D449A2" w:rsidP="00D449A2">
      <w:pPr>
        <w:rPr>
          <w:szCs w:val="24"/>
        </w:rPr>
      </w:pPr>
      <w:r w:rsidRPr="005D666C">
        <w:t> </w:t>
      </w:r>
    </w:p>
    <w:p w14:paraId="0F70CC5F" w14:textId="77777777" w:rsidR="00D449A2" w:rsidRPr="005D666C" w:rsidRDefault="00D449A2" w:rsidP="00D449A2">
      <w:pPr>
        <w:rPr>
          <w:szCs w:val="24"/>
        </w:rPr>
      </w:pPr>
      <w:r w:rsidRPr="005D666C">
        <w:rPr>
          <w:b/>
        </w:rPr>
        <w:t>Podejście sprawozdawczyni </w:t>
      </w:r>
      <w:r w:rsidRPr="005D666C">
        <w:t> </w:t>
      </w:r>
    </w:p>
    <w:p w14:paraId="755D2190" w14:textId="77777777" w:rsidR="00D449A2" w:rsidRPr="005D666C" w:rsidRDefault="00D449A2" w:rsidP="00D449A2">
      <w:pPr>
        <w:rPr>
          <w:szCs w:val="24"/>
        </w:rPr>
      </w:pPr>
      <w:r w:rsidRPr="005D666C">
        <w:t>W niniejszym sprawozdaniu sprawozdawczyni pragnie zwrócić uwagę na główne tendencje wpływające na stan praw podstawowych w UE w latach 2024 i 2025. </w:t>
      </w:r>
    </w:p>
    <w:p w14:paraId="10DD9557" w14:textId="77777777" w:rsidR="00D449A2" w:rsidRPr="005D666C" w:rsidRDefault="00D449A2" w:rsidP="00D449A2">
      <w:pPr>
        <w:rPr>
          <w:szCs w:val="24"/>
        </w:rPr>
      </w:pPr>
      <w:r w:rsidRPr="005D666C">
        <w:t>Ograniczona długość sprawozdań z własnej inicjatywy wymaga wyboru priorytetów, jednak to, że o pewnych problemach nie wspomniano, nie umniejsza ich znaczenia. Tekst stanowi ogólne ramy, które mogą być i będą wzbogacane na etapie wprowadzania poprawek. </w:t>
      </w:r>
    </w:p>
    <w:p w14:paraId="1FB6E02E" w14:textId="77777777" w:rsidR="00D449A2" w:rsidRPr="005D666C" w:rsidRDefault="00D449A2" w:rsidP="00D449A2">
      <w:pPr>
        <w:rPr>
          <w:szCs w:val="24"/>
        </w:rPr>
      </w:pPr>
      <w:r w:rsidRPr="005D666C">
        <w:rPr>
          <w:b/>
        </w:rPr>
        <w:t>Struktura</w:t>
      </w:r>
      <w:r w:rsidRPr="005D666C">
        <w:t> </w:t>
      </w:r>
    </w:p>
    <w:p w14:paraId="45C319AE" w14:textId="77777777" w:rsidR="00D449A2" w:rsidRPr="005D666C" w:rsidRDefault="00D449A2" w:rsidP="00D449A2">
      <w:pPr>
        <w:rPr>
          <w:szCs w:val="24"/>
        </w:rPr>
      </w:pPr>
      <w:r w:rsidRPr="005D666C">
        <w:t>Projekt sprawozdania dzieli się na bloki dotyczące poszczególnych zagadnień z zakresu praw podstawowych. W pierwszej części przedstawiono przegląd głównych kwestii związanych z prawami podstawowymi w UE, zaś w poszczególnych rozdziałach zawarto konkretne postulaty, tak by sprawozdanie było jak najbardziej praktyczne i skoncentrowane oraz stanowiło punkt wyjścia do działań. </w:t>
      </w:r>
    </w:p>
    <w:p w14:paraId="68BD014C" w14:textId="77777777" w:rsidR="00D449A2" w:rsidRPr="005D666C" w:rsidRDefault="00D449A2" w:rsidP="00D449A2">
      <w:pPr>
        <w:rPr>
          <w:szCs w:val="24"/>
        </w:rPr>
      </w:pPr>
      <w:r w:rsidRPr="005D666C">
        <w:t>Oto główne rozdziały: </w:t>
      </w:r>
    </w:p>
    <w:p w14:paraId="35E7BFB0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Prawa podstawowe w niebezpieczeństwie</w:t>
      </w:r>
      <w:r w:rsidRPr="005D666C">
        <w:t> </w:t>
      </w:r>
    </w:p>
    <w:p w14:paraId="16B19F2D" w14:textId="77777777" w:rsidR="00D449A2" w:rsidRPr="005D666C" w:rsidRDefault="00D449A2" w:rsidP="00D449A2">
      <w:pPr>
        <w:rPr>
          <w:szCs w:val="24"/>
        </w:rPr>
      </w:pPr>
      <w:r w:rsidRPr="005D666C">
        <w:t>W rozdziale tym ogólnie zaapelowano o obronę praw podstawowych, w tym na przykład propagowanie wartości UE. </w:t>
      </w:r>
    </w:p>
    <w:p w14:paraId="37344BD4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Demokracja pod presją</w:t>
      </w:r>
      <w:r w:rsidRPr="005D666C">
        <w:t> </w:t>
      </w:r>
    </w:p>
    <w:p w14:paraId="6C4DCC9E" w14:textId="77777777" w:rsidR="00D449A2" w:rsidRPr="005D666C" w:rsidRDefault="00D449A2" w:rsidP="00D449A2">
      <w:pPr>
        <w:rPr>
          <w:szCs w:val="24"/>
        </w:rPr>
      </w:pPr>
      <w:r w:rsidRPr="005D666C">
        <w:t>Rozdział ten dotyczy regresu w niektórych państwach członkowskich i obejmuje zagrożenia niezależności sądów, korupcję na wysokim szczeblu, niewłaściwe wykorzystywanie oprogramowania szpiegowskiego i osłabianie praw parlamentarnych. Zwrócono też uwagę na zagrożenia dla wolności i pluralizmu mediów, rozpowszechnianie dezinformacji i nadużywanie uprawnień nadzwyczajnych. </w:t>
      </w:r>
    </w:p>
    <w:p w14:paraId="7FAFC9F9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Naruszenia praw podstawowych na granicach</w:t>
      </w:r>
      <w:r w:rsidRPr="005D666C">
        <w:t> </w:t>
      </w:r>
    </w:p>
    <w:p w14:paraId="15E449F9" w14:textId="77777777" w:rsidR="00D449A2" w:rsidRPr="005D666C" w:rsidRDefault="00D449A2" w:rsidP="00D449A2">
      <w:pPr>
        <w:rPr>
          <w:szCs w:val="24"/>
        </w:rPr>
      </w:pPr>
      <w:r w:rsidRPr="005D666C">
        <w:t>Rozdział ten dotyczy między innymi siłowego zawracania, przemocy systemowej i polityki eksternalizacji, utrudniających dostęp do azylu i naruszających zasadę non-refoulement. Zaapelowano w nim o rozliczalność i podjęcie przez UE działań w celu zapewnienia, by zarządzanie migracją odbywało się z poszanowaniem godności ludzkiej. </w:t>
      </w:r>
    </w:p>
    <w:p w14:paraId="71F69A50" w14:textId="622FA1BC" w:rsidR="00D449A2" w:rsidRPr="005D666C" w:rsidRDefault="00D449A2" w:rsidP="00D449A2">
      <w:pPr>
        <w:rPr>
          <w:szCs w:val="24"/>
        </w:rPr>
      </w:pPr>
      <w:r w:rsidRPr="005D666C">
        <w:rPr>
          <w:i/>
        </w:rPr>
        <w:t>Przemoc ze względu na płeć, prawa kobiet i prawa osób LGBTIQ+</w:t>
      </w:r>
      <w:r w:rsidRPr="005D666C">
        <w:t> </w:t>
      </w:r>
    </w:p>
    <w:p w14:paraId="1C8AEC7F" w14:textId="77777777" w:rsidR="00D449A2" w:rsidRPr="005D666C" w:rsidRDefault="00D449A2" w:rsidP="00D449A2">
      <w:pPr>
        <w:rPr>
          <w:szCs w:val="24"/>
        </w:rPr>
      </w:pPr>
      <w:r w:rsidRPr="005D666C">
        <w:t>W rozdziale tym zaznaczono, że należy pilnie podjąć walkę z przemocą ze względu na płeć, w tym z ruchami antygenderowymi. Zaapelowano o ochronę praw seksualnych i reprodukcyjnych, zapisanie prawa do aborcji w Karcie oraz bardziej zdecydowaną obronę osób LGBTIQ+ przed nienawiścią i dyskryminacją. </w:t>
      </w:r>
    </w:p>
    <w:p w14:paraId="189F7A50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Społeczeństwo obywatelskie w obliczu zagrożenia</w:t>
      </w:r>
      <w:r w:rsidRPr="005D666C">
        <w:t> </w:t>
      </w:r>
    </w:p>
    <w:p w14:paraId="39240F0D" w14:textId="77777777" w:rsidR="00D449A2" w:rsidRPr="005D666C" w:rsidRDefault="00D449A2" w:rsidP="00D449A2">
      <w:pPr>
        <w:rPr>
          <w:szCs w:val="24"/>
        </w:rPr>
      </w:pPr>
      <w:r w:rsidRPr="005D666C">
        <w:t>Rozdział ten dotyczy bezprecedensowego ograniczania przestrzeni społeczeństwa obywatelskiego. Zaapelowano w nim o stabilne finansowanie unijne na rzecz organizacji społeczeństwa obywatelskiego i o ochronę obrońców praw człowieka. </w:t>
      </w:r>
    </w:p>
    <w:p w14:paraId="37624435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Rasizm strukturalny i dyskryminacja strukturalna</w:t>
      </w:r>
      <w:r w:rsidRPr="005D666C">
        <w:t> </w:t>
      </w:r>
    </w:p>
    <w:p w14:paraId="4FDF80F7" w14:textId="77777777" w:rsidR="00D449A2" w:rsidRPr="005D666C" w:rsidRDefault="00D449A2" w:rsidP="00D449A2">
      <w:pPr>
        <w:rPr>
          <w:szCs w:val="24"/>
        </w:rPr>
      </w:pPr>
      <w:r w:rsidRPr="005D666C">
        <w:t>Rozdział ten dotyczy rasizmu systemowego i dyskryminacji systemowej. Zaapelowano w nim o przyjęcie horyzontalnej dyrektywy antydyskryminacyjnej, silniejsze strategie na rzecz równości oraz egzekwowanie unijnych przepisów antydyskryminacyjnych. </w:t>
      </w:r>
    </w:p>
    <w:p w14:paraId="4C636A28" w14:textId="77777777" w:rsidR="00D449A2" w:rsidRPr="005D666C" w:rsidRDefault="00D449A2" w:rsidP="00D449A2">
      <w:pPr>
        <w:rPr>
          <w:szCs w:val="24"/>
        </w:rPr>
      </w:pPr>
      <w:r w:rsidRPr="005D666C">
        <w:rPr>
          <w:i/>
        </w:rPr>
        <w:t>Prawa środowiskowe, społeczne, gospodarcze i kulturalne w niebezpieczeństwie</w:t>
      </w:r>
      <w:r w:rsidRPr="005D666C">
        <w:t> </w:t>
      </w:r>
    </w:p>
    <w:p w14:paraId="1CEC65FD" w14:textId="77777777" w:rsidR="00D449A2" w:rsidRPr="005D666C" w:rsidRDefault="00D449A2" w:rsidP="00D449A2">
      <w:pPr>
        <w:rPr>
          <w:szCs w:val="24"/>
        </w:rPr>
      </w:pPr>
      <w:r w:rsidRPr="005D666C">
        <w:t xml:space="preserve">W rozdziale tym podkreślono wzrost ubóstwa, wykluczenia mieszkaniowego i bezdomności jako problem z zakresu praw podstawowych. Zwrócono w nim uwagę na prawo do zrównoważonego środowiska i zaapelowano o sprawiedliwą transformację. </w:t>
      </w:r>
    </w:p>
    <w:p w14:paraId="39E4A59F" w14:textId="294C81DA" w:rsidR="00D449A2" w:rsidRPr="005D666C" w:rsidRDefault="00D449A2" w:rsidP="00D449A2">
      <w:pPr>
        <w:rPr>
          <w:szCs w:val="24"/>
        </w:rPr>
      </w:pPr>
    </w:p>
    <w:p w14:paraId="0323E93E" w14:textId="7224CCE2" w:rsidR="00100069" w:rsidRPr="005D666C" w:rsidRDefault="00100069" w:rsidP="00D449A2"/>
    <w:sectPr w:rsidR="00100069" w:rsidRPr="005D666C" w:rsidSect="00804BB6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4214C" w14:textId="77777777" w:rsidR="00B413CC" w:rsidRPr="006B40AA" w:rsidRDefault="00B413CC">
      <w:r w:rsidRPr="006B40AA">
        <w:separator/>
      </w:r>
    </w:p>
  </w:endnote>
  <w:endnote w:type="continuationSeparator" w:id="0">
    <w:p w14:paraId="6C33D5D2" w14:textId="77777777" w:rsidR="00B413CC" w:rsidRPr="006B40AA" w:rsidRDefault="00B413CC">
      <w:r w:rsidRPr="006B40A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F9910" w14:textId="77777777" w:rsidR="006B40AA" w:rsidRPr="006B40AA" w:rsidRDefault="006B40AA" w:rsidP="006B40AA">
    <w:pPr>
      <w:pStyle w:val="EPFooter"/>
    </w:pPr>
    <w:r w:rsidRPr="006B40AA">
      <w:t>PE</w:t>
    </w:r>
    <w:r w:rsidRPr="006B40AA">
      <w:rPr>
        <w:rStyle w:val="HideTWBExt"/>
      </w:rPr>
      <w:t>&lt;NoPE&gt;</w:t>
    </w:r>
    <w:r w:rsidRPr="006B40AA">
      <w:t>778.093</w:t>
    </w:r>
    <w:r w:rsidRPr="006B40AA">
      <w:rPr>
        <w:rStyle w:val="HideTWBExt"/>
      </w:rPr>
      <w:t>&lt;/NoPE&gt;&lt;Version&gt;</w:t>
    </w:r>
    <w:r w:rsidRPr="006B40AA">
      <w:t>v01-00</w:t>
    </w:r>
    <w:r w:rsidRPr="006B40AA">
      <w:rPr>
        <w:rStyle w:val="HideTWBExt"/>
      </w:rPr>
      <w:t>&lt;/Version&gt;</w:t>
    </w:r>
    <w:r w:rsidRPr="006B40AA">
      <w:tab/>
    </w:r>
    <w:r w:rsidRPr="006B40AA">
      <w:fldChar w:fldCharType="begin"/>
    </w:r>
    <w:r w:rsidRPr="006B40AA">
      <w:instrText xml:space="preserve"> PAGE  \* MERGEFORMAT </w:instrText>
    </w:r>
    <w:r w:rsidRPr="006B40AA">
      <w:fldChar w:fldCharType="separate"/>
    </w:r>
    <w:r w:rsidRPr="006B40AA">
      <w:rPr>
        <w:noProof/>
      </w:rPr>
      <w:t>2</w:t>
    </w:r>
    <w:r w:rsidRPr="006B40AA">
      <w:fldChar w:fldCharType="end"/>
    </w:r>
    <w:r w:rsidRPr="006B40AA">
      <w:t>/</w:t>
    </w:r>
    <w:fldSimple w:instr=" NUMPAGES  \* MERGEFORMAT ">
      <w:r w:rsidRPr="006B40AA">
        <w:rPr>
          <w:noProof/>
        </w:rPr>
        <w:t>1</w:t>
      </w:r>
    </w:fldSimple>
    <w:r w:rsidRPr="006B40AA">
      <w:tab/>
    </w:r>
    <w:r w:rsidRPr="006B40AA">
      <w:rPr>
        <w:rStyle w:val="HideTWBExt"/>
      </w:rPr>
      <w:t>&lt;PathFdR&gt;</w:t>
    </w:r>
    <w:r w:rsidRPr="006B40AA">
      <w:t>PR\1328636PL.docx</w:t>
    </w:r>
    <w:r w:rsidRPr="006B40AA">
      <w:rPr>
        <w:rStyle w:val="HideTWBExt"/>
      </w:rPr>
      <w:t>&lt;/PathFdR&gt;</w:t>
    </w:r>
  </w:p>
  <w:p w14:paraId="3BC1B3E6" w14:textId="4EEDC868" w:rsidR="00D449A2" w:rsidRPr="006B40AA" w:rsidRDefault="006B40AA" w:rsidP="006B40AA">
    <w:pPr>
      <w:pStyle w:val="EPFooter2"/>
    </w:pPr>
    <w:r w:rsidRPr="006B40AA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7F98C" w14:textId="77777777" w:rsidR="006B40AA" w:rsidRPr="006B40AA" w:rsidRDefault="006B40AA" w:rsidP="006B40AA">
    <w:pPr>
      <w:pStyle w:val="EPFooter"/>
    </w:pPr>
    <w:r w:rsidRPr="006B40AA">
      <w:rPr>
        <w:rStyle w:val="HideTWBExt"/>
      </w:rPr>
      <w:t>&lt;PathFdR&gt;</w:t>
    </w:r>
    <w:r w:rsidRPr="006B40AA">
      <w:t>PR\1328636PL.docx</w:t>
    </w:r>
    <w:r w:rsidRPr="006B40AA">
      <w:rPr>
        <w:rStyle w:val="HideTWBExt"/>
      </w:rPr>
      <w:t>&lt;/PathFdR&gt;</w:t>
    </w:r>
    <w:r w:rsidRPr="006B40AA">
      <w:tab/>
    </w:r>
    <w:r w:rsidRPr="006B40AA">
      <w:fldChar w:fldCharType="begin"/>
    </w:r>
    <w:r w:rsidRPr="006B40AA">
      <w:instrText xml:space="preserve"> PAGE  \* MERGEFORMAT </w:instrText>
    </w:r>
    <w:r w:rsidRPr="006B40AA">
      <w:fldChar w:fldCharType="separate"/>
    </w:r>
    <w:r w:rsidRPr="006B40AA">
      <w:rPr>
        <w:noProof/>
      </w:rPr>
      <w:t>2</w:t>
    </w:r>
    <w:r w:rsidRPr="006B40AA">
      <w:fldChar w:fldCharType="end"/>
    </w:r>
    <w:r w:rsidRPr="006B40AA">
      <w:t>/</w:t>
    </w:r>
    <w:fldSimple w:instr=" NUMPAGES  \* MERGEFORMAT ">
      <w:r w:rsidRPr="006B40AA">
        <w:rPr>
          <w:noProof/>
        </w:rPr>
        <w:t>1</w:t>
      </w:r>
    </w:fldSimple>
    <w:r w:rsidRPr="006B40AA">
      <w:tab/>
      <w:t>PE</w:t>
    </w:r>
    <w:r w:rsidRPr="006B40AA">
      <w:rPr>
        <w:rStyle w:val="HideTWBExt"/>
      </w:rPr>
      <w:t>&lt;NoPE&gt;</w:t>
    </w:r>
    <w:r w:rsidRPr="006B40AA">
      <w:t>778.093</w:t>
    </w:r>
    <w:r w:rsidRPr="006B40AA">
      <w:rPr>
        <w:rStyle w:val="HideTWBExt"/>
      </w:rPr>
      <w:t>&lt;/NoPE&gt;&lt;Version&gt;</w:t>
    </w:r>
    <w:r w:rsidRPr="006B40AA">
      <w:t>v01-00</w:t>
    </w:r>
    <w:r w:rsidRPr="006B40AA">
      <w:rPr>
        <w:rStyle w:val="HideTWBExt"/>
      </w:rPr>
      <w:t>&lt;/Version&gt;</w:t>
    </w:r>
  </w:p>
  <w:p w14:paraId="13AAA257" w14:textId="7E01E58D" w:rsidR="00D449A2" w:rsidRPr="006B40AA" w:rsidRDefault="006B40AA" w:rsidP="006B40AA">
    <w:pPr>
      <w:pStyle w:val="EPFooter2"/>
    </w:pPr>
    <w:r w:rsidRPr="006B40AA">
      <w:tab/>
    </w:r>
    <w:r w:rsidRPr="006B40AA">
      <w:tab/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51BAE" w14:textId="77777777" w:rsidR="006B40AA" w:rsidRPr="006B40AA" w:rsidRDefault="006B40AA" w:rsidP="006B40AA">
    <w:pPr>
      <w:pStyle w:val="EPFooter"/>
    </w:pPr>
    <w:r w:rsidRPr="006B40AA">
      <w:rPr>
        <w:rStyle w:val="HideTWBExt"/>
      </w:rPr>
      <w:t>&lt;PathFdR&gt;</w:t>
    </w:r>
    <w:r w:rsidRPr="006B40AA">
      <w:t>PR\1328636PL.docx</w:t>
    </w:r>
    <w:r w:rsidRPr="006B40AA">
      <w:rPr>
        <w:rStyle w:val="HideTWBExt"/>
      </w:rPr>
      <w:t>&lt;/PathFdR&gt;</w:t>
    </w:r>
    <w:r w:rsidRPr="006B40AA">
      <w:tab/>
    </w:r>
    <w:r w:rsidRPr="006B40AA">
      <w:tab/>
      <w:t>PE</w:t>
    </w:r>
    <w:r w:rsidRPr="006B40AA">
      <w:rPr>
        <w:rStyle w:val="HideTWBExt"/>
      </w:rPr>
      <w:t>&lt;NoPE&gt;</w:t>
    </w:r>
    <w:r w:rsidRPr="006B40AA">
      <w:t>778.093</w:t>
    </w:r>
    <w:r w:rsidRPr="006B40AA">
      <w:rPr>
        <w:rStyle w:val="HideTWBExt"/>
      </w:rPr>
      <w:t>&lt;/NoPE&gt;&lt;Version&gt;</w:t>
    </w:r>
    <w:r w:rsidRPr="006B40AA">
      <w:t>v01-00</w:t>
    </w:r>
    <w:r w:rsidRPr="006B40AA">
      <w:rPr>
        <w:rStyle w:val="HideTWBExt"/>
      </w:rPr>
      <w:t>&lt;/Version&gt;</w:t>
    </w:r>
  </w:p>
  <w:p w14:paraId="3CD6159B" w14:textId="35BCB0E6" w:rsidR="00D449A2" w:rsidRPr="006B40AA" w:rsidRDefault="006B40AA" w:rsidP="006B40AA">
    <w:pPr>
      <w:pStyle w:val="EPFooter2"/>
    </w:pPr>
    <w:r w:rsidRPr="006B40AA">
      <w:t>PL</w:t>
    </w:r>
    <w:r w:rsidRPr="006B40AA">
      <w:tab/>
    </w:r>
    <w:r w:rsidRPr="006B40AA">
      <w:rPr>
        <w:b w:val="0"/>
        <w:i/>
        <w:color w:val="C0C0C0"/>
        <w:sz w:val="22"/>
      </w:rPr>
      <w:t>Zjednoczona w różnorodności</w:t>
    </w:r>
    <w:r w:rsidRPr="006B40AA">
      <w:tab/>
      <w:t>PL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1A33D" w14:textId="7EDAAA44" w:rsidR="00804BB6" w:rsidRPr="006B40AA" w:rsidRDefault="00804BB6" w:rsidP="00804BB6">
    <w:pPr>
      <w:pStyle w:val="EPFooter"/>
    </w:pPr>
    <w:r w:rsidRPr="006B40AA">
      <w:rPr>
        <w:rStyle w:val="HideTWBExt"/>
      </w:rPr>
      <w:t>&lt;PathFdR&gt;</w:t>
    </w:r>
    <w:r w:rsidR="00974A19" w:rsidRPr="006B40AA">
      <w:t>PR\1328636EN.docx</w:t>
    </w:r>
    <w:r w:rsidRPr="006B40AA">
      <w:rPr>
        <w:rStyle w:val="HideTWBExt"/>
      </w:rPr>
      <w:t>&lt;/PathFdR&gt;</w:t>
    </w:r>
    <w:r w:rsidRPr="006B40AA">
      <w:tab/>
    </w:r>
    <w:r w:rsidRPr="006B40AA">
      <w:tab/>
      <w:t>PE</w:t>
    </w:r>
    <w:r w:rsidRPr="006B40AA">
      <w:rPr>
        <w:rStyle w:val="HideTWBExt"/>
      </w:rPr>
      <w:t>&lt;NoPE&gt;</w:t>
    </w:r>
    <w:r w:rsidRPr="006B40AA">
      <w:t>778.093</w:t>
    </w:r>
    <w:r w:rsidRPr="006B40AA">
      <w:rPr>
        <w:rStyle w:val="HideTWBExt"/>
      </w:rPr>
      <w:t>&lt;/NoPE&gt;&lt;Version&gt;</w:t>
    </w:r>
    <w:r w:rsidRPr="006B40AA">
      <w:t>v01-00</w:t>
    </w:r>
    <w:r w:rsidRPr="006B40AA">
      <w:rPr>
        <w:rStyle w:val="HideTWBExt"/>
      </w:rPr>
      <w:t>&lt;/Version&gt;</w:t>
    </w:r>
  </w:p>
  <w:p w14:paraId="7B597964" w14:textId="2D79E9C3" w:rsidR="00100069" w:rsidRPr="006B40AA" w:rsidRDefault="00804BB6" w:rsidP="00804BB6">
    <w:pPr>
      <w:pStyle w:val="EPFooter2"/>
    </w:pPr>
    <w:r w:rsidRPr="006B40AA">
      <w:t>EN</w:t>
    </w:r>
    <w:r w:rsidRPr="006B40AA">
      <w:tab/>
    </w:r>
    <w:r w:rsidRPr="006B40AA">
      <w:rPr>
        <w:b w:val="0"/>
        <w:i/>
        <w:color w:val="C0C0C0"/>
        <w:sz w:val="22"/>
      </w:rPr>
      <w:t>United in diversity</w:t>
    </w:r>
    <w:r w:rsidRPr="006B40AA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ACC31" w14:textId="77777777" w:rsidR="00B413CC" w:rsidRPr="006B40AA" w:rsidRDefault="00B413CC">
      <w:r w:rsidRPr="006B40AA">
        <w:separator/>
      </w:r>
    </w:p>
  </w:footnote>
  <w:footnote w:type="continuationSeparator" w:id="0">
    <w:p w14:paraId="0BD8C4BC" w14:textId="77777777" w:rsidR="00B413CC" w:rsidRPr="006B40AA" w:rsidRDefault="00B413CC">
      <w:r w:rsidRPr="006B40AA">
        <w:continuationSeparator/>
      </w:r>
    </w:p>
  </w:footnote>
  <w:footnote w:id="1">
    <w:p w14:paraId="1C709BC0" w14:textId="4356D24C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L, 2024/1385, 24.5.2024, ELI: </w:t>
      </w:r>
      <w:hyperlink r:id="rId1" w:history="1">
        <w:r w:rsidRPr="006B40AA">
          <w:rPr>
            <w:rStyle w:val="Hyperlink"/>
          </w:rPr>
          <w:t>http://data.europa.eu/eli/dir/2024/1385/oj</w:t>
        </w:r>
      </w:hyperlink>
      <w:r w:rsidRPr="006B40AA">
        <w:t>.</w:t>
      </w:r>
    </w:p>
  </w:footnote>
  <w:footnote w:id="2">
    <w:p w14:paraId="2713C6A7" w14:textId="341202B9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L, 2024/1083, 17.4.2024, ELI: </w:t>
      </w:r>
      <w:hyperlink r:id="rId2" w:history="1">
        <w:r w:rsidRPr="006B40AA">
          <w:rPr>
            <w:rStyle w:val="Hyperlink"/>
          </w:rPr>
          <w:t>http://data.europa.eu/eli/reg/2024/1083/oj</w:t>
        </w:r>
      </w:hyperlink>
      <w:r w:rsidRPr="006B40AA">
        <w:t>.</w:t>
      </w:r>
    </w:p>
  </w:footnote>
  <w:footnote w:id="3">
    <w:p w14:paraId="3CB8CD75" w14:textId="29EB1AA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L, 2024/1069, 16.4.2024, ELI: </w:t>
      </w:r>
      <w:hyperlink r:id="rId3" w:history="1">
        <w:r w:rsidRPr="006B40AA">
          <w:rPr>
            <w:rStyle w:val="Hyperlink"/>
          </w:rPr>
          <w:t>http://data.europa.eu/eli/dir/2024/1069/oj</w:t>
        </w:r>
      </w:hyperlink>
      <w:r w:rsidRPr="006B40AA">
        <w:t>.</w:t>
      </w:r>
    </w:p>
  </w:footnote>
  <w:footnote w:id="4">
    <w:p w14:paraId="18AEE4B6" w14:textId="78E6572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 433I z 22.12.2020, s. 1, ELI: </w:t>
      </w:r>
      <w:hyperlink r:id="rId4" w:history="1">
        <w:r w:rsidRPr="006B40AA">
          <w:rPr>
            <w:rStyle w:val="Hyperlink"/>
          </w:rPr>
          <w:t>http://data.europa.eu/eli/reg/2020/2092/oj</w:t>
        </w:r>
      </w:hyperlink>
      <w:r w:rsidRPr="006B40AA">
        <w:t>.</w:t>
      </w:r>
    </w:p>
  </w:footnote>
  <w:footnote w:id="5">
    <w:p w14:paraId="0888E07B" w14:textId="2243C7D0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 119 z 4.5.2016, s. 1, ELI: </w:t>
      </w:r>
      <w:hyperlink r:id="rId5" w:history="1">
        <w:r w:rsidRPr="006B40AA">
          <w:rPr>
            <w:rStyle w:val="Hyperlink"/>
          </w:rPr>
          <w:t>http://data.europa.eu/eli/reg/2016/679/oj</w:t>
        </w:r>
      </w:hyperlink>
      <w:r w:rsidRPr="006B40AA">
        <w:t>.</w:t>
      </w:r>
    </w:p>
  </w:footnote>
  <w:footnote w:id="6">
    <w:p w14:paraId="0618714E" w14:textId="6737B36F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 328 z 6.12.2008, s. 55, ELI: </w:t>
      </w:r>
      <w:hyperlink r:id="rId6" w:history="1">
        <w:r w:rsidRPr="006B40AA">
          <w:rPr>
            <w:rStyle w:val="Hyperlink"/>
          </w:rPr>
          <w:t>http://data.europa.eu/eli/dec_framw/2008/913/oj</w:t>
        </w:r>
      </w:hyperlink>
      <w:r w:rsidRPr="006B40AA">
        <w:t>.</w:t>
      </w:r>
    </w:p>
  </w:footnote>
  <w:footnote w:id="7">
    <w:p w14:paraId="72BF6DA9" w14:textId="0CA08D99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L 180 z 19.7.2000, s. 22, ELI: </w:t>
      </w:r>
      <w:hyperlink r:id="rId7" w:history="1">
        <w:r w:rsidRPr="006B40AA">
          <w:rPr>
            <w:rStyle w:val="Hyperlink"/>
          </w:rPr>
          <w:t>http://data.europa.eu/eli/dir/2000/43/oj</w:t>
        </w:r>
      </w:hyperlink>
      <w:r w:rsidRPr="006B40AA">
        <w:t>.</w:t>
      </w:r>
    </w:p>
  </w:footnote>
  <w:footnote w:id="8">
    <w:p w14:paraId="681050C7" w14:textId="6478F55B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C, C/2024/6340, 7.11.2024, ELI: </w:t>
      </w:r>
      <w:hyperlink r:id="rId8" w:history="1">
        <w:r w:rsidRPr="006B40AA">
          <w:rPr>
            <w:rStyle w:val="Hyperlink"/>
          </w:rPr>
          <w:t>http://data.europa.eu/eli/C/2024/6340/oj</w:t>
        </w:r>
      </w:hyperlink>
      <w:r w:rsidRPr="006B40AA">
        <w:t>.</w:t>
      </w:r>
    </w:p>
  </w:footnote>
  <w:footnote w:id="9">
    <w:p w14:paraId="54F7C725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177 z 17.5.2023, s. 13.</w:t>
      </w:r>
    </w:p>
  </w:footnote>
  <w:footnote w:id="10">
    <w:p w14:paraId="409FC303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161 z 5.5.2023, s. 10.</w:t>
      </w:r>
    </w:p>
  </w:footnote>
  <w:footnote w:id="11">
    <w:p w14:paraId="4C092B7F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347 z 9.9.2022, s. 2.</w:t>
      </w:r>
    </w:p>
  </w:footnote>
  <w:footnote w:id="12">
    <w:p w14:paraId="16D68613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251 z 30.6.2022, s. 2.</w:t>
      </w:r>
    </w:p>
  </w:footnote>
  <w:footnote w:id="13">
    <w:p w14:paraId="3EE23FB3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117 z 11.3.2022, s. 88.</w:t>
      </w:r>
    </w:p>
  </w:footnote>
  <w:footnote w:id="14">
    <w:p w14:paraId="08B283BB" w14:textId="5DD6094D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C, C/2024/5733, 17.10.2024, ELI: </w:t>
      </w:r>
      <w:hyperlink r:id="rId9" w:history="1">
        <w:r w:rsidRPr="006B40AA">
          <w:rPr>
            <w:rStyle w:val="Hyperlink"/>
          </w:rPr>
          <w:t>http://data.europa.eu/eli/C/2024/5733/oj</w:t>
        </w:r>
      </w:hyperlink>
      <w:r w:rsidRPr="006B40AA">
        <w:t>.</w:t>
      </w:r>
    </w:p>
  </w:footnote>
  <w:footnote w:id="15">
    <w:p w14:paraId="43745E45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 xml:space="preserve"> Dz.U. C 395 z 29.9.2021, s. 2.</w:t>
      </w:r>
    </w:p>
  </w:footnote>
  <w:footnote w:id="16">
    <w:p w14:paraId="625165E4" w14:textId="77777777" w:rsidR="00D449A2" w:rsidRPr="006B40AA" w:rsidRDefault="00D449A2" w:rsidP="00D449A2">
      <w:pPr>
        <w:pStyle w:val="FootnoteText"/>
      </w:pPr>
      <w:r w:rsidRPr="006B40AA">
        <w:rPr>
          <w:rStyle w:val="FootnoteReference"/>
        </w:rPr>
        <w:footnoteRef/>
      </w:r>
      <w:r w:rsidRPr="006B40AA">
        <w:t>  OBWE: ODIHR, wybory do Parlamentu Europejskiego 6–9 czerwca 2024 r. – Sprawozdanie końcowe ze specjalnej misji ds. ODIHR oceny wyborów, Warszawa, 2024 r., s. 15.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4E1F6" w14:textId="77777777" w:rsidR="005D666C" w:rsidRDefault="005D6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D4D87" w14:textId="77777777" w:rsidR="005D666C" w:rsidRDefault="005D66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7CE2B" w14:textId="77777777" w:rsidR="005D666C" w:rsidRDefault="005D666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68B11" w14:textId="77777777" w:rsidR="00DB115A" w:rsidRDefault="00DB115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75BB" w14:textId="77777777" w:rsidR="00DB115A" w:rsidRDefault="00DB115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7CC87" w14:textId="77777777" w:rsidR="00DB115A" w:rsidRDefault="00DB1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8A1A3E"/>
    <w:multiLevelType w:val="hybridMultilevel"/>
    <w:tmpl w:val="CD78F630"/>
    <w:lvl w:ilvl="0" w:tplc="CAC09CE0">
      <w:start w:val="1"/>
      <w:numFmt w:val="upperLetter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525874">
    <w:abstractNumId w:val="9"/>
  </w:num>
  <w:num w:numId="2" w16cid:durableId="1098715815">
    <w:abstractNumId w:val="9"/>
  </w:num>
  <w:num w:numId="3" w16cid:durableId="1906721494">
    <w:abstractNumId w:val="7"/>
  </w:num>
  <w:num w:numId="4" w16cid:durableId="115493898">
    <w:abstractNumId w:val="7"/>
  </w:num>
  <w:num w:numId="5" w16cid:durableId="1076436453">
    <w:abstractNumId w:val="6"/>
  </w:num>
  <w:num w:numId="6" w16cid:durableId="1599561136">
    <w:abstractNumId w:val="6"/>
  </w:num>
  <w:num w:numId="7" w16cid:durableId="1859076159">
    <w:abstractNumId w:val="5"/>
  </w:num>
  <w:num w:numId="8" w16cid:durableId="1915966077">
    <w:abstractNumId w:val="5"/>
  </w:num>
  <w:num w:numId="9" w16cid:durableId="347605477">
    <w:abstractNumId w:val="4"/>
  </w:num>
  <w:num w:numId="10" w16cid:durableId="1549300121">
    <w:abstractNumId w:val="4"/>
  </w:num>
  <w:num w:numId="11" w16cid:durableId="131336604">
    <w:abstractNumId w:val="8"/>
  </w:num>
  <w:num w:numId="12" w16cid:durableId="958027280">
    <w:abstractNumId w:val="8"/>
  </w:num>
  <w:num w:numId="13" w16cid:durableId="562837282">
    <w:abstractNumId w:val="3"/>
  </w:num>
  <w:num w:numId="14" w16cid:durableId="1581719370">
    <w:abstractNumId w:val="3"/>
  </w:num>
  <w:num w:numId="15" w16cid:durableId="1091003185">
    <w:abstractNumId w:val="2"/>
  </w:num>
  <w:num w:numId="16" w16cid:durableId="141197083">
    <w:abstractNumId w:val="2"/>
  </w:num>
  <w:num w:numId="17" w16cid:durableId="105200294">
    <w:abstractNumId w:val="1"/>
  </w:num>
  <w:num w:numId="18" w16cid:durableId="1263804149">
    <w:abstractNumId w:val="1"/>
  </w:num>
  <w:num w:numId="19" w16cid:durableId="1134716301">
    <w:abstractNumId w:val="0"/>
  </w:num>
  <w:num w:numId="20" w16cid:durableId="598829242">
    <w:abstractNumId w:val="0"/>
  </w:num>
  <w:num w:numId="21" w16cid:durableId="629626053">
    <w:abstractNumId w:val="9"/>
  </w:num>
  <w:num w:numId="22" w16cid:durableId="508251856">
    <w:abstractNumId w:val="7"/>
  </w:num>
  <w:num w:numId="23" w16cid:durableId="819880713">
    <w:abstractNumId w:val="6"/>
  </w:num>
  <w:num w:numId="24" w16cid:durableId="1445609187">
    <w:abstractNumId w:val="5"/>
  </w:num>
  <w:num w:numId="25" w16cid:durableId="578251789">
    <w:abstractNumId w:val="4"/>
  </w:num>
  <w:num w:numId="26" w16cid:durableId="532498364">
    <w:abstractNumId w:val="8"/>
  </w:num>
  <w:num w:numId="27" w16cid:durableId="34936447">
    <w:abstractNumId w:val="3"/>
  </w:num>
  <w:num w:numId="28" w16cid:durableId="696078933">
    <w:abstractNumId w:val="2"/>
  </w:num>
  <w:num w:numId="29" w16cid:durableId="545340801">
    <w:abstractNumId w:val="1"/>
  </w:num>
  <w:num w:numId="30" w16cid:durableId="1053383561">
    <w:abstractNumId w:val="0"/>
  </w:num>
  <w:num w:numId="31" w16cid:durableId="964628230">
    <w:abstractNumId w:val="9"/>
  </w:num>
  <w:num w:numId="32" w16cid:durableId="1373001625">
    <w:abstractNumId w:val="7"/>
  </w:num>
  <w:num w:numId="33" w16cid:durableId="861941063">
    <w:abstractNumId w:val="6"/>
  </w:num>
  <w:num w:numId="34" w16cid:durableId="181630136">
    <w:abstractNumId w:val="5"/>
  </w:num>
  <w:num w:numId="35" w16cid:durableId="1988431523">
    <w:abstractNumId w:val="4"/>
  </w:num>
  <w:num w:numId="36" w16cid:durableId="318466885">
    <w:abstractNumId w:val="8"/>
  </w:num>
  <w:num w:numId="37" w16cid:durableId="374816790">
    <w:abstractNumId w:val="3"/>
  </w:num>
  <w:num w:numId="38" w16cid:durableId="1045443043">
    <w:abstractNumId w:val="2"/>
  </w:num>
  <w:num w:numId="39" w16cid:durableId="227692713">
    <w:abstractNumId w:val="1"/>
  </w:num>
  <w:num w:numId="40" w16cid:durableId="287784595">
    <w:abstractNumId w:val="0"/>
  </w:num>
  <w:num w:numId="41" w16cid:durableId="6014559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LIBE"/>
    <w:docVar w:name="DOCDT" w:val="30/09/2025"/>
    <w:docVar w:name="LastEditedSection" w:val=" 1"/>
    <w:docVar w:name="MOTIONMNU" w:val=" 3"/>
    <w:docVar w:name="RULEMNU" w:val=" 1"/>
    <w:docVar w:name="strDocTypeID" w:val="PR_INI"/>
    <w:docVar w:name="strSubDir" w:val="1328"/>
    <w:docVar w:name="TITLEMNU" w:val=" 1"/>
    <w:docVar w:name="TXTAUTHOR" w:val="Anna Strolenberg"/>
    <w:docVar w:name="TXTLANGUE" w:val="EN"/>
    <w:docVar w:name="TXTLANGUEMIN" w:val="en"/>
    <w:docVar w:name="TXTNRINI" w:val="2025/2135"/>
    <w:docVar w:name="TXTNRPE" w:val="778.093"/>
    <w:docVar w:name="TXTPEorAP" w:val="PE"/>
    <w:docVar w:name="TXTROUTE" w:val="PR\1328636EN.docx"/>
    <w:docVar w:name="TXTTITLE" w:val="situation of fundamental rights in the European Union in 2024 and 2025"/>
    <w:docVar w:name="TXTVERSION" w:val="01-00"/>
  </w:docVars>
  <w:rsids>
    <w:rsidRoot w:val="00B413CC"/>
    <w:rsid w:val="00040EAC"/>
    <w:rsid w:val="0007541B"/>
    <w:rsid w:val="00082B37"/>
    <w:rsid w:val="000C72F2"/>
    <w:rsid w:val="000D2631"/>
    <w:rsid w:val="00100069"/>
    <w:rsid w:val="001046B1"/>
    <w:rsid w:val="00105C44"/>
    <w:rsid w:val="00173309"/>
    <w:rsid w:val="001B207D"/>
    <w:rsid w:val="00203A72"/>
    <w:rsid w:val="0023245A"/>
    <w:rsid w:val="002544DF"/>
    <w:rsid w:val="0026474F"/>
    <w:rsid w:val="00276B35"/>
    <w:rsid w:val="002A573E"/>
    <w:rsid w:val="002E51C7"/>
    <w:rsid w:val="00335F69"/>
    <w:rsid w:val="00346726"/>
    <w:rsid w:val="00395A66"/>
    <w:rsid w:val="003E4507"/>
    <w:rsid w:val="003E6413"/>
    <w:rsid w:val="003F2D82"/>
    <w:rsid w:val="004016B4"/>
    <w:rsid w:val="0041163B"/>
    <w:rsid w:val="004200B3"/>
    <w:rsid w:val="00432B50"/>
    <w:rsid w:val="00455003"/>
    <w:rsid w:val="00466A1A"/>
    <w:rsid w:val="00486CEA"/>
    <w:rsid w:val="004B5405"/>
    <w:rsid w:val="004D4053"/>
    <w:rsid w:val="004E275F"/>
    <w:rsid w:val="005178FF"/>
    <w:rsid w:val="00531F4C"/>
    <w:rsid w:val="00584A07"/>
    <w:rsid w:val="005D666C"/>
    <w:rsid w:val="006272CD"/>
    <w:rsid w:val="0068315D"/>
    <w:rsid w:val="006856CF"/>
    <w:rsid w:val="006A0113"/>
    <w:rsid w:val="006B40AA"/>
    <w:rsid w:val="00705D44"/>
    <w:rsid w:val="00726C82"/>
    <w:rsid w:val="00733CBA"/>
    <w:rsid w:val="007963C6"/>
    <w:rsid w:val="007D55E7"/>
    <w:rsid w:val="00804BB6"/>
    <w:rsid w:val="0084620F"/>
    <w:rsid w:val="00851CF7"/>
    <w:rsid w:val="00865656"/>
    <w:rsid w:val="008955B4"/>
    <w:rsid w:val="008A4A43"/>
    <w:rsid w:val="008C4C65"/>
    <w:rsid w:val="0090583E"/>
    <w:rsid w:val="0095536F"/>
    <w:rsid w:val="00956282"/>
    <w:rsid w:val="00974A19"/>
    <w:rsid w:val="00983D5D"/>
    <w:rsid w:val="00996AC6"/>
    <w:rsid w:val="009A6E90"/>
    <w:rsid w:val="009E4ABB"/>
    <w:rsid w:val="009F5EEB"/>
    <w:rsid w:val="00A45202"/>
    <w:rsid w:val="00A75F49"/>
    <w:rsid w:val="00AA161F"/>
    <w:rsid w:val="00AB1F5E"/>
    <w:rsid w:val="00AC43CC"/>
    <w:rsid w:val="00AD54AC"/>
    <w:rsid w:val="00AF310F"/>
    <w:rsid w:val="00B03835"/>
    <w:rsid w:val="00B17532"/>
    <w:rsid w:val="00B413CC"/>
    <w:rsid w:val="00B85BF5"/>
    <w:rsid w:val="00BA2A57"/>
    <w:rsid w:val="00BA5076"/>
    <w:rsid w:val="00BA539D"/>
    <w:rsid w:val="00BB70F1"/>
    <w:rsid w:val="00BC7C60"/>
    <w:rsid w:val="00BE2E5E"/>
    <w:rsid w:val="00BF78BD"/>
    <w:rsid w:val="00C00074"/>
    <w:rsid w:val="00C21C5F"/>
    <w:rsid w:val="00C77D5E"/>
    <w:rsid w:val="00C93A60"/>
    <w:rsid w:val="00CD3E8A"/>
    <w:rsid w:val="00D31D25"/>
    <w:rsid w:val="00D449A2"/>
    <w:rsid w:val="00D47BB0"/>
    <w:rsid w:val="00D67185"/>
    <w:rsid w:val="00DB115A"/>
    <w:rsid w:val="00DB4680"/>
    <w:rsid w:val="00DD7B9D"/>
    <w:rsid w:val="00DF06AA"/>
    <w:rsid w:val="00E04792"/>
    <w:rsid w:val="00E155CA"/>
    <w:rsid w:val="00E24DB8"/>
    <w:rsid w:val="00E3537C"/>
    <w:rsid w:val="00E61690"/>
    <w:rsid w:val="00E63DD4"/>
    <w:rsid w:val="00E77B79"/>
    <w:rsid w:val="00EA15AB"/>
    <w:rsid w:val="00F076A5"/>
    <w:rsid w:val="00F3651F"/>
    <w:rsid w:val="00F714A9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BDF7C"/>
  <w15:chartTrackingRefBased/>
  <w15:docId w15:val="{8CE7D75E-EFA8-43F0-8D3A-3F0570B8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Normal12a">
    <w:name w:val="Normal12a"/>
    <w:basedOn w:val="Normal"/>
    <w:rsid w:val="00276B35"/>
    <w:pPr>
      <w:spacing w:after="240"/>
    </w:pPr>
  </w:style>
  <w:style w:type="paragraph" w:customStyle="1" w:styleId="CoverNormal12a">
    <w:name w:val="CoverNormal12a"/>
    <w:basedOn w:val="Normal"/>
    <w:rsid w:val="00C21C5F"/>
    <w:pPr>
      <w:spacing w:after="240"/>
      <w:ind w:left="1418"/>
    </w:pPr>
  </w:style>
  <w:style w:type="paragraph" w:styleId="FootnoteText">
    <w:name w:val="footnote text"/>
    <w:basedOn w:val="Normal"/>
    <w:link w:val="FootnoteTextChar"/>
    <w:unhideWhenUsed/>
    <w:rsid w:val="00983D5D"/>
    <w:pPr>
      <w:widowControl/>
      <w:suppressAutoHyphens/>
      <w:autoSpaceDN w:val="0"/>
    </w:pPr>
    <w:rPr>
      <w:rFonts w:ascii="Calibri" w:eastAsia="Calibri" w:hAnsi="Calibri" w:cs="Arial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983D5D"/>
    <w:rPr>
      <w:rFonts w:ascii="Calibri" w:eastAsia="Calibri" w:hAnsi="Calibri" w:cs="Arial"/>
      <w:lang w:eastAsia="en-US"/>
    </w:rPr>
  </w:style>
  <w:style w:type="character" w:styleId="FootnoteReference">
    <w:name w:val="footnote reference"/>
    <w:basedOn w:val="DefaultParagraphFont"/>
    <w:unhideWhenUsed/>
    <w:rsid w:val="00983D5D"/>
    <w:rPr>
      <w:position w:val="0"/>
      <w:vertAlign w:val="superscript"/>
    </w:rPr>
  </w:style>
  <w:style w:type="paragraph" w:styleId="ListParagraph">
    <w:name w:val="List Paragraph"/>
    <w:basedOn w:val="Normal"/>
    <w:uiPriority w:val="34"/>
    <w:qFormat/>
    <w:rsid w:val="00C77D5E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4E2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E275F"/>
    <w:rPr>
      <w:sz w:val="24"/>
    </w:rPr>
  </w:style>
  <w:style w:type="paragraph" w:styleId="Revision">
    <w:name w:val="Revision"/>
    <w:hidden/>
    <w:uiPriority w:val="99"/>
    <w:semiHidden/>
    <w:rsid w:val="004B5405"/>
    <w:rPr>
      <w:sz w:val="24"/>
    </w:rPr>
  </w:style>
  <w:style w:type="character" w:styleId="CommentReference">
    <w:name w:val="annotation reference"/>
    <w:basedOn w:val="DefaultParagraphFont"/>
    <w:rsid w:val="00AC43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C43C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C43C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C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C43CC"/>
    <w:rPr>
      <w:b/>
      <w:bCs/>
    </w:rPr>
  </w:style>
  <w:style w:type="character" w:styleId="Hyperlink">
    <w:name w:val="Hyperlink"/>
    <w:basedOn w:val="DefaultParagraphFont"/>
    <w:rsid w:val="00AC43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3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A75F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europa.eu/eli/C/2024/6340/oj" TargetMode="External"/><Relationship Id="rId3" Type="http://schemas.openxmlformats.org/officeDocument/2006/relationships/hyperlink" Target="http://data.europa.eu/eli/dir/2024/1069/oj" TargetMode="External"/><Relationship Id="rId7" Type="http://schemas.openxmlformats.org/officeDocument/2006/relationships/hyperlink" Target="http://data.europa.eu/eli/dir/2000/43/oj" TargetMode="External"/><Relationship Id="rId2" Type="http://schemas.openxmlformats.org/officeDocument/2006/relationships/hyperlink" Target="http://data.europa.eu/eli/reg/2024/1083/oj" TargetMode="External"/><Relationship Id="rId1" Type="http://schemas.openxmlformats.org/officeDocument/2006/relationships/hyperlink" Target="http://data.europa.eu/eli/dir/2024/1385/oj" TargetMode="External"/><Relationship Id="rId6" Type="http://schemas.openxmlformats.org/officeDocument/2006/relationships/hyperlink" Target="http://data.europa.eu/eli/dec_framw/2008/913/oj" TargetMode="External"/><Relationship Id="rId5" Type="http://schemas.openxmlformats.org/officeDocument/2006/relationships/hyperlink" Target="http://data.europa.eu/eli/reg/2016/679/oj" TargetMode="External"/><Relationship Id="rId4" Type="http://schemas.openxmlformats.org/officeDocument/2006/relationships/hyperlink" Target="http://data.europa.eu/eli/reg/2020/2092/oj" TargetMode="External"/><Relationship Id="rId9" Type="http://schemas.openxmlformats.org/officeDocument/2006/relationships/hyperlink" Target="http://data.europa.eu/eli/C/2024/5733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1A803-EBFE-4426-BFD6-44921749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3231</Words>
  <Characters>21777</Characters>
  <Application>Microsoft Office Word</Application>
  <DocSecurity>0</DocSecurity>
  <Lines>388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24844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subject/>
  <dc:creator>CANCELA Rita</dc:creator>
  <cp:keywords/>
  <dc:description/>
  <cp:lastModifiedBy>PERNAK Anna</cp:lastModifiedBy>
  <cp:revision>2</cp:revision>
  <cp:lastPrinted>2025-10-01T13:01:00Z</cp:lastPrinted>
  <dcterms:created xsi:type="dcterms:W3CDTF">2025-10-09T15:21:00Z</dcterms:created>
  <dcterms:modified xsi:type="dcterms:W3CDTF">2025-10-09T15:21:00Z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Created with">
    <vt:lpwstr>10.1.2 Build [20250817]</vt:lpwstr>
  </property>
  <property fmtid="{D5CDD505-2E9C-101B-9397-08002B2CF9AE}" pid="4" name="LastEdited with">
    <vt:lpwstr>10.1.2 Build [20250817]</vt:lpwstr>
  </property>
  <property fmtid="{D5CDD505-2E9C-101B-9397-08002B2CF9AE}" pid="5" name="&lt;FdR&gt;">
    <vt:lpwstr>1328636</vt:lpwstr>
  </property>
  <property fmtid="{D5CDD505-2E9C-101B-9397-08002B2CF9AE}" pid="6" name="&lt;Type&gt;">
    <vt:lpwstr>PR</vt:lpwstr>
  </property>
  <property fmtid="{D5CDD505-2E9C-101B-9397-08002B2CF9AE}" pid="7" name="&lt;ModelCod&gt;">
    <vt:lpwstr>\\eiciBRUpr1\pdocep$\DocEP\DOCS\General\PR\PR_NonLeg\INI\PR_INI.dotx(18/02/2025 09:53:03)</vt:lpwstr>
  </property>
  <property fmtid="{D5CDD505-2E9C-101B-9397-08002B2CF9AE}" pid="8" name="&lt;ModelTra&gt;">
    <vt:lpwstr>\\eiciBRUpr1\pdocep$\DocEP\TRANSFIL\EN\PR_INI.EN(18/02/2025 09:54:04)</vt:lpwstr>
  </property>
  <property fmtid="{D5CDD505-2E9C-101B-9397-08002B2CF9AE}" pid="9" name="&lt;Model&gt;">
    <vt:lpwstr>PR_INI</vt:lpwstr>
  </property>
  <property fmtid="{D5CDD505-2E9C-101B-9397-08002B2CF9AE}" pid="10" name="FooterPath">
    <vt:lpwstr>PR\1328636PL.docx</vt:lpwstr>
  </property>
  <property fmtid="{D5CDD505-2E9C-101B-9397-08002B2CF9AE}" pid="11" name="PE number">
    <vt:lpwstr>778.093</vt:lpwstr>
  </property>
  <property fmtid="{D5CDD505-2E9C-101B-9397-08002B2CF9AE}" pid="12" name="SendToEpades">
    <vt:lpwstr>OK - 2025/09/30 12:16</vt:lpwstr>
  </property>
  <property fmtid="{D5CDD505-2E9C-101B-9397-08002B2CF9AE}" pid="13" name="Bookout">
    <vt:lpwstr>OK - 2025/10/09 17:21</vt:lpwstr>
  </property>
  <property fmtid="{D5CDD505-2E9C-101B-9397-08002B2CF9AE}" pid="14" name="SDLStudio">
    <vt:lpwstr/>
  </property>
</Properties>
</file>