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931EC" w:rsidRPr="00E31134" w14:paraId="3BAD0CCA" w14:textId="77777777" w:rsidTr="0024586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3259DB" w14:textId="77777777" w:rsidR="00D449A2" w:rsidRPr="00E31134" w:rsidRDefault="00A666F1" w:rsidP="00245869">
            <w:pPr>
              <w:pStyle w:val="EPName"/>
            </w:pPr>
            <w:r w:rsidRPr="00E31134">
              <w:t>Parlamento Europeu</w:t>
            </w:r>
          </w:p>
          <w:p w14:paraId="68ADE678" w14:textId="50F3B1E7" w:rsidR="00D449A2" w:rsidRPr="00E31134" w:rsidRDefault="00A666F1" w:rsidP="00245869">
            <w:pPr>
              <w:pStyle w:val="EPTerm"/>
            </w:pPr>
            <w:r w:rsidRPr="00E31134">
              <w:t>2024</w:t>
            </w:r>
            <w:r>
              <w:noBreakHyphen/>
            </w:r>
            <w:r w:rsidRPr="00E31134">
              <w:t>2029</w:t>
            </w:r>
          </w:p>
        </w:tc>
        <w:tc>
          <w:tcPr>
            <w:tcW w:w="2268" w:type="dxa"/>
            <w:shd w:val="clear" w:color="auto" w:fill="auto"/>
          </w:tcPr>
          <w:p w14:paraId="726F8778" w14:textId="77777777" w:rsidR="00D449A2" w:rsidRPr="00E31134" w:rsidRDefault="00A666F1" w:rsidP="00245869">
            <w:pPr>
              <w:pStyle w:val="EPLogo"/>
            </w:pPr>
            <w:r w:rsidRPr="00E31134">
              <w:rPr>
                <w:noProof/>
              </w:rPr>
              <w:drawing>
                <wp:inline distT="0" distB="0" distL="0" distR="0" wp14:anchorId="2F0770C5" wp14:editId="4B7DF7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D08782" w14:textId="77777777" w:rsidR="00D449A2" w:rsidRPr="00E31134" w:rsidRDefault="00D449A2" w:rsidP="00D449A2">
      <w:pPr>
        <w:pStyle w:val="LineTop"/>
      </w:pPr>
    </w:p>
    <w:p w14:paraId="72EB762B" w14:textId="77777777" w:rsidR="00D449A2" w:rsidRPr="00E31134" w:rsidRDefault="00A666F1" w:rsidP="00D449A2">
      <w:pPr>
        <w:pStyle w:val="EPBody"/>
      </w:pPr>
      <w:r w:rsidRPr="00E31134">
        <w:rPr>
          <w:rStyle w:val="HideTWBExt"/>
          <w:i w:val="0"/>
        </w:rPr>
        <w:t>&lt;Commission&gt;</w:t>
      </w:r>
      <w:r w:rsidRPr="00E31134">
        <w:rPr>
          <w:rStyle w:val="HideTWBInt"/>
          <w:color w:val="auto"/>
        </w:rPr>
        <w:t>{LIBE}</w:t>
      </w:r>
      <w:r w:rsidRPr="00E31134">
        <w:t>Comissão das Liberdades Cívicas, da Justiça e dos Assuntos Internos</w:t>
      </w:r>
      <w:r w:rsidRPr="00E31134">
        <w:rPr>
          <w:rStyle w:val="HideTWBExt"/>
          <w:i w:val="0"/>
        </w:rPr>
        <w:t>&lt;/Commission&gt;</w:t>
      </w:r>
    </w:p>
    <w:p w14:paraId="4E2137D9" w14:textId="77777777" w:rsidR="00D449A2" w:rsidRPr="00E31134" w:rsidRDefault="00D449A2" w:rsidP="00D449A2">
      <w:pPr>
        <w:pStyle w:val="LineBottom"/>
      </w:pPr>
    </w:p>
    <w:p w14:paraId="6B684CC8" w14:textId="77777777" w:rsidR="00D449A2" w:rsidRPr="00E31134" w:rsidRDefault="00A666F1" w:rsidP="00D449A2">
      <w:pPr>
        <w:pStyle w:val="CoverReference"/>
      </w:pPr>
      <w:r w:rsidRPr="00E31134">
        <w:rPr>
          <w:rStyle w:val="HideTWBExt"/>
          <w:b w:val="0"/>
        </w:rPr>
        <w:t>&lt;RefProc&gt;</w:t>
      </w:r>
      <w:r w:rsidRPr="00E31134">
        <w:t>2025/2135</w:t>
      </w:r>
      <w:r w:rsidRPr="00E31134">
        <w:rPr>
          <w:rStyle w:val="HideTWBExt"/>
          <w:b w:val="0"/>
        </w:rPr>
        <w:t>&lt;/RefProc&gt;&lt;RefTypeProc&gt;</w:t>
      </w:r>
      <w:r w:rsidRPr="00E31134">
        <w:t>(INI)</w:t>
      </w:r>
      <w:r w:rsidRPr="00E31134">
        <w:rPr>
          <w:rStyle w:val="HideTWBExt"/>
          <w:b w:val="0"/>
        </w:rPr>
        <w:t>&lt;/RefTypeProc&gt;</w:t>
      </w:r>
    </w:p>
    <w:p w14:paraId="1B568367" w14:textId="77777777" w:rsidR="00D449A2" w:rsidRPr="00E31134" w:rsidRDefault="00A666F1" w:rsidP="00D449A2">
      <w:pPr>
        <w:pStyle w:val="CoverDate"/>
      </w:pPr>
      <w:r w:rsidRPr="00E31134">
        <w:rPr>
          <w:rStyle w:val="HideTWBExt"/>
        </w:rPr>
        <w:t>&lt;Date&gt;</w:t>
      </w:r>
      <w:r w:rsidRPr="00E31134">
        <w:rPr>
          <w:rStyle w:val="HideTWBInt"/>
          <w:color w:val="auto"/>
        </w:rPr>
        <w:t>{30/09/2025}</w:t>
      </w:r>
      <w:r w:rsidRPr="00E31134">
        <w:t>30.9.2025</w:t>
      </w:r>
      <w:r w:rsidRPr="00E31134">
        <w:rPr>
          <w:rStyle w:val="HideTWBExt"/>
        </w:rPr>
        <w:t>&lt;/Date&gt;</w:t>
      </w:r>
    </w:p>
    <w:p w14:paraId="60FBCBE0" w14:textId="77777777" w:rsidR="00D449A2" w:rsidRPr="00E31134" w:rsidRDefault="00A666F1" w:rsidP="00D449A2">
      <w:pPr>
        <w:pStyle w:val="CoverDocType24a"/>
      </w:pPr>
      <w:r w:rsidRPr="00E31134">
        <w:rPr>
          <w:rStyle w:val="HideTWBExt"/>
          <w:b w:val="0"/>
        </w:rPr>
        <w:t>&lt;TitreType&gt;</w:t>
      </w:r>
      <w:r w:rsidRPr="00E31134">
        <w:t>PROJETO DE RELATÓRIO</w:t>
      </w:r>
      <w:r w:rsidRPr="00E31134">
        <w:rPr>
          <w:rStyle w:val="HideTWBExt"/>
          <w:b w:val="0"/>
        </w:rPr>
        <w:t>&lt;/TitreType&gt;</w:t>
      </w:r>
    </w:p>
    <w:p w14:paraId="36C938D3" w14:textId="77777777" w:rsidR="00D449A2" w:rsidRPr="00E31134" w:rsidRDefault="00A666F1" w:rsidP="00D449A2">
      <w:pPr>
        <w:pStyle w:val="CoverNormal"/>
      </w:pPr>
      <w:r w:rsidRPr="00E31134">
        <w:rPr>
          <w:rStyle w:val="HideTWBExt"/>
        </w:rPr>
        <w:t>&lt;Titre&gt;</w:t>
      </w:r>
      <w:r w:rsidRPr="00E31134">
        <w:t>sobre a situação dos direitos fundamentais na União Europeia em 2024 e 2025</w:t>
      </w:r>
      <w:r w:rsidRPr="00E31134">
        <w:rPr>
          <w:rStyle w:val="HideTWBExt"/>
        </w:rPr>
        <w:t>&lt;/Titre&gt;</w:t>
      </w:r>
    </w:p>
    <w:p w14:paraId="6095D86F" w14:textId="77777777" w:rsidR="00D449A2" w:rsidRPr="00E31134" w:rsidRDefault="00A666F1" w:rsidP="00D449A2">
      <w:pPr>
        <w:pStyle w:val="CoverNormal24a"/>
      </w:pPr>
      <w:r w:rsidRPr="00E31134">
        <w:rPr>
          <w:rStyle w:val="HideTWBExt"/>
        </w:rPr>
        <w:t>&lt;DocRef&gt;</w:t>
      </w:r>
      <w:r w:rsidRPr="00E31134">
        <w:t>(2025/2135(INI))</w:t>
      </w:r>
      <w:r w:rsidRPr="00E31134">
        <w:rPr>
          <w:rStyle w:val="HideTWBExt"/>
        </w:rPr>
        <w:t>&lt;/DocRef&gt;</w:t>
      </w:r>
    </w:p>
    <w:p w14:paraId="6F9CF5BC" w14:textId="77777777" w:rsidR="00D449A2" w:rsidRPr="00E31134" w:rsidRDefault="00A666F1" w:rsidP="00D449A2">
      <w:pPr>
        <w:pStyle w:val="CoverNormal24a"/>
      </w:pPr>
      <w:r w:rsidRPr="00E31134">
        <w:rPr>
          <w:rStyle w:val="HideTWBExt"/>
        </w:rPr>
        <w:t>&lt;Commission&gt;</w:t>
      </w:r>
      <w:r w:rsidRPr="00E31134">
        <w:rPr>
          <w:rStyle w:val="HideTWBInt"/>
          <w:color w:val="auto"/>
        </w:rPr>
        <w:t>{LIBE}</w:t>
      </w:r>
      <w:r w:rsidRPr="00E31134">
        <w:t>Comissão das Liberdades Cívicas, da Justiça e dos Assuntos Internos</w:t>
      </w:r>
      <w:r w:rsidRPr="00E31134">
        <w:rPr>
          <w:rStyle w:val="HideTWBExt"/>
        </w:rPr>
        <w:t>&lt;/Commission&gt;</w:t>
      </w:r>
    </w:p>
    <w:p w14:paraId="738C1E36" w14:textId="77777777" w:rsidR="00D449A2" w:rsidRPr="00E31134" w:rsidRDefault="00A666F1" w:rsidP="00D449A2">
      <w:pPr>
        <w:pStyle w:val="CoverNormal24a"/>
      </w:pPr>
      <w:r w:rsidRPr="00E31134">
        <w:t xml:space="preserve">Relatora: </w:t>
      </w:r>
      <w:r w:rsidRPr="00E31134">
        <w:rPr>
          <w:rStyle w:val="HideTWBExt"/>
        </w:rPr>
        <w:t>&lt;Depute&gt;</w:t>
      </w:r>
      <w:r w:rsidRPr="00E31134">
        <w:t>Anna Strolenberg</w:t>
      </w:r>
      <w:r w:rsidRPr="00E31134">
        <w:rPr>
          <w:rStyle w:val="HideTWBExt"/>
        </w:rPr>
        <w:t>&lt;/Depute&gt;</w:t>
      </w:r>
    </w:p>
    <w:p w14:paraId="616FF3A1" w14:textId="77777777" w:rsidR="00D449A2" w:rsidRPr="00E31134" w:rsidRDefault="00A666F1" w:rsidP="00D449A2">
      <w:pPr>
        <w:widowControl/>
        <w:tabs>
          <w:tab w:val="center" w:pos="4677"/>
        </w:tabs>
      </w:pPr>
      <w:r w:rsidRPr="00E31134">
        <w:br w:type="page"/>
      </w:r>
      <w:r w:rsidRPr="00E31134">
        <w:lastRenderedPageBreak/>
        <w:t>PR_INI</w:t>
      </w:r>
    </w:p>
    <w:p w14:paraId="1EE244A0" w14:textId="77777777" w:rsidR="00D449A2" w:rsidRPr="00E31134" w:rsidRDefault="00A666F1" w:rsidP="00D449A2">
      <w:pPr>
        <w:pStyle w:val="TOCHeading"/>
      </w:pPr>
      <w:r w:rsidRPr="00E31134">
        <w:t>ÍNDICE</w:t>
      </w:r>
    </w:p>
    <w:p w14:paraId="696F7F7F" w14:textId="77777777" w:rsidR="00D449A2" w:rsidRPr="00E31134" w:rsidRDefault="00A666F1" w:rsidP="00D449A2">
      <w:pPr>
        <w:pStyle w:val="TOCPage"/>
      </w:pPr>
      <w:r w:rsidRPr="00E31134">
        <w:t>PÁGINA</w:t>
      </w:r>
    </w:p>
    <w:p w14:paraId="77AF0E1F" w14:textId="1BD3E00F" w:rsidR="007A5ABF" w:rsidRDefault="00A666F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pt-PT"/>
          <w14:ligatures w14:val="standardContextual"/>
        </w:rPr>
      </w:pPr>
      <w:r w:rsidRPr="00E31134">
        <w:rPr>
          <w:b/>
        </w:rPr>
        <w:fldChar w:fldCharType="begin"/>
      </w:r>
      <w:r w:rsidRPr="00E31134">
        <w:rPr>
          <w:b/>
        </w:rPr>
        <w:instrText xml:space="preserve"> TOC \t "PageHeading</w:instrText>
      </w:r>
      <w:r w:rsidR="007A5ABF">
        <w:rPr>
          <w:b/>
        </w:rPr>
        <w:instrText>;</w:instrText>
      </w:r>
      <w:r w:rsidRPr="00E31134">
        <w:rPr>
          <w:b/>
        </w:rPr>
        <w:instrText xml:space="preserve">1" </w:instrText>
      </w:r>
      <w:r w:rsidRPr="00E31134">
        <w:rPr>
          <w:b/>
        </w:rPr>
        <w:fldChar w:fldCharType="separate"/>
      </w:r>
      <w:r w:rsidR="007A5ABF">
        <w:rPr>
          <w:noProof/>
        </w:rPr>
        <w:t>PROPOSTA DE RESOLUÇÃO DO PARLAMENTO EUROPEU</w:t>
      </w:r>
      <w:r w:rsidR="007A5ABF">
        <w:rPr>
          <w:noProof/>
        </w:rPr>
        <w:tab/>
      </w:r>
      <w:r w:rsidR="007A5ABF">
        <w:rPr>
          <w:noProof/>
        </w:rPr>
        <w:fldChar w:fldCharType="begin"/>
      </w:r>
      <w:r w:rsidR="007A5ABF">
        <w:rPr>
          <w:noProof/>
        </w:rPr>
        <w:instrText xml:space="preserve"> PAGEREF _Toc210925382 \h </w:instrText>
      </w:r>
      <w:r w:rsidR="007A5ABF">
        <w:rPr>
          <w:noProof/>
        </w:rPr>
      </w:r>
      <w:r w:rsidR="007A5ABF">
        <w:rPr>
          <w:noProof/>
        </w:rPr>
        <w:fldChar w:fldCharType="separate"/>
      </w:r>
      <w:r w:rsidR="007A5ABF">
        <w:rPr>
          <w:noProof/>
        </w:rPr>
        <w:t>3</w:t>
      </w:r>
      <w:r w:rsidR="007A5ABF">
        <w:rPr>
          <w:noProof/>
        </w:rPr>
        <w:fldChar w:fldCharType="end"/>
      </w:r>
    </w:p>
    <w:p w14:paraId="11BDB147" w14:textId="0D5EFE9C" w:rsidR="007A5ABF" w:rsidRDefault="007A5ABF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eastAsia="pt-PT"/>
          <w14:ligatures w14:val="standardContextual"/>
        </w:rPr>
      </w:pPr>
      <w:r>
        <w:rPr>
          <w:noProof/>
        </w:rPr>
        <w:t>EXPOSIÇÃO DE MOTIVOS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_Toc210925383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14:paraId="37797483" w14:textId="3546A791" w:rsidR="00D449A2" w:rsidRPr="00E31134" w:rsidRDefault="00A666F1" w:rsidP="00D449A2">
      <w:r w:rsidRPr="00E31134">
        <w:rPr>
          <w:b/>
        </w:rPr>
        <w:fldChar w:fldCharType="end"/>
      </w:r>
    </w:p>
    <w:p w14:paraId="49779FA7" w14:textId="77777777" w:rsidR="00D449A2" w:rsidRPr="00E31134" w:rsidRDefault="00A666F1" w:rsidP="00D449A2">
      <w:pPr>
        <w:pStyle w:val="PageHeading"/>
      </w:pPr>
      <w:r w:rsidRPr="00E31134">
        <w:br w:type="page"/>
      </w:r>
      <w:bookmarkStart w:id="0" w:name="_Toc210925382"/>
      <w:r w:rsidRPr="00E31134">
        <w:t>PROPOSTA DE RESOLUÇÃO DO PARLAMENTO EUROPEU</w:t>
      </w:r>
      <w:bookmarkEnd w:id="0"/>
    </w:p>
    <w:p w14:paraId="0D34B040" w14:textId="77777777" w:rsidR="00D449A2" w:rsidRPr="00E31134" w:rsidRDefault="00A666F1" w:rsidP="00D449A2">
      <w:pPr>
        <w:pStyle w:val="NormalBold"/>
      </w:pPr>
      <w:r w:rsidRPr="00E31134">
        <w:t>sobre a situação dos direitos fundamentais na União Europeia em 2024 e 2025</w:t>
      </w:r>
    </w:p>
    <w:p w14:paraId="395A2DEA" w14:textId="77777777" w:rsidR="00D449A2" w:rsidRPr="00E31134" w:rsidRDefault="00A666F1" w:rsidP="00D449A2">
      <w:pPr>
        <w:pStyle w:val="NormalBold"/>
      </w:pPr>
      <w:r w:rsidRPr="00E31134">
        <w:t>(2025/2135(INI))</w:t>
      </w:r>
    </w:p>
    <w:p w14:paraId="53A0395B" w14:textId="77777777" w:rsidR="00D449A2" w:rsidRPr="00E31134" w:rsidRDefault="00A666F1" w:rsidP="00D449A2">
      <w:pPr>
        <w:pStyle w:val="EPComma"/>
      </w:pPr>
      <w:r w:rsidRPr="00E31134">
        <w:rPr>
          <w:i/>
        </w:rPr>
        <w:t>O Parlamento Europeu</w:t>
      </w:r>
      <w:r w:rsidRPr="00E31134">
        <w:t>,</w:t>
      </w:r>
    </w:p>
    <w:p w14:paraId="44C53F9C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Tratado da União Europeia (TUE),</w:t>
      </w:r>
    </w:p>
    <w:p w14:paraId="5E261E8F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Tratado sobre o Funcionamento da União Europeia (TFUE),</w:t>
      </w:r>
    </w:p>
    <w:p w14:paraId="776F3A73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Carta dos Direitos Fundamentais da União Europeia (a «Carta»),</w:t>
      </w:r>
    </w:p>
    <w:p w14:paraId="01223A34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jurisprudência do Tribunal de Justiça da União Europeia (TJUE),</w:t>
      </w:r>
    </w:p>
    <w:p w14:paraId="191F8A13" w14:textId="77777777" w:rsidR="00D449A2" w:rsidRPr="00E31134" w:rsidRDefault="00A666F1" w:rsidP="00D449A2">
      <w:pPr>
        <w:pStyle w:val="NormalHanging12a"/>
      </w:pPr>
      <w:r w:rsidRPr="00E31134">
        <w:tab/>
        <w:t>Tendo em conta a Diretiva (UE) 2024/1385 do Parlamento Europeu e do Conselho, de 14 de maio de 2024, relativa ao combate à violência contra as mulheres e à violência doméstica</w:t>
      </w:r>
      <w:r w:rsidRPr="00E31134">
        <w:rPr>
          <w:rStyle w:val="FootnoteReference"/>
        </w:rPr>
        <w:footnoteReference w:id="1"/>
      </w:r>
      <w:r w:rsidRPr="00E31134">
        <w:t>,</w:t>
      </w:r>
    </w:p>
    <w:p w14:paraId="6A00C2AF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Regulamento (UE) 2024/1083 do Parlamento Europeu e do Conselho, de 11 de abril de 2024, que cria um regime comum para os serviços de comunicação social no mercado interno e que altera a Diretiva 2010/13/UE (Regulamento Europeu relativo à Liberdade dos Meios de Comunicação Social)</w:t>
      </w:r>
      <w:r w:rsidRPr="00E31134">
        <w:rPr>
          <w:rStyle w:val="FootnoteReference"/>
        </w:rPr>
        <w:footnoteReference w:id="2"/>
      </w:r>
      <w:r w:rsidRPr="00E31134">
        <w:t>,</w:t>
      </w:r>
    </w:p>
    <w:p w14:paraId="3A39995D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Diretiva (UE) 2024/1069 do Parlamento Europeu e do Conselho, de 11 de abril de 2024, relativa à proteção das pessoas envolvidas na participação pública contra pedidos manifestamente infundados ou processos judiciais abusivos («ações judiciais estratégicas contra a participação pública»)</w:t>
      </w:r>
      <w:r w:rsidRPr="00E31134">
        <w:rPr>
          <w:rStyle w:val="FootnoteReference"/>
        </w:rPr>
        <w:footnoteReference w:id="3"/>
      </w:r>
      <w:r w:rsidRPr="00E31134">
        <w:t>,</w:t>
      </w:r>
    </w:p>
    <w:p w14:paraId="4EBD6897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Regulamento (UE, Euratom) 2020/2092 do Parlamento Europeu e do Conselho, de 16 de dezembro de 2020, relativo a um regime geral de condicionalidade para a proteção do orçamento da União</w:t>
      </w:r>
      <w:r w:rsidRPr="00E31134">
        <w:rPr>
          <w:rStyle w:val="FootnoteReference"/>
        </w:rPr>
        <w:footnoteReference w:id="4"/>
      </w:r>
      <w:r w:rsidRPr="00E31134">
        <w:t xml:space="preserve"> («Regulamento Regime Geral de Condicionalidade»),</w:t>
      </w:r>
    </w:p>
    <w:p w14:paraId="53624098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Regulamento (UE) 2016/679 do Parlamento Europeu e do Conselho, de 27 de abril de 2016, relativo à proteção das pessoas singulares no que diz respeito ao tratamento de dados pessoais e à livre circulação desses dados e que revoga a Diretiva 95/46/CE (Regulamento Geral sobre a Proteção de Dados)</w:t>
      </w:r>
      <w:r w:rsidRPr="00E31134">
        <w:rPr>
          <w:rStyle w:val="FootnoteReference"/>
        </w:rPr>
        <w:footnoteReference w:id="5"/>
      </w:r>
      <w:r w:rsidRPr="00E31134">
        <w:t>,</w:t>
      </w:r>
    </w:p>
    <w:p w14:paraId="7B54FBF4" w14:textId="109C0690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Decisão</w:t>
      </w:r>
      <w:r>
        <w:noBreakHyphen/>
      </w:r>
      <w:r w:rsidRPr="00E31134">
        <w:t>Quadro 2008/913/JAI do Conselho, de 28 de novembro de 2008, relativa à luta por via do direito penal contra certas formas e manifestações de racismo e xenofobia</w:t>
      </w:r>
      <w:r w:rsidRPr="00E31134">
        <w:rPr>
          <w:rStyle w:val="FootnoteReference"/>
        </w:rPr>
        <w:footnoteReference w:id="6"/>
      </w:r>
      <w:r w:rsidRPr="00E31134">
        <w:t>,</w:t>
      </w:r>
    </w:p>
    <w:p w14:paraId="0652BFB2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proposta de diretiva do Conselho que aplica o princípio da igualdade de tratamento entre as pessoas, independentemente da sua religião ou crença, deficiência, idade ou orientação sexual («diretiva horizontal de luta contra a discriminação»), apresentada pela Comissão em 2 de julho de 2008 (COM(2008)0426),</w:t>
      </w:r>
    </w:p>
    <w:p w14:paraId="2F90D37A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Diretiva 2000/43/CE do Conselho, de 29 de junho de 2000, que aplica o princípio da igualdade de tratamento entre as pessoas, sem distinção de origem racial ou étnica</w:t>
      </w:r>
      <w:r w:rsidRPr="00E31134">
        <w:rPr>
          <w:rStyle w:val="FootnoteReference"/>
        </w:rPr>
        <w:footnoteReference w:id="7"/>
      </w:r>
      <w:r w:rsidRPr="00E31134">
        <w:t>,</w:t>
      </w:r>
    </w:p>
    <w:p w14:paraId="620DB18E" w14:textId="55EABC9D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Estratégia da UE para a igualdade de tratamento das pessoas LGBTIQ 2020</w:t>
      </w:r>
      <w:r>
        <w:noBreakHyphen/>
      </w:r>
      <w:r w:rsidRPr="00E31134">
        <w:t>2025 (COM(2020)0698), a Estratégia para a Igualdade de Género 2020</w:t>
      </w:r>
      <w:r>
        <w:noBreakHyphen/>
      </w:r>
      <w:r w:rsidRPr="00E31134">
        <w:t>2025 (COM(2020)0152), a Estratégia sobre os Direitos das Pessoas com Deficiência 2021</w:t>
      </w:r>
      <w:r>
        <w:noBreakHyphen/>
      </w:r>
      <w:r w:rsidRPr="00E31134">
        <w:t>2030 (COM(2021)0101), o Plano de ação da UE contra o racismo 2020</w:t>
      </w:r>
      <w:r>
        <w:noBreakHyphen/>
      </w:r>
      <w:r w:rsidRPr="00E31134">
        <w:t>2025 (COM(2020)0565), o Quadro estratégico da UE para a igualdade, a inclusão e a participação dos ciganos 2020</w:t>
      </w:r>
      <w:r>
        <w:noBreakHyphen/>
      </w:r>
      <w:r w:rsidRPr="00E31134">
        <w:t>2030 (COM(2020)0620) e o anúncio da Comissão de os atualizar e reforçar,</w:t>
      </w:r>
    </w:p>
    <w:p w14:paraId="4261844E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Estratégia para reforçar a aplicação da Carta dos Direitos Fundamentais na UE (COM(2020)0711) e os relatórios anuais da Comissão, nomeadamente o Relatório Anual de 2024 sobre a Aplicação da Carta dos Direitos Fundamentais da UE — Financiamento para promover, proteger e garantir o respeito pelos direitos fundamentais (COM(2024)0456),</w:t>
      </w:r>
    </w:p>
    <w:p w14:paraId="321D7782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comunicações da Comissão, nomeadamente as de 24 de julho de 2024, intitulada «Relatório de 2024 sobre o Estado de Direito: Situação na União Europeia» (COM(2024)0800), e de 8 de julho de 2025, intitulada «Relatório de 2025 sobre o Estado de Direito: A situação do Estado de Direito na União Europeia» (COM(2025)0900), bem como os 27 capítulos por país anexos,</w:t>
      </w:r>
    </w:p>
    <w:p w14:paraId="2F7E8188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Comunicação da Comissão, de 7 de março de 2025, intitulada «Um Roteiro dos Direitos das Mulheres» (COM(2025)0097), que apresenta uma visão a longo prazo para alcançar a igualdade de género,</w:t>
      </w:r>
    </w:p>
    <w:p w14:paraId="233C06F0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os tratados e instrumentos das Nações Unidas em matéria de proteção dos direitos humanos e das liberdades fundamentais, em particular a Declaração Universal dos Direitos Humanos, o Pacto Internacional sobre os Direitos Civis e Políticos, a Convenção Internacional sobre a Eliminação de Todas as Formas de Discriminação Racial, a Convenção sobre a Eliminação de Todas as Formas de Discriminação contra as Mulheres, as recomendações e os relatórios do Exame Periódico Universal das Nações Unidas, bem como a jurisprudência dos órgãos instituídos pelos tratados das Nações Unidas e os procedimentos especiais do Conselho dos Direitos Humanos,</w:t>
      </w:r>
    </w:p>
    <w:p w14:paraId="50E2F86F" w14:textId="0700E8F0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Convenção das Nações Unidas sobre os Direitos das Pessoas com Deficiência (CNUDPD), que foi ratificada pela UE em 23 de dezembro de 2010 e na qual todos os Estados</w:t>
      </w:r>
      <w:r>
        <w:noBreakHyphen/>
      </w:r>
      <w:r w:rsidRPr="00E31134">
        <w:t>Membros são partes, o Protocolo Opcional à CNUDPD, que foi ratificado por 22 Estados</w:t>
      </w:r>
      <w:r>
        <w:noBreakHyphen/>
      </w:r>
      <w:r w:rsidRPr="00E31134">
        <w:t>Membros, bem como as observações gerais sobre a CNUDPD e as observações da Comissão das Nações Unidas para os Direitos das Pessoas com Deficiência,</w:t>
      </w:r>
    </w:p>
    <w:p w14:paraId="2E618C99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Agenda 2030 das Nações Unidas para o Desenvolvimento Sustentável e os Objetivos de Desenvolvimento Sustentável (ODS),</w:t>
      </w:r>
    </w:p>
    <w:p w14:paraId="6F5B8DFD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os princípios de Yogyakarta sobre a aplicação do direito internacional em matéria de direitos humanos em relação à orientação sexual, identidade de género, expressão de género e características sexuais,</w:t>
      </w:r>
    </w:p>
    <w:p w14:paraId="26631CE5" w14:textId="781C94C8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recomendações e os relatórios do Gabinete das Instituições Democráticas e dos Direitos Humanos, do alto</w:t>
      </w:r>
      <w:r>
        <w:noBreakHyphen/>
      </w:r>
      <w:r w:rsidRPr="00E31134">
        <w:t>comissário para as Minorias Nacionais, do representante para a Liberdade dos Meios de Comunicação Social e de outros órgãos da Organização para a Segurança e a Cooperação na Europa (OSCE),</w:t>
      </w:r>
    </w:p>
    <w:p w14:paraId="43584BF1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Convenção Europeia para a Proteção dos Direitos Humanos e das Liberdades Fundamentais (CEDH),</w:t>
      </w:r>
    </w:p>
    <w:p w14:paraId="2D6632B8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recomendações, os pareceres, os relatórios e as resoluções do Conselho da Europa, em particular da Comissão de Veneza, da Comissão Europeia contra o Racismo e a Intolerância (CERI), do Grupo de Peritos sobre o Combate à Violência contra as Mulheres e a Violência Doméstica (GREVIO), do Grupo de Estados contra a Corrupção (GRECO), do Comité Diretor para a Luta contra a Discriminação, a Diversidade e a Inclusão, da Assembleia Parlamentar, do Comité Europeu dos Direitos Sociais e de outros organismos do Conselho da Europa,</w:t>
      </w:r>
    </w:p>
    <w:p w14:paraId="44B49256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declarações, as recomendações, os relatórios e as visitas a países do comissário para os Direitos Humanos do Conselho da Europa, incluindo o seu relatório de 4 de setembro de 2025 intitulado «Externalised asylum and migration policies and human rights law» [Políticas externalizadas em matéria de asilo e migração e legislação sobre direitos humanos],</w:t>
      </w:r>
    </w:p>
    <w:p w14:paraId="5E5ED0BF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Plataforma do Conselho da Europa para a promoção da proteção do jornalismo e da segurança dos jornalistas,</w:t>
      </w:r>
    </w:p>
    <w:p w14:paraId="767B119D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Convenção do Conselho da Europa para a Prevenção e o Combate à Violência contra as Mulheres e a Violência Doméstica (Convenção de Istambul), que foi ratificada pela União Europeia em 28 de junho de 2023,</w:t>
      </w:r>
    </w:p>
    <w:p w14:paraId="6A5FB941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Carta Social Europeia do Conselho da Europa,</w:t>
      </w:r>
    </w:p>
    <w:p w14:paraId="7552F150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Pilar Europeu dos Direitos Sociais e o respetivo plano de ação,</w:t>
      </w:r>
    </w:p>
    <w:p w14:paraId="0A009030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os relatórios, inquéritos e pareceres da Agência dos Direitos Fundamentais da UE (FRA), em particular o Relatório sobre os Direitos Fundamentais 2024 e o Relatório sobre os Direitos Fundamentais 2025,</w:t>
      </w:r>
    </w:p>
    <w:p w14:paraId="52A83A4F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suas anteriores resoluções sobre a situação dos direitos fundamentais na União Europeia,</w:t>
      </w:r>
    </w:p>
    <w:p w14:paraId="1AD1BD5F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suas resoluções referentes aos relatórios da Comissão sobre o Estado de direito,</w:t>
      </w:r>
    </w:p>
    <w:p w14:paraId="7B5AA2BA" w14:textId="2B265A16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as suas resoluções sobre Estados</w:t>
      </w:r>
      <w:r>
        <w:noBreakHyphen/>
      </w:r>
      <w:r w:rsidRPr="00E31134">
        <w:t>Membros específicos, incluindo a Grécia, a Hungria e a Eslováquia,</w:t>
      </w:r>
    </w:p>
    <w:p w14:paraId="5F21A2C5" w14:textId="2A707693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8 de fevereiro de 2024, sobre a execução da Estratégia da UE para a Igualdade de Tratamento das Pessoas LGBTIQ 2020</w:t>
      </w:r>
      <w:r>
        <w:noBreakHyphen/>
      </w:r>
      <w:r w:rsidRPr="00E31134">
        <w:t>2025</w:t>
      </w:r>
      <w:r w:rsidRPr="00E31134">
        <w:rPr>
          <w:rStyle w:val="FootnoteReference"/>
        </w:rPr>
        <w:footnoteReference w:id="8"/>
      </w:r>
      <w:r w:rsidRPr="00E31134">
        <w:t>,</w:t>
      </w:r>
    </w:p>
    <w:p w14:paraId="286E3A4E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13 de dezembro de 2022, sobre o tema «Rumo à igualdade de direitos para as pessoas com deficiência»</w:t>
      </w:r>
      <w:r w:rsidRPr="00E31134">
        <w:rPr>
          <w:rStyle w:val="FootnoteReference"/>
        </w:rPr>
        <w:footnoteReference w:id="9"/>
      </w:r>
      <w:r w:rsidRPr="00E31134">
        <w:t>,</w:t>
      </w:r>
    </w:p>
    <w:p w14:paraId="27BF9AE7" w14:textId="03CCAAA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10 de novembro de 2022, sobre a justiça racial, a não</w:t>
      </w:r>
      <w:r>
        <w:noBreakHyphen/>
      </w:r>
      <w:r w:rsidRPr="00E31134">
        <w:t>discriminação e a luta contra o racismo na UE</w:t>
      </w:r>
      <w:r w:rsidRPr="00E31134">
        <w:rPr>
          <w:rStyle w:val="FootnoteReference"/>
        </w:rPr>
        <w:footnoteReference w:id="10"/>
      </w:r>
      <w:r w:rsidRPr="00E31134">
        <w:t>,</w:t>
      </w:r>
    </w:p>
    <w:p w14:paraId="7CA65E37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8 de março de 2022, sobre a redução do espaço reservado à sociedade civil na Europa</w:t>
      </w:r>
      <w:r w:rsidRPr="00E31134">
        <w:rPr>
          <w:rStyle w:val="FootnoteReference"/>
        </w:rPr>
        <w:footnoteReference w:id="11"/>
      </w:r>
      <w:r w:rsidRPr="00E31134">
        <w:t>,</w:t>
      </w:r>
    </w:p>
    <w:p w14:paraId="15795D11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14 de dezembro de 2021, que contém recomendações à Comissão sobre o combate à violência com base no género: ciberviolência</w:t>
      </w:r>
      <w:r w:rsidRPr="00E31134">
        <w:rPr>
          <w:rStyle w:val="FootnoteReference"/>
        </w:rPr>
        <w:footnoteReference w:id="12"/>
      </w:r>
      <w:r w:rsidRPr="00E31134">
        <w:t>,</w:t>
      </w:r>
    </w:p>
    <w:p w14:paraId="6BF41D08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16 de setembro de 2021, que contém recomendações à Comissão sobre a inclusão da violência com base no género nos domínios de criminalidade enunciados no artigo 83.º, n.º 1, do TFUE</w:t>
      </w:r>
      <w:r w:rsidRPr="00E31134">
        <w:rPr>
          <w:rStyle w:val="FootnoteReference"/>
        </w:rPr>
        <w:footnoteReference w:id="13"/>
      </w:r>
      <w:r w:rsidRPr="00E31134">
        <w:t>, e a sua Resolução, de 18 de janeiro de 2024, intitulada «Alargar a lista de crimes da UE ao discurso de ódio e aos crimes de ódio»</w:t>
      </w:r>
      <w:r w:rsidRPr="00E31134">
        <w:rPr>
          <w:rStyle w:val="FootnoteReference"/>
        </w:rPr>
        <w:footnoteReference w:id="14"/>
      </w:r>
      <w:r w:rsidRPr="00E31134">
        <w:t>,</w:t>
      </w:r>
    </w:p>
    <w:p w14:paraId="0F0A9D2B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a sua Resolução, de 7 de outubro de 2020, sobre a criação de um mecanismo da UE para a democracia, o Estado de direito e os direitos fundamentais</w:t>
      </w:r>
      <w:r w:rsidRPr="00E31134">
        <w:rPr>
          <w:rStyle w:val="FootnoteReference"/>
        </w:rPr>
        <w:footnoteReference w:id="15"/>
      </w:r>
      <w:r w:rsidRPr="00E31134">
        <w:t>,</w:t>
      </w:r>
    </w:p>
    <w:p w14:paraId="253C2568" w14:textId="77777777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artigo 55.º do seu Regimento,</w:t>
      </w:r>
    </w:p>
    <w:p w14:paraId="0F73D5C2" w14:textId="7D0F23AE" w:rsidR="00D449A2" w:rsidRPr="00E31134" w:rsidRDefault="00A666F1" w:rsidP="00D449A2">
      <w:pPr>
        <w:pStyle w:val="NormalHanging12a"/>
      </w:pPr>
      <w:r w:rsidRPr="00E31134">
        <w:t>–</w:t>
      </w:r>
      <w:r w:rsidRPr="00E31134">
        <w:tab/>
        <w:t>Tendo em conta o relatório da Comissão das Liberdades Cívicas, da Justiça e dos Assuntos Internos (A10</w:t>
      </w:r>
      <w:r>
        <w:noBreakHyphen/>
      </w:r>
      <w:r w:rsidRPr="00E31134">
        <w:t>0000/2025),</w:t>
      </w:r>
    </w:p>
    <w:p w14:paraId="69DC382F" w14:textId="3CD7B8EA" w:rsidR="00D449A2" w:rsidRPr="00E31134" w:rsidRDefault="00A666F1" w:rsidP="00D449A2">
      <w:pPr>
        <w:pStyle w:val="NormalHanging12a"/>
      </w:pPr>
      <w:r w:rsidRPr="00E31134">
        <w:t>A.</w:t>
      </w:r>
      <w:r w:rsidRPr="00E31134">
        <w:tab/>
        <w:t>Considerando que se observa um retrocesso democrático em vários Estados</w:t>
      </w:r>
      <w:r>
        <w:noBreakHyphen/>
      </w:r>
      <w:r w:rsidRPr="00E31134">
        <w:t>Membros;</w:t>
      </w:r>
    </w:p>
    <w:p w14:paraId="40645291" w14:textId="77777777" w:rsidR="00D449A2" w:rsidRPr="00E31134" w:rsidRDefault="00A666F1" w:rsidP="00D449A2">
      <w:pPr>
        <w:pStyle w:val="NormalHanging12a"/>
      </w:pPr>
      <w:r w:rsidRPr="00E31134">
        <w:t>B.</w:t>
      </w:r>
      <w:r w:rsidRPr="00E31134">
        <w:tab/>
        <w:t>Considerando que a corrupção continua a suscitar grande preocupação;</w:t>
      </w:r>
    </w:p>
    <w:p w14:paraId="63C0694D" w14:textId="77777777" w:rsidR="00D449A2" w:rsidRPr="00E31134" w:rsidRDefault="00A666F1" w:rsidP="00D449A2">
      <w:pPr>
        <w:pStyle w:val="NormalHanging12a"/>
      </w:pPr>
      <w:r w:rsidRPr="00E31134">
        <w:t>C.</w:t>
      </w:r>
      <w:r w:rsidRPr="00E31134">
        <w:tab/>
        <w:t>Considerando que a liberdade dos meios de comunicação social continua sob ameaça em toda a UE, especialmente na Bulgária, na Grécia, em Itália, na Hungria e na Eslováquia; que as ações judiciais estratégicas contra a participação pública continuam a constituir uma ameaça à liberdade dos meios de comunicação social;</w:t>
      </w:r>
    </w:p>
    <w:p w14:paraId="6794AD00" w14:textId="77777777" w:rsidR="00D449A2" w:rsidRPr="00E31134" w:rsidRDefault="00A666F1" w:rsidP="00D449A2">
      <w:pPr>
        <w:pStyle w:val="NormalHanging12a"/>
      </w:pPr>
      <w:r w:rsidRPr="00E31134">
        <w:t>D.</w:t>
      </w:r>
      <w:r w:rsidRPr="00E31134">
        <w:tab/>
        <w:t>Considerando que os jornalistas e os profissionais dos meios de comunicação social sofrem de condições precárias e de um ambiente inseguro;</w:t>
      </w:r>
    </w:p>
    <w:p w14:paraId="4DBDC6C5" w14:textId="77777777" w:rsidR="00D449A2" w:rsidRPr="00E31134" w:rsidRDefault="00A666F1" w:rsidP="00D449A2">
      <w:pPr>
        <w:pStyle w:val="NormalHanging12a"/>
      </w:pPr>
      <w:r w:rsidRPr="00E31134">
        <w:t>E.</w:t>
      </w:r>
      <w:r w:rsidRPr="00E31134">
        <w:tab/>
        <w:t>Considerando que a disseminação da desinformação polariza e enfraquece a democracia;</w:t>
      </w:r>
    </w:p>
    <w:p w14:paraId="047F5161" w14:textId="77777777" w:rsidR="00D449A2" w:rsidRPr="00E31134" w:rsidRDefault="00A666F1" w:rsidP="00D449A2">
      <w:pPr>
        <w:pStyle w:val="NormalHanging12a"/>
      </w:pPr>
      <w:r w:rsidRPr="00E31134">
        <w:t>F.</w:t>
      </w:r>
      <w:r w:rsidRPr="00E31134">
        <w:tab/>
        <w:t xml:space="preserve">Considerando que as novas tecnologias, incluindo os sistemas de IA, correm o risco de agravar a discriminação e as desigualdades existentes; que a utilização de </w:t>
      </w:r>
      <w:r w:rsidRPr="00E31134">
        <w:rPr>
          <w:i/>
          <w:iCs/>
        </w:rPr>
        <w:t>software</w:t>
      </w:r>
      <w:r w:rsidRPr="00E31134">
        <w:t xml:space="preserve"> espião, o reconhecimento facial e as tecnologias de vigilância em larga escala representam práticas abusivas e não democráticas;</w:t>
      </w:r>
    </w:p>
    <w:p w14:paraId="2361B99A" w14:textId="684C7338" w:rsidR="00D449A2" w:rsidRPr="00E31134" w:rsidRDefault="00A666F1" w:rsidP="00D449A2">
      <w:pPr>
        <w:pStyle w:val="NormalHanging12a"/>
      </w:pPr>
      <w:r w:rsidRPr="00E31134">
        <w:t>G.</w:t>
      </w:r>
      <w:r w:rsidRPr="00E31134">
        <w:tab/>
        <w:t>Considerando que o respeito pelos valores da União consagrados no artigo 2.º do TUE é um pré</w:t>
      </w:r>
      <w:r>
        <w:noBreakHyphen/>
      </w:r>
      <w:r w:rsidRPr="00E31134">
        <w:t>requisito fundamental para o acesso aos fundos da UE;</w:t>
      </w:r>
    </w:p>
    <w:p w14:paraId="771A07BB" w14:textId="77777777" w:rsidR="00D449A2" w:rsidRPr="00E31134" w:rsidRDefault="00A666F1" w:rsidP="00D449A2">
      <w:pPr>
        <w:pStyle w:val="NormalHanging12a"/>
      </w:pPr>
      <w:r w:rsidRPr="00E31134">
        <w:t>H.</w:t>
      </w:r>
      <w:r w:rsidRPr="00E31134">
        <w:tab/>
        <w:t>Considerando que o comissário para os Direitos Humanos do Conselho da Europa recomenda a realização de avaliações exaustivas do risco de violações dos direitos humanos antes de se iniciar uma cooperação externa;</w:t>
      </w:r>
    </w:p>
    <w:p w14:paraId="3CA79961" w14:textId="77777777" w:rsidR="00D449A2" w:rsidRPr="00E31134" w:rsidRDefault="00A666F1" w:rsidP="00D449A2">
      <w:pPr>
        <w:pStyle w:val="NormalHanging12a"/>
      </w:pPr>
      <w:r w:rsidRPr="00E31134">
        <w:t>I.</w:t>
      </w:r>
      <w:r w:rsidRPr="00E31134">
        <w:tab/>
        <w:t>Considerando que as tentativas de suspender o registo dos pedidos de asilo são motivo de grande preocupação; que os direitos humanos das pessoas em causa devem ser respeitados, que as suas necessidades de proteção devem ser avaliadas e que as pessoas que preenchem as condições para beneficiar de proteção internacional devem ter acesso a medidas de proteção significativas;</w:t>
      </w:r>
    </w:p>
    <w:p w14:paraId="04B3EF3D" w14:textId="77777777" w:rsidR="00D449A2" w:rsidRPr="00E31134" w:rsidRDefault="00A666F1" w:rsidP="00D449A2">
      <w:pPr>
        <w:pStyle w:val="NormalHanging12a"/>
      </w:pPr>
      <w:r w:rsidRPr="00E31134">
        <w:t>J.</w:t>
      </w:r>
      <w:r w:rsidRPr="00E31134">
        <w:tab/>
        <w:t>Considerando que a violência contra as mulheres e as pessoas LGBTIQ+ baseada no género continua a ser generalizada, em especial para as pessoas que sofrem formas múltiplas e cruzadas de discriminação; que a recusa de acesso ao aborto seguro e legal constitui uma forma de violência baseada no género;</w:t>
      </w:r>
    </w:p>
    <w:p w14:paraId="05EDB834" w14:textId="77777777" w:rsidR="00D449A2" w:rsidRPr="00E31134" w:rsidRDefault="00A666F1" w:rsidP="00D449A2">
      <w:pPr>
        <w:pStyle w:val="NormalHanging12a"/>
      </w:pPr>
      <w:r w:rsidRPr="00E31134">
        <w:t>K.</w:t>
      </w:r>
      <w:r w:rsidRPr="00E31134">
        <w:tab/>
        <w:t>Considerando o espaço da sociedade civil em toda a UE está a ser alvo de ataques sem precedentes e cada vez mais intensos; que os ataques às organizações da sociedade civil (OSC) e aos defensores dos direitos humanos que protegem e promovem os valores da União aumentaram e continuam a ser motivo de grande preocupação;</w:t>
      </w:r>
    </w:p>
    <w:p w14:paraId="0BC0497B" w14:textId="3C53FD95" w:rsidR="00D449A2" w:rsidRPr="00E31134" w:rsidRDefault="00A666F1" w:rsidP="00D449A2">
      <w:pPr>
        <w:pStyle w:val="NormalHanging12a"/>
      </w:pPr>
      <w:r w:rsidRPr="00E31134">
        <w:t>L.</w:t>
      </w:r>
      <w:r w:rsidRPr="00E31134">
        <w:tab/>
        <w:t>Considerando que, em alguns Estados</w:t>
      </w:r>
      <w:r>
        <w:noBreakHyphen/>
      </w:r>
      <w:r w:rsidRPr="00E31134">
        <w:t>Membros, como Chipre, França, Grécia, Itália, Malta, Polónia e Espanha, as OSC e os defensores dos direitos humanos foram alvo de ações penais por prestarem assistência a refugiados e migrantes;</w:t>
      </w:r>
    </w:p>
    <w:p w14:paraId="6ACFBC10" w14:textId="77777777" w:rsidR="00D449A2" w:rsidRPr="00E31134" w:rsidRDefault="00A666F1" w:rsidP="00D449A2">
      <w:pPr>
        <w:pStyle w:val="NormalHanging12a"/>
      </w:pPr>
      <w:r w:rsidRPr="00E31134">
        <w:t>M.</w:t>
      </w:r>
      <w:r w:rsidRPr="00E31134">
        <w:tab/>
        <w:t>Considerando que o financiamento da União para a sociedade civil deve ser assegurado no próximo quadro financeiro plurianual (QFP);</w:t>
      </w:r>
    </w:p>
    <w:p w14:paraId="3E6E9D7C" w14:textId="77777777" w:rsidR="00D449A2" w:rsidRPr="00E31134" w:rsidRDefault="00A666F1" w:rsidP="00D449A2">
      <w:pPr>
        <w:pStyle w:val="NormalHanging12a"/>
      </w:pPr>
      <w:r w:rsidRPr="00E31134">
        <w:t>N.</w:t>
      </w:r>
      <w:r w:rsidRPr="00E31134">
        <w:tab/>
        <w:t>Considerando que o racismo institucionalizado está enraizado nas políticas governamentais e nos serviços públicos, como por exemplo, nas forças policiais;</w:t>
      </w:r>
    </w:p>
    <w:p w14:paraId="349C78A3" w14:textId="77777777" w:rsidR="00D449A2" w:rsidRPr="00E31134" w:rsidRDefault="00A666F1" w:rsidP="00D449A2">
      <w:pPr>
        <w:pStyle w:val="NormalHanging12a"/>
      </w:pPr>
      <w:r w:rsidRPr="00E31134">
        <w:t>O.</w:t>
      </w:r>
      <w:r w:rsidRPr="00E31134">
        <w:tab/>
        <w:t>Considerando que os inquéritos realizados pela FRA a pessoas negras, judias, muçulmanas e LGBTIQ+ na UE revelam que estas são vítimas de ódio generalizado;</w:t>
      </w:r>
    </w:p>
    <w:p w14:paraId="71CCCFD7" w14:textId="77777777" w:rsidR="00D449A2" w:rsidRPr="00E31134" w:rsidRDefault="00A666F1" w:rsidP="00D449A2">
      <w:pPr>
        <w:pStyle w:val="NormalHanging12a"/>
        <w:rPr>
          <w:b/>
          <w:bCs/>
          <w:i/>
          <w:iCs/>
        </w:rPr>
      </w:pPr>
      <w:r w:rsidRPr="00E31134">
        <w:rPr>
          <w:b/>
          <w:i/>
        </w:rPr>
        <w:t>Direitos fundamentais em causa</w:t>
      </w:r>
    </w:p>
    <w:p w14:paraId="594E6802" w14:textId="4FDB36DD" w:rsidR="00D449A2" w:rsidRPr="00E31134" w:rsidRDefault="00A666F1" w:rsidP="00D449A2">
      <w:pPr>
        <w:pStyle w:val="NormalHanging12a"/>
      </w:pPr>
      <w:r w:rsidRPr="00E31134">
        <w:t>1.</w:t>
      </w:r>
      <w:r w:rsidRPr="00E31134">
        <w:tab/>
        <w:t>Insta a Comissão e os Estados</w:t>
      </w:r>
      <w:r>
        <w:noBreakHyphen/>
      </w:r>
      <w:r w:rsidRPr="00E31134">
        <w:t>Membros a respeitarem e promoverem os valores da UE consagrados no artigo 2.º do TUE;</w:t>
      </w:r>
    </w:p>
    <w:p w14:paraId="2FF90D23" w14:textId="77777777" w:rsidR="00D449A2" w:rsidRPr="00E31134" w:rsidRDefault="00A666F1" w:rsidP="00D449A2">
      <w:pPr>
        <w:pStyle w:val="NormalHanging12a"/>
      </w:pPr>
      <w:r w:rsidRPr="00E31134">
        <w:t>2.</w:t>
      </w:r>
      <w:r w:rsidRPr="00E31134">
        <w:tab/>
        <w:t>Exorta a Comissão a melhorar os relatórios anuais sobre a aplicação da Carta;</w:t>
      </w:r>
    </w:p>
    <w:p w14:paraId="0079CD96" w14:textId="77777777" w:rsidR="00D449A2" w:rsidRPr="00E31134" w:rsidRDefault="00A666F1" w:rsidP="00D449A2">
      <w:pPr>
        <w:pStyle w:val="NormalHanging12a"/>
      </w:pPr>
      <w:r w:rsidRPr="00E31134">
        <w:t>3.</w:t>
      </w:r>
      <w:r w:rsidRPr="00E31134">
        <w:tab/>
        <w:t>Sublinha a necessidade de reforçar os mecanismos de acompanhamento e avaliação;</w:t>
      </w:r>
    </w:p>
    <w:p w14:paraId="5BD0AD1C" w14:textId="77777777" w:rsidR="00D449A2" w:rsidRPr="00E31134" w:rsidRDefault="00A666F1" w:rsidP="00D449A2">
      <w:pPr>
        <w:pStyle w:val="NormalHanging12a"/>
        <w:rPr>
          <w:b/>
          <w:bCs/>
          <w:i/>
          <w:iCs/>
        </w:rPr>
      </w:pPr>
      <w:r w:rsidRPr="00E31134">
        <w:rPr>
          <w:b/>
          <w:i/>
        </w:rPr>
        <w:t>Democracia sob pressão</w:t>
      </w:r>
    </w:p>
    <w:p w14:paraId="6F8DFF29" w14:textId="77777777" w:rsidR="00D449A2" w:rsidRPr="00E31134" w:rsidRDefault="00A666F1" w:rsidP="00D449A2">
      <w:pPr>
        <w:pStyle w:val="NormalHanging12a"/>
      </w:pPr>
      <w:r w:rsidRPr="00E31134">
        <w:t>4.</w:t>
      </w:r>
      <w:r w:rsidRPr="00E31134">
        <w:tab/>
        <w:t>Reitera a necessidade de criar um mecanismo da UE para a democracia, o Estado de direito e os direitos fundamentais;</w:t>
      </w:r>
    </w:p>
    <w:p w14:paraId="3582B418" w14:textId="227BD0B2" w:rsidR="00D449A2" w:rsidRPr="00E31134" w:rsidRDefault="00A666F1" w:rsidP="00D449A2">
      <w:pPr>
        <w:pStyle w:val="NormalHanging12a"/>
      </w:pPr>
      <w:r w:rsidRPr="00E31134">
        <w:t>5.</w:t>
      </w:r>
      <w:r w:rsidRPr="00E31134">
        <w:tab/>
        <w:t>Insta os Estados</w:t>
      </w:r>
      <w:r>
        <w:noBreakHyphen/>
      </w:r>
      <w:r w:rsidRPr="00E31134">
        <w:t>Membros a combaterem a corrupção e a cumprirem integralmente as recomendações do GRECO;</w:t>
      </w:r>
    </w:p>
    <w:p w14:paraId="7243BB48" w14:textId="7D6EDAD9" w:rsidR="00D449A2" w:rsidRPr="00E31134" w:rsidRDefault="00A666F1" w:rsidP="00D449A2">
      <w:pPr>
        <w:pStyle w:val="NormalHanging12a"/>
      </w:pPr>
      <w:r w:rsidRPr="00E31134">
        <w:t>6.</w:t>
      </w:r>
      <w:r w:rsidRPr="00E31134">
        <w:tab/>
        <w:t>Manifesta a sua profunda preocupação com a pressão crescente, a interferência política e os ataques aos meios de comunicação social e ao jornalismo em vários Estados</w:t>
      </w:r>
      <w:r>
        <w:noBreakHyphen/>
      </w:r>
      <w:r w:rsidRPr="00E31134">
        <w:t>Membros, incluindo a falta de independência dos meios de comunicação social de serviço público;</w:t>
      </w:r>
    </w:p>
    <w:p w14:paraId="2B74ACB3" w14:textId="35EBF5F6" w:rsidR="00D449A2" w:rsidRPr="00E31134" w:rsidRDefault="00A666F1" w:rsidP="00D449A2">
      <w:pPr>
        <w:pStyle w:val="NormalHanging12a"/>
      </w:pPr>
      <w:r w:rsidRPr="00E31134">
        <w:t>7.</w:t>
      </w:r>
      <w:r w:rsidRPr="00E31134">
        <w:tab/>
        <w:t>Lamenta as falhas sistémicas na investigação e no exercício da ação penal relativamente a crimes contra jornalistas em vários Estados</w:t>
      </w:r>
      <w:r>
        <w:noBreakHyphen/>
      </w:r>
      <w:r w:rsidRPr="00E31134">
        <w:t>Membros, como Malta, Grécia e Eslováquia;</w:t>
      </w:r>
    </w:p>
    <w:p w14:paraId="3612061A" w14:textId="74B86790" w:rsidR="00D449A2" w:rsidRPr="00E31134" w:rsidRDefault="00A666F1" w:rsidP="00D449A2">
      <w:pPr>
        <w:pStyle w:val="NormalHanging12a"/>
      </w:pPr>
      <w:r w:rsidRPr="00E31134">
        <w:t>8.</w:t>
      </w:r>
      <w:r w:rsidRPr="00E31134">
        <w:tab/>
        <w:t>Insta a Comissão e os Estados</w:t>
      </w:r>
      <w:r>
        <w:noBreakHyphen/>
      </w:r>
      <w:r w:rsidRPr="00E31134">
        <w:t>Membros a garantirem a segurança e a proteção dos jornalistas e dos intervenientes dos meios de comunicação social e a promoverem meios de comunicação social livres, independentes e pluralistas; exorta a Comissão e os Estados</w:t>
      </w:r>
      <w:r>
        <w:noBreakHyphen/>
      </w:r>
      <w:r w:rsidRPr="00E31134">
        <w:t>Membros a aplicarem as medidas necessárias para pôr termo a todos os casos de ações judiciais estratégicas contra a participação pública na UE;</w:t>
      </w:r>
    </w:p>
    <w:p w14:paraId="6C80DA53" w14:textId="3A11E190" w:rsidR="00D449A2" w:rsidRPr="00E31134" w:rsidRDefault="00A666F1" w:rsidP="00D449A2">
      <w:pPr>
        <w:pStyle w:val="NormalHanging12a"/>
      </w:pPr>
      <w:r w:rsidRPr="00E31134">
        <w:t>9.</w:t>
      </w:r>
      <w:r w:rsidRPr="00E31134">
        <w:tab/>
        <w:t>Partilha da opinião do secretário</w:t>
      </w:r>
      <w:r>
        <w:noBreakHyphen/>
      </w:r>
      <w:r w:rsidRPr="00E31134">
        <w:t>geral das Nações Unidas de que os algoritmos não devem controlar o que as pessoas veem e que as empresas tecnológicas devem utilizar modelos de negócios que não privilegiem o envolvimento em detrimento dos direitos humanos;</w:t>
      </w:r>
    </w:p>
    <w:p w14:paraId="26449BEA" w14:textId="392F9575" w:rsidR="00D449A2" w:rsidRPr="00E31134" w:rsidRDefault="00A666F1" w:rsidP="00D449A2">
      <w:pPr>
        <w:pStyle w:val="NormalHanging12a"/>
      </w:pPr>
      <w:r w:rsidRPr="00E31134">
        <w:t>10.</w:t>
      </w:r>
      <w:r w:rsidRPr="00E31134">
        <w:tab/>
        <w:t>Reitera o seu pedido aos Estados</w:t>
      </w:r>
      <w:r>
        <w:noBreakHyphen/>
      </w:r>
      <w:r w:rsidRPr="00E31134">
        <w:t xml:space="preserve">Membros e, em particular, à Grécia, a Chipre, à Itália, à Hungria, à Polónia e à Espanha para que sigam todas as recomendações da Comissão de Inquérito para Investigar a Utilização do </w:t>
      </w:r>
      <w:r w:rsidRPr="00E31134">
        <w:rPr>
          <w:i/>
          <w:iCs/>
        </w:rPr>
        <w:t>Software</w:t>
      </w:r>
      <w:r w:rsidRPr="00E31134">
        <w:t xml:space="preserve"> Espião de Vigilância Pegasus e Equivalentes (PEGA) e da Comissão de Veneza;</w:t>
      </w:r>
    </w:p>
    <w:p w14:paraId="311E19EE" w14:textId="77777777" w:rsidR="00D449A2" w:rsidRPr="00E31134" w:rsidRDefault="00A666F1" w:rsidP="00D449A2">
      <w:pPr>
        <w:pStyle w:val="NormalHanging12a"/>
      </w:pPr>
      <w:r w:rsidRPr="00E31134">
        <w:t>11.</w:t>
      </w:r>
      <w:r w:rsidRPr="00E31134">
        <w:tab/>
        <w:t>Insta a que a adesão da UE à CEDH seja concluída;</w:t>
      </w:r>
    </w:p>
    <w:p w14:paraId="6AD58298" w14:textId="77777777" w:rsidR="00D449A2" w:rsidRPr="00E31134" w:rsidRDefault="00A666F1" w:rsidP="00D449A2">
      <w:pPr>
        <w:pStyle w:val="NormalHanging12a"/>
        <w:rPr>
          <w:b/>
          <w:i/>
        </w:rPr>
      </w:pPr>
      <w:r w:rsidRPr="00E31134">
        <w:rPr>
          <w:b/>
          <w:i/>
        </w:rPr>
        <w:t>Violações dos direitos fundamentais nas fronteiras</w:t>
      </w:r>
    </w:p>
    <w:p w14:paraId="1BFFF7D5" w14:textId="2A547569" w:rsidR="00D449A2" w:rsidRPr="00E31134" w:rsidRDefault="00A666F1" w:rsidP="00D449A2">
      <w:pPr>
        <w:pStyle w:val="NormalHanging12a"/>
      </w:pPr>
      <w:r w:rsidRPr="00E31134">
        <w:t>12.</w:t>
      </w:r>
      <w:r w:rsidRPr="00E31134">
        <w:tab/>
        <w:t>Condena veementemente as violações generalizadas dos direitos fundamentais nas fronteiras, incluindo os reenvios forçados, que se estão a tornar uma prática sistemática em vários Estados</w:t>
      </w:r>
      <w:r>
        <w:noBreakHyphen/>
      </w:r>
      <w:r w:rsidRPr="00E31134">
        <w:t>Membros;</w:t>
      </w:r>
    </w:p>
    <w:p w14:paraId="45D36E89" w14:textId="35840657" w:rsidR="00D449A2" w:rsidRPr="00E31134" w:rsidRDefault="00A666F1" w:rsidP="00D449A2">
      <w:pPr>
        <w:pStyle w:val="NormalHanging12a"/>
      </w:pPr>
      <w:r w:rsidRPr="00E31134">
        <w:t>13.</w:t>
      </w:r>
      <w:r w:rsidRPr="00E31134">
        <w:tab/>
        <w:t>Exorta a UE e os Estados</w:t>
      </w:r>
      <w:r>
        <w:noBreakHyphen/>
      </w:r>
      <w:r w:rsidRPr="00E31134">
        <w:t>Membros a cumprirem as obrigações e os compromissos internacionais em matéria de direitos humanos e a absterem</w:t>
      </w:r>
      <w:r>
        <w:noBreakHyphen/>
      </w:r>
      <w:r w:rsidRPr="00E31134">
        <w:t>se de adotar políticas de migração que agravam a desigualdade e a exclusão;</w:t>
      </w:r>
    </w:p>
    <w:p w14:paraId="5B445489" w14:textId="3E5A419C" w:rsidR="00D449A2" w:rsidRPr="00E31134" w:rsidRDefault="00A666F1" w:rsidP="00D449A2">
      <w:pPr>
        <w:pStyle w:val="NormalHanging12a"/>
      </w:pPr>
      <w:r w:rsidRPr="00E31134">
        <w:t>14.</w:t>
      </w:r>
      <w:r w:rsidRPr="00E31134">
        <w:tab/>
        <w:t>Insta a Comissão e os Estados</w:t>
      </w:r>
      <w:r>
        <w:noBreakHyphen/>
      </w:r>
      <w:r w:rsidRPr="00E31134">
        <w:t>Membros a porem termo à obstrução sistemática dos esforços não governamentais de busca e salvamento; recorda a necessidade urgente de criar um fundo de busca e salvamento da UE e insta as instituições da UE a atribuírem financiamento adequado para este efeito no próximo QFP;</w:t>
      </w:r>
    </w:p>
    <w:p w14:paraId="676BF2A5" w14:textId="6C9A5B73" w:rsidR="00D449A2" w:rsidRPr="00E31134" w:rsidRDefault="00A666F1" w:rsidP="00D449A2">
      <w:pPr>
        <w:pStyle w:val="NormalHanging12a"/>
      </w:pPr>
      <w:r w:rsidRPr="00E31134">
        <w:t>15.</w:t>
      </w:r>
      <w:r w:rsidRPr="00E31134">
        <w:tab/>
        <w:t>Exorta os Estados</w:t>
      </w:r>
      <w:r>
        <w:noBreakHyphen/>
      </w:r>
      <w:r w:rsidRPr="00E31134">
        <w:t>Membros a seguirem as recomendações do relatório do Comissário para os Direitos Humanos do Conselho da Europa; condena veementemente a retórica recorrente contra os refugiados e os migrantes;</w:t>
      </w:r>
    </w:p>
    <w:p w14:paraId="33488CD8" w14:textId="67134E96" w:rsidR="00D449A2" w:rsidRPr="00E31134" w:rsidRDefault="00A666F1" w:rsidP="00D449A2">
      <w:pPr>
        <w:pStyle w:val="NormalHanging12a"/>
      </w:pPr>
      <w:r w:rsidRPr="00E31134">
        <w:t>16.</w:t>
      </w:r>
      <w:r w:rsidRPr="00E31134">
        <w:tab/>
        <w:t>Insta os Estados</w:t>
      </w:r>
      <w:r>
        <w:noBreakHyphen/>
      </w:r>
      <w:r w:rsidRPr="00E31134">
        <w:t>Membros a aplicarem integralmente o pacto em matéria de migração e asilo; manifesta preocupação com a falta de preparação de alguns Estados</w:t>
      </w:r>
      <w:r>
        <w:noBreakHyphen/>
      </w:r>
      <w:r w:rsidRPr="00E31134">
        <w:t>Membros para cumprir o prazo de execução, em particular no que diz respeito às disposições relativas aos direitos fundamentais;</w:t>
      </w:r>
    </w:p>
    <w:p w14:paraId="014FF956" w14:textId="77777777" w:rsidR="00D449A2" w:rsidRPr="00E31134" w:rsidRDefault="00A666F1" w:rsidP="00D449A2">
      <w:pPr>
        <w:pStyle w:val="NormalHanging12a"/>
        <w:rPr>
          <w:b/>
          <w:i/>
        </w:rPr>
      </w:pPr>
      <w:r w:rsidRPr="00E31134">
        <w:rPr>
          <w:b/>
          <w:i/>
        </w:rPr>
        <w:t>Violência de género, direitos das mulheres e direitos das pessoas LGBTIQ+</w:t>
      </w:r>
    </w:p>
    <w:p w14:paraId="741D1AED" w14:textId="16C08992" w:rsidR="00D449A2" w:rsidRPr="00E31134" w:rsidRDefault="00A666F1" w:rsidP="00D449A2">
      <w:pPr>
        <w:pStyle w:val="NormalHanging12a"/>
      </w:pPr>
      <w:r w:rsidRPr="00E31134">
        <w:t>17.</w:t>
      </w:r>
      <w:r w:rsidRPr="00E31134">
        <w:tab/>
        <w:t>Insta a Comissão e os Estados</w:t>
      </w:r>
      <w:r>
        <w:noBreakHyphen/>
      </w:r>
      <w:r w:rsidRPr="00E31134">
        <w:t>Membros a tomarem as medidas necessárias para combater os movimentos antigénero e antidireitos;</w:t>
      </w:r>
    </w:p>
    <w:p w14:paraId="1B9EE944" w14:textId="530CE235" w:rsidR="00D449A2" w:rsidRPr="00E31134" w:rsidRDefault="00A666F1" w:rsidP="00D449A2">
      <w:pPr>
        <w:pStyle w:val="NormalHanging12a"/>
      </w:pPr>
      <w:r w:rsidRPr="00E31134">
        <w:t>18.</w:t>
      </w:r>
      <w:r w:rsidRPr="00E31134">
        <w:tab/>
        <w:t>Congratula</w:t>
      </w:r>
      <w:r>
        <w:noBreakHyphen/>
      </w:r>
      <w:r w:rsidRPr="00E31134">
        <w:t>se com o Roteiro da UE para os Direitos das Mulheres e com a Declaração de Princípios para uma sociedade igualitária em termos de género, que lhe foi anexada; lamenta, no entanto, a falta de compromissos financeiros sólidos;</w:t>
      </w:r>
    </w:p>
    <w:p w14:paraId="3A679BC3" w14:textId="619FEE62" w:rsidR="00D449A2" w:rsidRPr="00E31134" w:rsidRDefault="00A666F1" w:rsidP="00D449A2">
      <w:pPr>
        <w:pStyle w:val="NormalHanging12a"/>
      </w:pPr>
      <w:r w:rsidRPr="00E31134">
        <w:t>19.</w:t>
      </w:r>
      <w:r w:rsidRPr="00E31134">
        <w:tab/>
        <w:t>Insta a UE e os Estados</w:t>
      </w:r>
      <w:r>
        <w:noBreakHyphen/>
      </w:r>
      <w:r w:rsidRPr="00E31134">
        <w:t>Membros a combaterem todas as formas de violência baseada no género e a combaterem as suas causas profundas, incluindo a ciberviolência de género; renova o seu pedido à Comissão para que reconheça a violência baseada no género como um novo crime ao nível da UE nos termos do artigo 83.º, n.º 1, do TFUE;</w:t>
      </w:r>
    </w:p>
    <w:p w14:paraId="33CF5B50" w14:textId="77777777" w:rsidR="00D449A2" w:rsidRPr="00E31134" w:rsidRDefault="00A666F1" w:rsidP="00D449A2">
      <w:pPr>
        <w:pStyle w:val="NormalHanging12a"/>
      </w:pPr>
      <w:r w:rsidRPr="00E31134">
        <w:t>20.</w:t>
      </w:r>
      <w:r w:rsidRPr="00E31134">
        <w:tab/>
        <w:t>Reitera o seu apelo à inclusão do direito ao aborto na Carta; salienta que ainda não existe uma definição da UE de violação baseada na falta de consentimento;</w:t>
      </w:r>
    </w:p>
    <w:p w14:paraId="34EECCE0" w14:textId="77777777" w:rsidR="00D449A2" w:rsidRPr="00E31134" w:rsidRDefault="00A666F1" w:rsidP="00D449A2">
      <w:pPr>
        <w:pStyle w:val="NormalHanging12a"/>
      </w:pPr>
      <w:r w:rsidRPr="00E31134">
        <w:t>21.</w:t>
      </w:r>
      <w:r w:rsidRPr="00E31134">
        <w:tab/>
        <w:t>Exorta a Bulgária, a Chéquia, a Hungria, a Lituânia e a Eslováquia a ratificarem a Convenção de Istambul;</w:t>
      </w:r>
    </w:p>
    <w:p w14:paraId="48368BC9" w14:textId="77777777" w:rsidR="00D449A2" w:rsidRPr="00E31134" w:rsidRDefault="00A666F1" w:rsidP="00D449A2">
      <w:pPr>
        <w:pStyle w:val="NormalHanging12a"/>
      </w:pPr>
      <w:r w:rsidRPr="00E31134">
        <w:rPr>
          <w:b/>
          <w:i/>
        </w:rPr>
        <w:t>Sociedade civil ameaçada</w:t>
      </w:r>
    </w:p>
    <w:p w14:paraId="6F9D72C3" w14:textId="59377BA1" w:rsidR="00D449A2" w:rsidRPr="00E31134" w:rsidRDefault="00A666F1" w:rsidP="00D449A2">
      <w:pPr>
        <w:pStyle w:val="NormalHanging12a"/>
      </w:pPr>
      <w:r w:rsidRPr="00E31134">
        <w:t>22.</w:t>
      </w:r>
      <w:r w:rsidRPr="00E31134">
        <w:tab/>
        <w:t>Insta a Comissão e os Estados</w:t>
      </w:r>
      <w:r>
        <w:noBreakHyphen/>
      </w:r>
      <w:r w:rsidRPr="00E31134">
        <w:t>Membros a assegurarem e promoverem o envolvimento e a participação efetiva dos cidadãos e das OSC na elaboração de políticas;</w:t>
      </w:r>
    </w:p>
    <w:p w14:paraId="06488D64" w14:textId="77777777" w:rsidR="00D449A2" w:rsidRPr="00E31134" w:rsidRDefault="00A666F1" w:rsidP="00D449A2">
      <w:pPr>
        <w:pStyle w:val="NormalHanging12a"/>
      </w:pPr>
      <w:r w:rsidRPr="00E31134">
        <w:t>23.</w:t>
      </w:r>
      <w:r w:rsidRPr="00E31134">
        <w:tab/>
        <w:t>Exorta a Comissão a garantir que a futura estratégia da UE para a sociedade civil apoie, proteja e capacite as OSC e os defensores dos direitos humanos que protegem e promovem os valores da UE e a criar um mecanismo de resposta rápida na União para os apoiar;</w:t>
      </w:r>
    </w:p>
    <w:p w14:paraId="2864F432" w14:textId="166A719E" w:rsidR="00D449A2" w:rsidRPr="00E31134" w:rsidRDefault="00A666F1" w:rsidP="00D449A2">
      <w:pPr>
        <w:pStyle w:val="NormalHanging12a"/>
      </w:pPr>
      <w:r w:rsidRPr="00E31134">
        <w:t>24.</w:t>
      </w:r>
      <w:r w:rsidRPr="00E31134">
        <w:tab/>
        <w:t>Condena veementemente a contínua criminalização da solidariedade e insta os Estados</w:t>
      </w:r>
      <w:r>
        <w:noBreakHyphen/>
      </w:r>
      <w:r w:rsidRPr="00E31134">
        <w:t>Membros a absterem</w:t>
      </w:r>
      <w:r>
        <w:noBreakHyphen/>
      </w:r>
      <w:r w:rsidRPr="00E31134">
        <w:t>se de tal prática;</w:t>
      </w:r>
    </w:p>
    <w:p w14:paraId="43F8E4DA" w14:textId="30260A1D" w:rsidR="00D449A2" w:rsidRPr="00E31134" w:rsidRDefault="00A666F1" w:rsidP="00D449A2">
      <w:pPr>
        <w:pStyle w:val="NormalHanging12a"/>
      </w:pPr>
      <w:r w:rsidRPr="00E31134">
        <w:t>25.</w:t>
      </w:r>
      <w:r w:rsidRPr="00E31134">
        <w:tab/>
        <w:t>Insta a Comissão e os Estados</w:t>
      </w:r>
      <w:r>
        <w:noBreakHyphen/>
      </w:r>
      <w:r w:rsidRPr="00E31134">
        <w:t>Membros a garantirem que as pessoas possam exercer o seu direito de reunião pacífica, instando</w:t>
      </w:r>
      <w:r>
        <w:noBreakHyphen/>
      </w:r>
      <w:r w:rsidRPr="00E31134">
        <w:t>os ainda a absterem</w:t>
      </w:r>
      <w:r>
        <w:noBreakHyphen/>
      </w:r>
      <w:r w:rsidRPr="00E31134">
        <w:t>se de apresentar qualquer iniciativa que possa ter um efeito dissuasor no espaço da sociedade civil;</w:t>
      </w:r>
    </w:p>
    <w:p w14:paraId="3E704BFF" w14:textId="77777777" w:rsidR="00D449A2" w:rsidRPr="00E31134" w:rsidRDefault="00A666F1" w:rsidP="00D449A2">
      <w:pPr>
        <w:pStyle w:val="NormalHanging12a"/>
        <w:rPr>
          <w:b/>
          <w:i/>
        </w:rPr>
      </w:pPr>
      <w:r w:rsidRPr="00E31134">
        <w:rPr>
          <w:b/>
          <w:i/>
        </w:rPr>
        <w:t>Racismo e discriminação estruturais</w:t>
      </w:r>
    </w:p>
    <w:p w14:paraId="75205671" w14:textId="77777777" w:rsidR="00D449A2" w:rsidRPr="00E31134" w:rsidRDefault="00A666F1" w:rsidP="00D449A2">
      <w:pPr>
        <w:pStyle w:val="NormalHanging12a"/>
      </w:pPr>
      <w:r w:rsidRPr="00E31134">
        <w:t>26.</w:t>
      </w:r>
      <w:r w:rsidRPr="00E31134">
        <w:tab/>
        <w:t>Reitera os seus apelos para que se desbloqueie a diretiva horizontal de luta contra a discriminação;</w:t>
      </w:r>
    </w:p>
    <w:p w14:paraId="74A120F6" w14:textId="77777777" w:rsidR="00D449A2" w:rsidRPr="00E31134" w:rsidRDefault="00A666F1" w:rsidP="00D449A2">
      <w:pPr>
        <w:pStyle w:val="NormalHanging12a"/>
      </w:pPr>
      <w:r w:rsidRPr="00E31134">
        <w:t>27.</w:t>
      </w:r>
      <w:r w:rsidRPr="00E31134">
        <w:tab/>
        <w:t>Exorta a Comissão a apresentar estratégias ambiciosas em matéria de igualdade e de luta contra o racismo;</w:t>
      </w:r>
    </w:p>
    <w:p w14:paraId="647A7D91" w14:textId="536E61EE" w:rsidR="00D449A2" w:rsidRPr="00E31134" w:rsidRDefault="00A666F1" w:rsidP="00D449A2">
      <w:pPr>
        <w:pStyle w:val="NormalHanging12a"/>
      </w:pPr>
      <w:r w:rsidRPr="00E31134">
        <w:t>28.</w:t>
      </w:r>
      <w:r w:rsidRPr="00E31134">
        <w:tab/>
        <w:t>Apela a que a Comissão e os Estados</w:t>
      </w:r>
      <w:r>
        <w:noBreakHyphen/>
      </w:r>
      <w:r w:rsidRPr="00E31134">
        <w:t>Membros combatam a xenofobia, o racismo, a misoginia, a homofobia, a transfobia e outras formas de preconceito, intolerância, discriminação e ódio contra pessoas vulneráveis;</w:t>
      </w:r>
    </w:p>
    <w:p w14:paraId="4A301BC9" w14:textId="542BD94F" w:rsidR="00D449A2" w:rsidRPr="00E31134" w:rsidRDefault="00A666F1" w:rsidP="00D449A2">
      <w:pPr>
        <w:pStyle w:val="NormalHanging12a"/>
      </w:pPr>
      <w:r w:rsidRPr="00E31134">
        <w:t>29.</w:t>
      </w:r>
      <w:r w:rsidRPr="00E31134">
        <w:tab/>
        <w:t>Insta os Estados</w:t>
      </w:r>
      <w:r>
        <w:noBreakHyphen/>
      </w:r>
      <w:r w:rsidRPr="00E31134">
        <w:t>Membros, em particular a Hungria e a Eslováquia, a reverem as leis que discriminam as pessoas LGBTIQ+ e as famílias arco</w:t>
      </w:r>
      <w:r>
        <w:noBreakHyphen/>
      </w:r>
      <w:r w:rsidRPr="00E31134">
        <w:t>íris e a absterem</w:t>
      </w:r>
      <w:r>
        <w:noBreakHyphen/>
      </w:r>
      <w:r w:rsidRPr="00E31134">
        <w:t>se de apresentar iniciativas que possam comprometer os direitos das pessoas LGBTIQ+, incluindo as chamadas leis de propaganda anti</w:t>
      </w:r>
      <w:r>
        <w:noBreakHyphen/>
      </w:r>
      <w:r w:rsidRPr="00E31134">
        <w:t>LGBTI, e a proibirem terapias de conversão;</w:t>
      </w:r>
    </w:p>
    <w:p w14:paraId="32A6CE61" w14:textId="7C17D711" w:rsidR="00D449A2" w:rsidRPr="00E31134" w:rsidRDefault="00A666F1" w:rsidP="00D449A2">
      <w:pPr>
        <w:pStyle w:val="NormalHanging12a"/>
      </w:pPr>
      <w:r w:rsidRPr="00E31134">
        <w:t>30.</w:t>
      </w:r>
      <w:r w:rsidRPr="00E31134">
        <w:tab/>
        <w:t>Exorta a Comissão e os Estados</w:t>
      </w:r>
      <w:r>
        <w:noBreakHyphen/>
      </w:r>
      <w:r w:rsidRPr="00E31134">
        <w:t>Membros a combaterem a discriminação e a exclusão social de que são vítimas os ciganos e as pessoas com deficiência;</w:t>
      </w:r>
    </w:p>
    <w:p w14:paraId="44482958" w14:textId="77777777" w:rsidR="00D449A2" w:rsidRPr="00E31134" w:rsidRDefault="00A666F1" w:rsidP="00D449A2">
      <w:pPr>
        <w:pStyle w:val="NormalHanging12a"/>
        <w:rPr>
          <w:b/>
          <w:i/>
        </w:rPr>
      </w:pPr>
      <w:r w:rsidRPr="00E31134">
        <w:rPr>
          <w:b/>
          <w:i/>
        </w:rPr>
        <w:t>Direitos ambientais, sociais e económicos em risco</w:t>
      </w:r>
    </w:p>
    <w:p w14:paraId="1F66E119" w14:textId="2DBFFFA6" w:rsidR="00D449A2" w:rsidRPr="00E31134" w:rsidRDefault="00A666F1" w:rsidP="00D449A2">
      <w:pPr>
        <w:pStyle w:val="NormalHanging12a"/>
      </w:pPr>
      <w:r w:rsidRPr="00E31134">
        <w:t>31.</w:t>
      </w:r>
      <w:r w:rsidRPr="00E31134">
        <w:tab/>
        <w:t>Insta a Comissão e os Estados</w:t>
      </w:r>
      <w:r>
        <w:noBreakHyphen/>
      </w:r>
      <w:r w:rsidRPr="00E31134">
        <w:t>Membros a garantirem um nível de vida adequado e um ambiente saudável para todos, incluindo o acesso à habitação, a uma educação de qualidade, à segurança social e aos cuidados de saúde;</w:t>
      </w:r>
    </w:p>
    <w:p w14:paraId="48D6448A" w14:textId="79BEF024" w:rsidR="00D449A2" w:rsidRPr="00E31134" w:rsidRDefault="00A666F1" w:rsidP="00D449A2">
      <w:pPr>
        <w:pStyle w:val="NormalHanging12a"/>
      </w:pPr>
      <w:r w:rsidRPr="00E31134">
        <w:t>32.</w:t>
      </w:r>
      <w:r w:rsidRPr="00E31134">
        <w:tab/>
        <w:t>Encarrega a sua Presidente de transmitir a presente resolução ao Conselho, à Comissão e aos governos e parlamentos dos Estados</w:t>
      </w:r>
      <w:r>
        <w:noBreakHyphen/>
      </w:r>
      <w:r w:rsidRPr="00E31134">
        <w:t>Membros.</w:t>
      </w:r>
    </w:p>
    <w:p w14:paraId="5F102E69" w14:textId="77777777" w:rsidR="00D449A2" w:rsidRPr="00E31134" w:rsidRDefault="00D449A2" w:rsidP="00D449A2">
      <w:pPr>
        <w:sectPr w:rsidR="00D449A2" w:rsidRPr="00E31134" w:rsidSect="00E3113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0AD1488A" w14:textId="77777777" w:rsidR="00D449A2" w:rsidRPr="00E31134" w:rsidRDefault="00A666F1" w:rsidP="00D449A2">
      <w:pPr>
        <w:pStyle w:val="PageHeading"/>
      </w:pPr>
      <w:bookmarkStart w:id="1" w:name="_Toc210925383"/>
      <w:r w:rsidRPr="00E31134">
        <w:t>EXPOSIÇÃO DE MOTIVOS</w:t>
      </w:r>
      <w:bookmarkEnd w:id="1"/>
    </w:p>
    <w:p w14:paraId="19D89A2C" w14:textId="77777777" w:rsidR="00D449A2" w:rsidRPr="00E31134" w:rsidRDefault="00A666F1" w:rsidP="00D449A2">
      <w:pPr>
        <w:rPr>
          <w:szCs w:val="24"/>
        </w:rPr>
      </w:pPr>
      <w:r w:rsidRPr="00E31134">
        <w:t>Nos anos de 2024 e 2025, os direitos fundamentais na União Europeia foram sujeitos a uma pressão cada vez maior de diversas frentes. As ameaças ao Estado de direito, a redução do espaço da sociedade civil, o aumento do discurso de ódio e das narrativas xenófobas, a violência contra refugiados e migrantes e o enfraquecimento dos direitos das mulheres e das pessoas LGBTIQ+ ilustram uma tendência preocupante. </w:t>
      </w:r>
    </w:p>
    <w:p w14:paraId="259F3AC4" w14:textId="77777777" w:rsidR="00D449A2" w:rsidRPr="00E31134" w:rsidRDefault="00A666F1" w:rsidP="00D449A2">
      <w:pPr>
        <w:rPr>
          <w:szCs w:val="24"/>
        </w:rPr>
      </w:pPr>
      <w:r w:rsidRPr="00E31134">
        <w:t>Esta erosão dos direitos fundamentais foi agravada por desigualdades socioeconómicas persistentes. Enquanto a guerra da Rússia contra a Ucrânia continua, os ataques a Gaza persistem e mais líderes apresentam comportamentos autocráticos, os direitos fundamentais estão cada vez mais sob pressão. Nestes tempos tensos, existe um risco real de os direitos fundamentais serem marginalizados na agenda política.  </w:t>
      </w:r>
    </w:p>
    <w:p w14:paraId="689E2E31" w14:textId="263F6BAB" w:rsidR="00D449A2" w:rsidRPr="00E31134" w:rsidRDefault="00A666F1" w:rsidP="00D449A2">
      <w:pPr>
        <w:rPr>
          <w:szCs w:val="24"/>
        </w:rPr>
      </w:pPr>
      <w:r w:rsidRPr="00E31134">
        <w:t>É precisamente em momentos de instabilidade que é fundamental recordar os valores em que assenta a União Europeia: a dignidade humana, a liberdade, a democracia, a igualdade, o Estado de direito e o respeito pelos direitos humanos estão todos consagrados na Carta dos Direitos Fundamentais e nos Tratados da UE. A defesa destes princípios não é apenas uma obrigação jurídica para as instituições da UE e os Estados</w:t>
      </w:r>
      <w:r>
        <w:noBreakHyphen/>
      </w:r>
      <w:r w:rsidRPr="00E31134">
        <w:t>Membros, mas também o que faz da Europa um projeto político único, centrado no bem</w:t>
      </w:r>
      <w:r>
        <w:noBreakHyphen/>
      </w:r>
      <w:r w:rsidRPr="00E31134">
        <w:t>estar dos cidadãos. A UE não deve comprometer estes pontos fundamentais. Os direitos fundamentais não são estáticos; exigem promoção e execução ativas.     </w:t>
      </w:r>
    </w:p>
    <w:p w14:paraId="175F0876" w14:textId="58FAB46E" w:rsidR="00D449A2" w:rsidRPr="00E31134" w:rsidRDefault="00A666F1" w:rsidP="00D449A2">
      <w:pPr>
        <w:rPr>
          <w:szCs w:val="24"/>
        </w:rPr>
      </w:pPr>
      <w:r w:rsidRPr="00E31134">
        <w:t>Os ataques ao espaço da sociedade civil em toda a Europa são um dos sinais de enfraquecimento da democracia. A recente restrição ao direito de reunião pacífica, em especial a proibição de protestos pró</w:t>
      </w:r>
      <w:r>
        <w:noBreakHyphen/>
      </w:r>
      <w:r w:rsidRPr="00E31134">
        <w:t>Palestina e de marchas do orgulho, bem como a repressão e a criminalização dos defensores dos direitos humanos e das ONG que trabalham com refugiados, requerentes de asilo e migrantes, estão a criar precedentes perigosos. Esta situação é agravada pelas restrições de financiamento concedido às organizações da sociedade civil por parte dos EUA e da UE. </w:t>
      </w:r>
    </w:p>
    <w:p w14:paraId="33D4579B" w14:textId="77777777" w:rsidR="00D449A2" w:rsidRPr="00E31134" w:rsidRDefault="00A666F1" w:rsidP="00D449A2">
      <w:pPr>
        <w:rPr>
          <w:szCs w:val="24"/>
        </w:rPr>
      </w:pPr>
      <w:r w:rsidRPr="00E31134">
        <w:t>A relatora está preocupada com a crescente polarização e fragmentação das sociedades europeias, frequentemente alimentadas por atores políticos populistas. Usar as minorias como bodes expiatórios, explorar a política de identidade e propagar a desinformação divide as comunidades e mina a confiança. Os políticos e os governos têm o dever de defender as normas democráticas e de se absterem de uma retórica que alimente o ódio, o racismo e a violência.  </w:t>
      </w:r>
    </w:p>
    <w:p w14:paraId="7431ACBF" w14:textId="32AB3C96" w:rsidR="00D449A2" w:rsidRPr="00E31134" w:rsidRDefault="00A666F1" w:rsidP="00D449A2">
      <w:pPr>
        <w:rPr>
          <w:szCs w:val="24"/>
        </w:rPr>
      </w:pPr>
      <w:r w:rsidRPr="00E31134">
        <w:t>As rápidas mudanças digitais e a inteligência artificial agravam estes riscos, uma vez que a propagação incontrolada do discurso de ódio e dos conteúdos nocivos em linha, juntamente com algoritmos distorcidos e uma conceção manipuladora, comprometem a igualdade e a vida cívica. Estas ameaças tornaram</w:t>
      </w:r>
      <w:r>
        <w:noBreakHyphen/>
      </w:r>
      <w:r w:rsidRPr="00E31134">
        <w:t>se particularmente visíveis durante as eleições europeias, quando em vários Estados</w:t>
      </w:r>
      <w:r>
        <w:noBreakHyphen/>
      </w:r>
      <w:r w:rsidRPr="00E31134">
        <w:t>Membros se registou um aumento do discurso de ódio, da violência e das ameaças de morte em linha</w:t>
      </w:r>
      <w:r w:rsidRPr="00E31134">
        <w:rPr>
          <w:rStyle w:val="FootnoteReference"/>
          <w:szCs w:val="24"/>
        </w:rPr>
        <w:footnoteReference w:id="16"/>
      </w:r>
      <w:r w:rsidRPr="00E31134">
        <w:t>. Além disso, os serviços de segurança de alguns países alertaram para a rápida radicalização em linha dos jovens, em especial nas redes extremistas de direita. Por último, a ingerência estrangeira nos processos eleitorais é um exemplo claro da forma como as plataformas em linha podem instrumentalizadas para minar a democracia. </w:t>
      </w:r>
    </w:p>
    <w:p w14:paraId="30BD1A9E" w14:textId="77777777" w:rsidR="00D449A2" w:rsidRPr="00E31134" w:rsidRDefault="00A666F1" w:rsidP="00D449A2">
      <w:pPr>
        <w:rPr>
          <w:szCs w:val="24"/>
        </w:rPr>
      </w:pPr>
      <w:r w:rsidRPr="00E31134">
        <w:t>Nos próximos anos, a União deve renovar os seus alicerces democráticos, reforçar a participação dos cidadãos e posicionar a igualdade, a justiça e a sustentabilidade no centro das suas políticas. Só defendendo e promovendo ativamente os direitos é que a UE poderá restabelecer a confiança nas suas instituições e manter a sua credibilidade na cena internacional. </w:t>
      </w:r>
    </w:p>
    <w:p w14:paraId="61B2E35B" w14:textId="77777777" w:rsidR="00D449A2" w:rsidRPr="00E31134" w:rsidRDefault="00A666F1" w:rsidP="00D449A2">
      <w:pPr>
        <w:rPr>
          <w:szCs w:val="24"/>
        </w:rPr>
      </w:pPr>
      <w:r w:rsidRPr="00E31134">
        <w:t> </w:t>
      </w:r>
    </w:p>
    <w:p w14:paraId="26C91099" w14:textId="77777777" w:rsidR="00D449A2" w:rsidRPr="00E31134" w:rsidRDefault="00A666F1" w:rsidP="00D449A2">
      <w:pPr>
        <w:rPr>
          <w:szCs w:val="24"/>
        </w:rPr>
      </w:pPr>
      <w:r w:rsidRPr="00E31134">
        <w:rPr>
          <w:b/>
        </w:rPr>
        <w:t>Abordagem da relatora </w:t>
      </w:r>
      <w:r w:rsidRPr="00E31134">
        <w:t> </w:t>
      </w:r>
    </w:p>
    <w:p w14:paraId="0A8E7EB3" w14:textId="77777777" w:rsidR="00D449A2" w:rsidRPr="00E31134" w:rsidRDefault="00A666F1" w:rsidP="00D449A2">
      <w:pPr>
        <w:rPr>
          <w:szCs w:val="24"/>
        </w:rPr>
      </w:pPr>
      <w:r w:rsidRPr="00E31134">
        <w:t>Com o presente relatório, a relatora procura destacar os principais desenvolvimentos no domínio dos direitos fundamentais na UE nos anos de 2024 e 2025. </w:t>
      </w:r>
    </w:p>
    <w:p w14:paraId="179F4696" w14:textId="77777777" w:rsidR="00D449A2" w:rsidRPr="00E31134" w:rsidRDefault="00A666F1" w:rsidP="00D449A2">
      <w:pPr>
        <w:rPr>
          <w:szCs w:val="24"/>
        </w:rPr>
      </w:pPr>
      <w:r w:rsidRPr="00E31134">
        <w:t>A extensão limitada dos relatórios de iniciativa exige a definição de prioridades, mas a ausência de certas preocupações não diminui a sua importância. Este texto proporciona um quadro geral que pode e será enriquecido durante a fase de alterações. </w:t>
      </w:r>
    </w:p>
    <w:p w14:paraId="5463ACC0" w14:textId="77777777" w:rsidR="00D449A2" w:rsidRPr="00E31134" w:rsidRDefault="00A666F1" w:rsidP="00D449A2">
      <w:pPr>
        <w:rPr>
          <w:szCs w:val="24"/>
        </w:rPr>
      </w:pPr>
      <w:r w:rsidRPr="00E31134">
        <w:rPr>
          <w:b/>
        </w:rPr>
        <w:t>Estrutura</w:t>
      </w:r>
      <w:r w:rsidRPr="00E31134">
        <w:t> </w:t>
      </w:r>
    </w:p>
    <w:p w14:paraId="0EE72DCD" w14:textId="77777777" w:rsidR="00D449A2" w:rsidRPr="00E31134" w:rsidRDefault="00A666F1" w:rsidP="00D449A2">
      <w:pPr>
        <w:rPr>
          <w:szCs w:val="24"/>
        </w:rPr>
      </w:pPr>
      <w:r w:rsidRPr="00E31134">
        <w:t>O projeto de relatório está estruturado em torno de grupos de direitos fundamentais. Enquanto a primeira parte do relatório apresenta uma visão geral das principais preocupações em matéria de direitos fundamentais na UE, cada capítulo inclui apelos concretos à adoção de medidas, a fim de tornar o relatório o mais prático, centrado e exequível possível. </w:t>
      </w:r>
    </w:p>
    <w:p w14:paraId="55D4C21A" w14:textId="77777777" w:rsidR="00D449A2" w:rsidRPr="00E31134" w:rsidRDefault="00A666F1" w:rsidP="00D449A2">
      <w:pPr>
        <w:rPr>
          <w:szCs w:val="24"/>
        </w:rPr>
      </w:pPr>
      <w:r w:rsidRPr="00E31134">
        <w:t>Estes são os capítulos principais: </w:t>
      </w:r>
    </w:p>
    <w:p w14:paraId="5E2734DD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Direitos fundamentais em causa</w:t>
      </w:r>
      <w:r w:rsidRPr="00E31134">
        <w:t> </w:t>
      </w:r>
    </w:p>
    <w:p w14:paraId="2123DED3" w14:textId="77777777" w:rsidR="00D449A2" w:rsidRPr="00E31134" w:rsidRDefault="00A666F1" w:rsidP="00D449A2">
      <w:pPr>
        <w:rPr>
          <w:szCs w:val="24"/>
        </w:rPr>
      </w:pPr>
      <w:r w:rsidRPr="00E31134">
        <w:t>Este capítulo inclui apelos gerais à defesa dos direitos fundamentais, incluindo, por exemplo, a promoção dos valores da UE </w:t>
      </w:r>
    </w:p>
    <w:p w14:paraId="782804A3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Democracia sob pressão</w:t>
      </w:r>
      <w:r w:rsidRPr="00E31134">
        <w:t> </w:t>
      </w:r>
    </w:p>
    <w:p w14:paraId="3246E610" w14:textId="2D674B94" w:rsidR="00D449A2" w:rsidRPr="00E31134" w:rsidRDefault="00A666F1" w:rsidP="00D449A2">
      <w:pPr>
        <w:rPr>
          <w:szCs w:val="24"/>
        </w:rPr>
      </w:pPr>
      <w:r w:rsidRPr="00E31134">
        <w:t>Este capítulo aborda os retrocessos em vários Estados</w:t>
      </w:r>
      <w:r>
        <w:noBreakHyphen/>
      </w:r>
      <w:r w:rsidRPr="00E31134">
        <w:t xml:space="preserve">Membros, incluindo ameaças à independência do sistema judicial, corrupção a alto nível, utilização indevida de </w:t>
      </w:r>
      <w:r w:rsidRPr="00E31134">
        <w:rPr>
          <w:i/>
          <w:iCs/>
        </w:rPr>
        <w:t>software</w:t>
      </w:r>
      <w:r w:rsidRPr="00E31134">
        <w:t xml:space="preserve"> espião e enfraquecimento dos direitos parlamentares. Destaca igualmente os riscos para a liberdade e o pluralismo dos meios de comunicação social, a disseminação de desinformação e o abuso de poderes de emergência. </w:t>
      </w:r>
    </w:p>
    <w:p w14:paraId="64F4CF99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Violações dos direitos fundamentais nas fronteiras</w:t>
      </w:r>
      <w:r w:rsidRPr="00E31134">
        <w:t> </w:t>
      </w:r>
    </w:p>
    <w:p w14:paraId="1ECD0DFB" w14:textId="77777777" w:rsidR="00D449A2" w:rsidRPr="00E31134" w:rsidRDefault="00A666F1" w:rsidP="00D449A2">
      <w:pPr>
        <w:rPr>
          <w:szCs w:val="24"/>
        </w:rPr>
      </w:pPr>
      <w:r w:rsidRPr="00E31134">
        <w:t>Este capítulo abrange, entre outros aspetos, os reenvios forçados, a violência sistémica e as políticas de externalização que comprometem o acesso ao asilo e violam o princípio da não repulsão. Apela à responsabilização e à ação da UE para garantir que a dignidade humana seja respeitada na gestão da migração. </w:t>
      </w:r>
    </w:p>
    <w:p w14:paraId="3B9E1127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Violência de género, direitos das mulheres e direitos das pessoas LGBTIQ+</w:t>
      </w:r>
      <w:r w:rsidRPr="00E31134">
        <w:t> </w:t>
      </w:r>
    </w:p>
    <w:p w14:paraId="3A04DD22" w14:textId="77777777" w:rsidR="00D449A2" w:rsidRPr="00E31134" w:rsidRDefault="00A666F1" w:rsidP="00D449A2">
      <w:pPr>
        <w:rPr>
          <w:szCs w:val="24"/>
        </w:rPr>
      </w:pPr>
      <w:r w:rsidRPr="00E31134">
        <w:t>Este capítulo salienta a necessidade urgente de combater a violência baseada no género, incluindo os movimentos antigénero. Solicita a proteção dos direitos sexuais e reprodutivos, a inclusão do direito ao aborto na Carta e o reforço das garantias para as pessoas LGBTIQ+ contra o ódio e a discriminação. </w:t>
      </w:r>
    </w:p>
    <w:p w14:paraId="67A444A1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Sociedade civil ameaçada</w:t>
      </w:r>
      <w:r w:rsidRPr="00E31134">
        <w:t> </w:t>
      </w:r>
    </w:p>
    <w:p w14:paraId="23E9C82E" w14:textId="77777777" w:rsidR="00D449A2" w:rsidRPr="00E31134" w:rsidRDefault="00A666F1" w:rsidP="00D449A2">
      <w:pPr>
        <w:rPr>
          <w:szCs w:val="24"/>
        </w:rPr>
      </w:pPr>
      <w:r w:rsidRPr="00E31134">
        <w:t>Este capítulo aborda as restrições sem precedentes ao espaço da sociedade civil. Solicita o financiamento sustentável da UE para as OSC e a proteção dos defensores dos direitos humanos. </w:t>
      </w:r>
    </w:p>
    <w:p w14:paraId="5AB15192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Racismo e discriminação estruturais</w:t>
      </w:r>
      <w:r w:rsidRPr="00E31134">
        <w:t> </w:t>
      </w:r>
    </w:p>
    <w:p w14:paraId="5F93251B" w14:textId="77777777" w:rsidR="00D449A2" w:rsidRPr="00E31134" w:rsidRDefault="00A666F1" w:rsidP="00D449A2">
      <w:pPr>
        <w:rPr>
          <w:szCs w:val="24"/>
        </w:rPr>
      </w:pPr>
      <w:r w:rsidRPr="00E31134">
        <w:t>Este capítulo aborda o racismo sistémico e a discriminação. Apela à adoção da diretiva horizontal de luta contra a discriminação, ao reforço das estratégias de igualdade e à aplicação da legislação da UE em matéria de luta contra a discriminação. </w:t>
      </w:r>
    </w:p>
    <w:p w14:paraId="2B035932" w14:textId="77777777" w:rsidR="00D449A2" w:rsidRPr="00E31134" w:rsidRDefault="00A666F1" w:rsidP="00D449A2">
      <w:pPr>
        <w:rPr>
          <w:szCs w:val="24"/>
        </w:rPr>
      </w:pPr>
      <w:r w:rsidRPr="00E31134">
        <w:rPr>
          <w:i/>
        </w:rPr>
        <w:t>Direitos ambientais, sociais, económicos e culturais em risco</w:t>
      </w:r>
      <w:r w:rsidRPr="00E31134">
        <w:t> </w:t>
      </w:r>
    </w:p>
    <w:p w14:paraId="3A81AB95" w14:textId="54BAC1B5" w:rsidR="00D449A2" w:rsidRPr="00E31134" w:rsidRDefault="00A666F1" w:rsidP="00D449A2">
      <w:pPr>
        <w:rPr>
          <w:szCs w:val="24"/>
        </w:rPr>
      </w:pPr>
      <w:r w:rsidRPr="00E31134">
        <w:t>Este capítulo destaca o aumento da pobreza, a exclusão habitacional e o fenómeno de pessoas em situação de sem</w:t>
      </w:r>
      <w:r>
        <w:noBreakHyphen/>
      </w:r>
      <w:r w:rsidRPr="00E31134">
        <w:t xml:space="preserve">abrigo como preocupações em matéria de direitos fundamentais. Salienta o direito a um ambiente sustentável e solicita uma transição justa. </w:t>
      </w:r>
    </w:p>
    <w:p w14:paraId="1BA0337F" w14:textId="77777777" w:rsidR="00D449A2" w:rsidRPr="00E31134" w:rsidRDefault="00D449A2" w:rsidP="00D449A2">
      <w:pPr>
        <w:rPr>
          <w:szCs w:val="24"/>
        </w:rPr>
      </w:pPr>
    </w:p>
    <w:p w14:paraId="6BE443BC" w14:textId="77777777" w:rsidR="00100069" w:rsidRPr="00E31134" w:rsidRDefault="00100069" w:rsidP="00D449A2"/>
    <w:sectPr w:rsidR="00100069" w:rsidRPr="00E31134" w:rsidSect="00804BB6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85848" w14:textId="77777777" w:rsidR="00A666F1" w:rsidRPr="00E31134" w:rsidRDefault="00A666F1">
      <w:r w:rsidRPr="00E31134">
        <w:separator/>
      </w:r>
    </w:p>
  </w:endnote>
  <w:endnote w:type="continuationSeparator" w:id="0">
    <w:p w14:paraId="7514C145" w14:textId="77777777" w:rsidR="00A666F1" w:rsidRPr="00E31134" w:rsidRDefault="00A666F1">
      <w:r w:rsidRPr="00E311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E54F1" w14:textId="049D59CC" w:rsidR="00E31134" w:rsidRPr="00E31134" w:rsidRDefault="00E31134" w:rsidP="00E31134">
    <w:pPr>
      <w:pStyle w:val="EPFooter"/>
    </w:pPr>
    <w:r w:rsidRPr="00E31134">
      <w:t>PE</w:t>
    </w:r>
    <w:r w:rsidRPr="00E31134">
      <w:rPr>
        <w:rStyle w:val="HideTWBExt"/>
      </w:rPr>
      <w:t>&lt;NoPE&gt;</w:t>
    </w:r>
    <w:r w:rsidRPr="00E31134">
      <w:t>778.093</w:t>
    </w:r>
    <w:r w:rsidRPr="00E31134">
      <w:rPr>
        <w:rStyle w:val="HideTWBExt"/>
      </w:rPr>
      <w:t>&lt;/NoPE&gt;&lt;Version&gt;</w:t>
    </w:r>
    <w:r w:rsidRPr="00E31134">
      <w:t>v01</w:t>
    </w:r>
    <w:r w:rsidR="00A666F1">
      <w:noBreakHyphen/>
    </w:r>
    <w:r w:rsidRPr="00E31134">
      <w:t>00</w:t>
    </w:r>
    <w:r w:rsidRPr="00E31134">
      <w:rPr>
        <w:rStyle w:val="HideTWBExt"/>
      </w:rPr>
      <w:t>&lt;/Version&gt;</w:t>
    </w:r>
    <w:r w:rsidRPr="00E31134">
      <w:tab/>
    </w:r>
    <w:r w:rsidRPr="00E31134">
      <w:fldChar w:fldCharType="begin"/>
    </w:r>
    <w:r w:rsidRPr="00E31134">
      <w:instrText xml:space="preserve"> PAGE  \* MERGEFORMAT </w:instrText>
    </w:r>
    <w:r w:rsidRPr="00E31134">
      <w:fldChar w:fldCharType="separate"/>
    </w:r>
    <w:r w:rsidRPr="00E31134">
      <w:rPr>
        <w:noProof/>
      </w:rPr>
      <w:t>1</w:t>
    </w:r>
    <w:r w:rsidRPr="00E31134">
      <w:fldChar w:fldCharType="end"/>
    </w:r>
    <w:r w:rsidRPr="00E31134">
      <w:t>/</w:t>
    </w:r>
    <w:r w:rsidR="007A5ABF">
      <w:fldChar w:fldCharType="begin"/>
    </w:r>
    <w:r w:rsidR="007A5ABF">
      <w:instrText xml:space="preserve"> NUMPAGES  \* MERGEFORMAT </w:instrText>
    </w:r>
    <w:r w:rsidR="007A5ABF">
      <w:fldChar w:fldCharType="separate"/>
    </w:r>
    <w:r w:rsidRPr="00E31134">
      <w:rPr>
        <w:noProof/>
      </w:rPr>
      <w:t>1</w:t>
    </w:r>
    <w:r w:rsidR="007A5ABF">
      <w:rPr>
        <w:noProof/>
      </w:rPr>
      <w:fldChar w:fldCharType="end"/>
    </w:r>
    <w:r w:rsidRPr="00E31134">
      <w:tab/>
    </w:r>
    <w:r w:rsidRPr="00E31134">
      <w:rPr>
        <w:rStyle w:val="HideTWBExt"/>
      </w:rPr>
      <w:t>&lt;PathFdR&gt;</w:t>
    </w:r>
    <w:r w:rsidRPr="00E31134">
      <w:t>PR\1328636PT.docx</w:t>
    </w:r>
    <w:r w:rsidRPr="00E31134">
      <w:rPr>
        <w:rStyle w:val="HideTWBExt"/>
      </w:rPr>
      <w:t>&lt;/PathFdR&gt;</w:t>
    </w:r>
  </w:p>
  <w:p w14:paraId="279A04BF" w14:textId="41B7DD9A" w:rsidR="00D449A2" w:rsidRPr="00E31134" w:rsidRDefault="00E31134" w:rsidP="00E31134">
    <w:pPr>
      <w:pStyle w:val="EPFooter2"/>
    </w:pPr>
    <w:r w:rsidRPr="00E31134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B155C" w14:textId="19BAA2C0" w:rsidR="00E31134" w:rsidRPr="00E31134" w:rsidRDefault="00E31134" w:rsidP="00E31134">
    <w:pPr>
      <w:pStyle w:val="EPFooter"/>
    </w:pPr>
    <w:r w:rsidRPr="00E31134">
      <w:rPr>
        <w:rStyle w:val="HideTWBExt"/>
      </w:rPr>
      <w:t>&lt;PathFdR&gt;</w:t>
    </w:r>
    <w:r w:rsidRPr="00E31134">
      <w:t>PR\1328636PT.docx</w:t>
    </w:r>
    <w:r w:rsidRPr="00E31134">
      <w:rPr>
        <w:rStyle w:val="HideTWBExt"/>
      </w:rPr>
      <w:t>&lt;/PathFdR&gt;</w:t>
    </w:r>
    <w:r w:rsidRPr="00E31134">
      <w:tab/>
    </w:r>
    <w:r w:rsidRPr="00E31134">
      <w:fldChar w:fldCharType="begin"/>
    </w:r>
    <w:r w:rsidRPr="00E31134">
      <w:instrText xml:space="preserve"> PAGE  \* MERGEFORMAT </w:instrText>
    </w:r>
    <w:r w:rsidRPr="00E31134">
      <w:fldChar w:fldCharType="separate"/>
    </w:r>
    <w:r w:rsidRPr="00E31134">
      <w:rPr>
        <w:noProof/>
      </w:rPr>
      <w:t>1</w:t>
    </w:r>
    <w:r w:rsidRPr="00E31134">
      <w:fldChar w:fldCharType="end"/>
    </w:r>
    <w:r w:rsidRPr="00E31134">
      <w:t>/</w:t>
    </w:r>
    <w:r w:rsidR="007A5ABF">
      <w:fldChar w:fldCharType="begin"/>
    </w:r>
    <w:r w:rsidR="007A5ABF">
      <w:instrText xml:space="preserve"> NUMPAGES  \* MERGEFORMAT </w:instrText>
    </w:r>
    <w:r w:rsidR="007A5ABF">
      <w:fldChar w:fldCharType="separate"/>
    </w:r>
    <w:r w:rsidRPr="00E31134">
      <w:rPr>
        <w:noProof/>
      </w:rPr>
      <w:t>1</w:t>
    </w:r>
    <w:r w:rsidR="007A5ABF">
      <w:rPr>
        <w:noProof/>
      </w:rPr>
      <w:fldChar w:fldCharType="end"/>
    </w:r>
    <w:r w:rsidRPr="00E31134">
      <w:tab/>
      <w:t>PE</w:t>
    </w:r>
    <w:r w:rsidRPr="00E31134">
      <w:rPr>
        <w:rStyle w:val="HideTWBExt"/>
      </w:rPr>
      <w:t>&lt;NoPE&gt;</w:t>
    </w:r>
    <w:r w:rsidRPr="00E31134">
      <w:t>778.093</w:t>
    </w:r>
    <w:r w:rsidRPr="00E31134">
      <w:rPr>
        <w:rStyle w:val="HideTWBExt"/>
      </w:rPr>
      <w:t>&lt;/NoPE&gt;&lt;Version&gt;</w:t>
    </w:r>
    <w:r w:rsidRPr="00E31134">
      <w:t>v01</w:t>
    </w:r>
    <w:r w:rsidR="00A666F1">
      <w:noBreakHyphen/>
    </w:r>
    <w:r w:rsidRPr="00E31134">
      <w:t>00</w:t>
    </w:r>
    <w:r w:rsidRPr="00E31134">
      <w:rPr>
        <w:rStyle w:val="HideTWBExt"/>
      </w:rPr>
      <w:t>&lt;/Version&gt;</w:t>
    </w:r>
  </w:p>
  <w:p w14:paraId="2223B1C0" w14:textId="7A098833" w:rsidR="00D449A2" w:rsidRPr="00E31134" w:rsidRDefault="00E31134" w:rsidP="00E31134">
    <w:pPr>
      <w:pStyle w:val="EPFooter2"/>
    </w:pPr>
    <w:r w:rsidRPr="00E31134">
      <w:tab/>
    </w:r>
    <w:r w:rsidRPr="00E31134">
      <w:tab/>
      <w:t>PT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880E" w14:textId="7D7BDB83" w:rsidR="00E31134" w:rsidRPr="00E31134" w:rsidRDefault="00E31134" w:rsidP="00E31134">
    <w:pPr>
      <w:pStyle w:val="EPFooter"/>
    </w:pPr>
    <w:r w:rsidRPr="00E31134">
      <w:rPr>
        <w:rStyle w:val="HideTWBExt"/>
      </w:rPr>
      <w:t>&lt;PathFdR&gt;</w:t>
    </w:r>
    <w:r w:rsidRPr="00E31134">
      <w:t>PR\1328636PT.docx</w:t>
    </w:r>
    <w:r w:rsidRPr="00E31134">
      <w:rPr>
        <w:rStyle w:val="HideTWBExt"/>
      </w:rPr>
      <w:t>&lt;/PathFdR&gt;</w:t>
    </w:r>
    <w:r w:rsidRPr="00E31134">
      <w:tab/>
    </w:r>
    <w:r w:rsidRPr="00E31134">
      <w:tab/>
      <w:t>PE</w:t>
    </w:r>
    <w:r w:rsidRPr="00E31134">
      <w:rPr>
        <w:rStyle w:val="HideTWBExt"/>
      </w:rPr>
      <w:t>&lt;NoPE&gt;</w:t>
    </w:r>
    <w:r w:rsidRPr="00E31134">
      <w:t>778.093</w:t>
    </w:r>
    <w:r w:rsidRPr="00E31134">
      <w:rPr>
        <w:rStyle w:val="HideTWBExt"/>
      </w:rPr>
      <w:t>&lt;/NoPE&gt;&lt;Version&gt;</w:t>
    </w:r>
    <w:r w:rsidRPr="00E31134">
      <w:t>v01</w:t>
    </w:r>
    <w:r w:rsidR="00A666F1">
      <w:noBreakHyphen/>
    </w:r>
    <w:r w:rsidRPr="00E31134">
      <w:t>00</w:t>
    </w:r>
    <w:r w:rsidRPr="00E31134">
      <w:rPr>
        <w:rStyle w:val="HideTWBExt"/>
      </w:rPr>
      <w:t>&lt;/Version&gt;</w:t>
    </w:r>
  </w:p>
  <w:p w14:paraId="7D98E577" w14:textId="54B2E925" w:rsidR="00D449A2" w:rsidRPr="00E31134" w:rsidRDefault="00E31134" w:rsidP="00E31134">
    <w:pPr>
      <w:pStyle w:val="EPFooter2"/>
    </w:pPr>
    <w:r w:rsidRPr="00E31134">
      <w:t>PT</w:t>
    </w:r>
    <w:r w:rsidRPr="00E31134">
      <w:tab/>
    </w:r>
    <w:r w:rsidRPr="00E31134">
      <w:rPr>
        <w:b w:val="0"/>
        <w:i/>
        <w:color w:val="C0C0C0"/>
        <w:sz w:val="22"/>
      </w:rPr>
      <w:t>Unida na diversidade</w:t>
    </w:r>
    <w:r w:rsidRPr="00E31134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99DA6" w14:textId="2AD6A21D" w:rsidR="00804BB6" w:rsidRPr="00E31134" w:rsidRDefault="00A666F1" w:rsidP="00804BB6">
    <w:pPr>
      <w:pStyle w:val="EPFooter"/>
    </w:pPr>
    <w:r w:rsidRPr="00E31134">
      <w:rPr>
        <w:rStyle w:val="HideTWBExt"/>
      </w:rPr>
      <w:t>&lt;PathFdR&gt;</w:t>
    </w:r>
    <w:r w:rsidR="00974A19" w:rsidRPr="00E31134">
      <w:t>PR\1328636EN.docx</w:t>
    </w:r>
    <w:r w:rsidRPr="00E31134">
      <w:rPr>
        <w:rStyle w:val="HideTWBExt"/>
      </w:rPr>
      <w:t>&lt;/PathFdR&gt;</w:t>
    </w:r>
    <w:r w:rsidRPr="00E31134">
      <w:tab/>
    </w:r>
    <w:r w:rsidRPr="00E31134">
      <w:tab/>
      <w:t>PE</w:t>
    </w:r>
    <w:r w:rsidRPr="00E31134">
      <w:rPr>
        <w:rStyle w:val="HideTWBExt"/>
      </w:rPr>
      <w:t>&lt;NoPE&gt;</w:t>
    </w:r>
    <w:r w:rsidRPr="00E31134">
      <w:t>778.093</w:t>
    </w:r>
    <w:r w:rsidRPr="00E31134">
      <w:rPr>
        <w:rStyle w:val="HideTWBExt"/>
      </w:rPr>
      <w:t>&lt;/NoPE&gt;&lt;Version&gt;</w:t>
    </w:r>
    <w:r w:rsidRPr="00E31134">
      <w:t>v01</w:t>
    </w:r>
    <w:r>
      <w:noBreakHyphen/>
    </w:r>
    <w:r w:rsidRPr="00E31134">
      <w:t>00</w:t>
    </w:r>
    <w:r w:rsidRPr="00E31134">
      <w:rPr>
        <w:rStyle w:val="HideTWBExt"/>
      </w:rPr>
      <w:t>&lt;/Version&gt;</w:t>
    </w:r>
  </w:p>
  <w:p w14:paraId="7A51877F" w14:textId="77777777" w:rsidR="00100069" w:rsidRPr="00E31134" w:rsidRDefault="00A666F1" w:rsidP="00804BB6">
    <w:pPr>
      <w:pStyle w:val="EPFooter2"/>
    </w:pPr>
    <w:r w:rsidRPr="00E31134">
      <w:t>EN</w:t>
    </w:r>
    <w:r w:rsidRPr="00E31134">
      <w:tab/>
    </w:r>
    <w:r w:rsidRPr="00E31134">
      <w:rPr>
        <w:b w:val="0"/>
        <w:i/>
        <w:color w:val="C0C0C0"/>
        <w:sz w:val="22"/>
      </w:rPr>
      <w:t>United in diversity</w:t>
    </w:r>
    <w:r w:rsidRPr="00E31134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EE44D" w14:textId="77777777" w:rsidR="00B413CC" w:rsidRPr="00E31134" w:rsidRDefault="00A666F1">
      <w:r w:rsidRPr="00E31134">
        <w:separator/>
      </w:r>
    </w:p>
  </w:footnote>
  <w:footnote w:type="continuationSeparator" w:id="0">
    <w:p w14:paraId="1FA63344" w14:textId="77777777" w:rsidR="00B413CC" w:rsidRPr="00E31134" w:rsidRDefault="00A666F1">
      <w:r w:rsidRPr="00E31134">
        <w:continuationSeparator/>
      </w:r>
    </w:p>
  </w:footnote>
  <w:footnote w:id="1">
    <w:p w14:paraId="6FE5EA16" w14:textId="43418CCC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L, 2024/1385, 24.5.2024, ELI: </w:t>
      </w:r>
      <w:hyperlink r:id="rId1" w:history="1">
        <w:r w:rsidRPr="00E31134">
          <w:rPr>
            <w:rStyle w:val="Hyperlink"/>
          </w:rPr>
          <w:t>http://data.europa.eu/eli/dir/2024/1385/oj</w:t>
        </w:r>
      </w:hyperlink>
      <w:r w:rsidRPr="00E31134">
        <w:t>.</w:t>
      </w:r>
    </w:p>
  </w:footnote>
  <w:footnote w:id="2">
    <w:p w14:paraId="62523F82" w14:textId="11C0518F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L, 2024/1083, 17.4.2024, ELI: </w:t>
      </w:r>
      <w:hyperlink r:id="rId2" w:history="1">
        <w:r w:rsidRPr="00E31134">
          <w:rPr>
            <w:rStyle w:val="Hyperlink"/>
          </w:rPr>
          <w:t>http://data.europa.eu/eli/reg/2024/1083/oj</w:t>
        </w:r>
      </w:hyperlink>
      <w:r w:rsidRPr="00E31134">
        <w:t>.</w:t>
      </w:r>
    </w:p>
  </w:footnote>
  <w:footnote w:id="3">
    <w:p w14:paraId="085B3F43" w14:textId="610ACAB8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L, 2024/1069, 16.4.2024, ELI: </w:t>
      </w:r>
      <w:hyperlink r:id="rId3" w:history="1">
        <w:r w:rsidRPr="00E31134">
          <w:rPr>
            <w:rStyle w:val="Hyperlink"/>
          </w:rPr>
          <w:t>http://data.europa.eu/eli/dir/2024/1069/oj</w:t>
        </w:r>
      </w:hyperlink>
      <w:r w:rsidRPr="00E31134">
        <w:t>.</w:t>
      </w:r>
    </w:p>
  </w:footnote>
  <w:footnote w:id="4">
    <w:p w14:paraId="2F96A96F" w14:textId="586496A4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 433I de 22.12.2020, p. 1, ELI: </w:t>
      </w:r>
      <w:hyperlink r:id="rId4" w:history="1">
        <w:r w:rsidRPr="00E31134">
          <w:rPr>
            <w:rStyle w:val="Hyperlink"/>
          </w:rPr>
          <w:t>http://data.europa.eu/eli/reg/2020/2092/oj</w:t>
        </w:r>
      </w:hyperlink>
      <w:r w:rsidRPr="00E31134">
        <w:t>.</w:t>
      </w:r>
    </w:p>
  </w:footnote>
  <w:footnote w:id="5">
    <w:p w14:paraId="41EED4BA" w14:textId="1AA3ADA6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 119 de 4.5.2016, p. 1, ELI: </w:t>
      </w:r>
      <w:hyperlink r:id="rId5" w:history="1">
        <w:r w:rsidRPr="00E31134">
          <w:rPr>
            <w:rStyle w:val="Hyperlink"/>
          </w:rPr>
          <w:t>http://data.europa.eu/eli/reg/2016/679/oj</w:t>
        </w:r>
      </w:hyperlink>
      <w:r w:rsidRPr="00E31134">
        <w:t>.</w:t>
      </w:r>
    </w:p>
  </w:footnote>
  <w:footnote w:id="6">
    <w:p w14:paraId="0263AF67" w14:textId="607A3F58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 328 de 6.12.2008, p. 55, ELI: </w:t>
      </w:r>
      <w:hyperlink r:id="rId6" w:history="1">
        <w:r w:rsidRPr="00E31134">
          <w:rPr>
            <w:rStyle w:val="Hyperlink"/>
          </w:rPr>
          <w:t>http://data.europa.eu/eli/dec_framw/2008/913/oj</w:t>
        </w:r>
      </w:hyperlink>
      <w:r w:rsidRPr="00E31134">
        <w:t>.</w:t>
      </w:r>
    </w:p>
  </w:footnote>
  <w:footnote w:id="7">
    <w:p w14:paraId="454CAF00" w14:textId="53898674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L 180 de 19.7.2000, p. 22, ELI: </w:t>
      </w:r>
      <w:hyperlink r:id="rId7" w:history="1">
        <w:r w:rsidRPr="00E31134">
          <w:rPr>
            <w:rStyle w:val="Hyperlink"/>
          </w:rPr>
          <w:t>http://data.europa.eu/eli/dir/2000/43/oj</w:t>
        </w:r>
      </w:hyperlink>
      <w:r w:rsidRPr="00E31134">
        <w:t>.</w:t>
      </w:r>
    </w:p>
  </w:footnote>
  <w:footnote w:id="8">
    <w:p w14:paraId="29E26FC4" w14:textId="0EBAA71D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C, C/2024/6340, 7.11.2024, ELI: </w:t>
      </w:r>
      <w:hyperlink r:id="rId8" w:history="1">
        <w:r w:rsidRPr="00E31134">
          <w:rPr>
            <w:rStyle w:val="Hyperlink"/>
          </w:rPr>
          <w:t>http://data.europa.eu/eli/C/2024/6340/oj</w:t>
        </w:r>
      </w:hyperlink>
      <w:r w:rsidRPr="00E31134">
        <w:t>.</w:t>
      </w:r>
    </w:p>
  </w:footnote>
  <w:footnote w:id="9">
    <w:p w14:paraId="6EE677BC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177 de 17.5.2023, p. 13.</w:t>
      </w:r>
    </w:p>
  </w:footnote>
  <w:footnote w:id="10">
    <w:p w14:paraId="1A8C56B8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161 de 5.5.2023, p. 10.</w:t>
      </w:r>
    </w:p>
  </w:footnote>
  <w:footnote w:id="11">
    <w:p w14:paraId="14E78838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347 de 9.9.2022, p. 2.</w:t>
      </w:r>
    </w:p>
  </w:footnote>
  <w:footnote w:id="12">
    <w:p w14:paraId="116188BD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251 de 30.6.2022, p. 2.</w:t>
      </w:r>
    </w:p>
  </w:footnote>
  <w:footnote w:id="13">
    <w:p w14:paraId="65C77D92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117 de 11.3.2022, p. 88.</w:t>
      </w:r>
    </w:p>
  </w:footnote>
  <w:footnote w:id="14">
    <w:p w14:paraId="31292BBF" w14:textId="6DD64BA8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C, C/2024/5733, 17.10.2024, ELI: </w:t>
      </w:r>
      <w:hyperlink r:id="rId9" w:history="1">
        <w:r w:rsidRPr="00E31134">
          <w:rPr>
            <w:rStyle w:val="Hyperlink"/>
          </w:rPr>
          <w:t>http://data.europa.eu/eli/C/2024/5733/oj</w:t>
        </w:r>
      </w:hyperlink>
      <w:r w:rsidRPr="00E31134">
        <w:t>.</w:t>
      </w:r>
    </w:p>
  </w:footnote>
  <w:footnote w:id="15">
    <w:p w14:paraId="138012D5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JO C 395 de 29.9.2021, p. 2.</w:t>
      </w:r>
    </w:p>
  </w:footnote>
  <w:footnote w:id="16">
    <w:p w14:paraId="335F440E" w14:textId="77777777" w:rsidR="00D449A2" w:rsidRPr="00E31134" w:rsidRDefault="00A666F1" w:rsidP="00D449A2">
      <w:pPr>
        <w:pStyle w:val="FootnoteText"/>
      </w:pPr>
      <w:r w:rsidRPr="00E31134">
        <w:rPr>
          <w:rStyle w:val="FootnoteReference"/>
        </w:rPr>
        <w:footnoteRef/>
      </w:r>
      <w:r w:rsidRPr="00E31134">
        <w:t xml:space="preserve"> OSCE: ODIHR, «European Parliament Elections 6–9 June 2024 – ODIHR special election assessment mission final report» [Eleições para o Parlamento Europeu de 6 a 9 de junho de 2024 ― Relatório final da missão especial de avaliação eleitoral do ODIHR], Varsóvia, 2024, p. 15.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71A3D" w14:textId="77777777" w:rsidR="00A666F1" w:rsidRDefault="00A666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B8E34" w14:textId="77777777" w:rsidR="00A666F1" w:rsidRDefault="00A666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21C4D" w14:textId="77777777" w:rsidR="00A666F1" w:rsidRDefault="00A666F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C09A5" w14:textId="77777777" w:rsidR="00DB115A" w:rsidRDefault="00DB115A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A7F7C" w14:textId="77777777" w:rsidR="00DB115A" w:rsidRDefault="00DB115A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24088" w14:textId="77777777" w:rsidR="00DB115A" w:rsidRDefault="00DB11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D8A1A3E"/>
    <w:multiLevelType w:val="hybridMultilevel"/>
    <w:tmpl w:val="CD78F630"/>
    <w:lvl w:ilvl="0" w:tplc="9F7289F0">
      <w:start w:val="1"/>
      <w:numFmt w:val="upperLetter"/>
      <w:lvlText w:val="%1."/>
      <w:lvlJc w:val="left"/>
      <w:pPr>
        <w:ind w:left="930" w:hanging="570"/>
      </w:pPr>
      <w:rPr>
        <w:rFonts w:hint="default"/>
      </w:rPr>
    </w:lvl>
    <w:lvl w:ilvl="1" w:tplc="25906668" w:tentative="1">
      <w:start w:val="1"/>
      <w:numFmt w:val="lowerLetter"/>
      <w:lvlText w:val="%2."/>
      <w:lvlJc w:val="left"/>
      <w:pPr>
        <w:ind w:left="1440" w:hanging="360"/>
      </w:pPr>
    </w:lvl>
    <w:lvl w:ilvl="2" w:tplc="FB826CA6" w:tentative="1">
      <w:start w:val="1"/>
      <w:numFmt w:val="lowerRoman"/>
      <w:lvlText w:val="%3."/>
      <w:lvlJc w:val="right"/>
      <w:pPr>
        <w:ind w:left="2160" w:hanging="180"/>
      </w:pPr>
    </w:lvl>
    <w:lvl w:ilvl="3" w:tplc="A0D6BDE2" w:tentative="1">
      <w:start w:val="1"/>
      <w:numFmt w:val="decimal"/>
      <w:lvlText w:val="%4."/>
      <w:lvlJc w:val="left"/>
      <w:pPr>
        <w:ind w:left="2880" w:hanging="360"/>
      </w:pPr>
    </w:lvl>
    <w:lvl w:ilvl="4" w:tplc="2966842E" w:tentative="1">
      <w:start w:val="1"/>
      <w:numFmt w:val="lowerLetter"/>
      <w:lvlText w:val="%5."/>
      <w:lvlJc w:val="left"/>
      <w:pPr>
        <w:ind w:left="3600" w:hanging="360"/>
      </w:pPr>
    </w:lvl>
    <w:lvl w:ilvl="5" w:tplc="75188FA8" w:tentative="1">
      <w:start w:val="1"/>
      <w:numFmt w:val="lowerRoman"/>
      <w:lvlText w:val="%6."/>
      <w:lvlJc w:val="right"/>
      <w:pPr>
        <w:ind w:left="4320" w:hanging="180"/>
      </w:pPr>
    </w:lvl>
    <w:lvl w:ilvl="6" w:tplc="9EB62EBC" w:tentative="1">
      <w:start w:val="1"/>
      <w:numFmt w:val="decimal"/>
      <w:lvlText w:val="%7."/>
      <w:lvlJc w:val="left"/>
      <w:pPr>
        <w:ind w:left="5040" w:hanging="360"/>
      </w:pPr>
    </w:lvl>
    <w:lvl w:ilvl="7" w:tplc="49E2E41C" w:tentative="1">
      <w:start w:val="1"/>
      <w:numFmt w:val="lowerLetter"/>
      <w:lvlText w:val="%8."/>
      <w:lvlJc w:val="left"/>
      <w:pPr>
        <w:ind w:left="5760" w:hanging="360"/>
      </w:pPr>
    </w:lvl>
    <w:lvl w:ilvl="8" w:tplc="AD4E00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525874">
    <w:abstractNumId w:val="9"/>
  </w:num>
  <w:num w:numId="2" w16cid:durableId="1098715815">
    <w:abstractNumId w:val="9"/>
  </w:num>
  <w:num w:numId="3" w16cid:durableId="1906721494">
    <w:abstractNumId w:val="7"/>
  </w:num>
  <w:num w:numId="4" w16cid:durableId="115493898">
    <w:abstractNumId w:val="7"/>
  </w:num>
  <w:num w:numId="5" w16cid:durableId="1076436453">
    <w:abstractNumId w:val="6"/>
  </w:num>
  <w:num w:numId="6" w16cid:durableId="1599561136">
    <w:abstractNumId w:val="6"/>
  </w:num>
  <w:num w:numId="7" w16cid:durableId="1859076159">
    <w:abstractNumId w:val="5"/>
  </w:num>
  <w:num w:numId="8" w16cid:durableId="1915966077">
    <w:abstractNumId w:val="5"/>
  </w:num>
  <w:num w:numId="9" w16cid:durableId="347605477">
    <w:abstractNumId w:val="4"/>
  </w:num>
  <w:num w:numId="10" w16cid:durableId="1549300121">
    <w:abstractNumId w:val="4"/>
  </w:num>
  <w:num w:numId="11" w16cid:durableId="131336604">
    <w:abstractNumId w:val="8"/>
  </w:num>
  <w:num w:numId="12" w16cid:durableId="958027280">
    <w:abstractNumId w:val="8"/>
  </w:num>
  <w:num w:numId="13" w16cid:durableId="562837282">
    <w:abstractNumId w:val="3"/>
  </w:num>
  <w:num w:numId="14" w16cid:durableId="1581719370">
    <w:abstractNumId w:val="3"/>
  </w:num>
  <w:num w:numId="15" w16cid:durableId="1091003185">
    <w:abstractNumId w:val="2"/>
  </w:num>
  <w:num w:numId="16" w16cid:durableId="141197083">
    <w:abstractNumId w:val="2"/>
  </w:num>
  <w:num w:numId="17" w16cid:durableId="105200294">
    <w:abstractNumId w:val="1"/>
  </w:num>
  <w:num w:numId="18" w16cid:durableId="1263804149">
    <w:abstractNumId w:val="1"/>
  </w:num>
  <w:num w:numId="19" w16cid:durableId="1134716301">
    <w:abstractNumId w:val="0"/>
  </w:num>
  <w:num w:numId="20" w16cid:durableId="598829242">
    <w:abstractNumId w:val="0"/>
  </w:num>
  <w:num w:numId="21" w16cid:durableId="629626053">
    <w:abstractNumId w:val="9"/>
  </w:num>
  <w:num w:numId="22" w16cid:durableId="508251856">
    <w:abstractNumId w:val="7"/>
  </w:num>
  <w:num w:numId="23" w16cid:durableId="819880713">
    <w:abstractNumId w:val="6"/>
  </w:num>
  <w:num w:numId="24" w16cid:durableId="1445609187">
    <w:abstractNumId w:val="5"/>
  </w:num>
  <w:num w:numId="25" w16cid:durableId="578251789">
    <w:abstractNumId w:val="4"/>
  </w:num>
  <w:num w:numId="26" w16cid:durableId="532498364">
    <w:abstractNumId w:val="8"/>
  </w:num>
  <w:num w:numId="27" w16cid:durableId="34936447">
    <w:abstractNumId w:val="3"/>
  </w:num>
  <w:num w:numId="28" w16cid:durableId="696078933">
    <w:abstractNumId w:val="2"/>
  </w:num>
  <w:num w:numId="29" w16cid:durableId="545340801">
    <w:abstractNumId w:val="1"/>
  </w:num>
  <w:num w:numId="30" w16cid:durableId="1053383561">
    <w:abstractNumId w:val="0"/>
  </w:num>
  <w:num w:numId="31" w16cid:durableId="964628230">
    <w:abstractNumId w:val="9"/>
  </w:num>
  <w:num w:numId="32" w16cid:durableId="1373001625">
    <w:abstractNumId w:val="7"/>
  </w:num>
  <w:num w:numId="33" w16cid:durableId="861941063">
    <w:abstractNumId w:val="6"/>
  </w:num>
  <w:num w:numId="34" w16cid:durableId="181630136">
    <w:abstractNumId w:val="5"/>
  </w:num>
  <w:num w:numId="35" w16cid:durableId="1988431523">
    <w:abstractNumId w:val="4"/>
  </w:num>
  <w:num w:numId="36" w16cid:durableId="318466885">
    <w:abstractNumId w:val="8"/>
  </w:num>
  <w:num w:numId="37" w16cid:durableId="374816790">
    <w:abstractNumId w:val="3"/>
  </w:num>
  <w:num w:numId="38" w16cid:durableId="1045443043">
    <w:abstractNumId w:val="2"/>
  </w:num>
  <w:num w:numId="39" w16cid:durableId="227692713">
    <w:abstractNumId w:val="1"/>
  </w:num>
  <w:num w:numId="40" w16cid:durableId="287784595">
    <w:abstractNumId w:val="0"/>
  </w:num>
  <w:num w:numId="41" w16cid:durableId="6014559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KEY" w:val="LIBE"/>
    <w:docVar w:name="DOCDT" w:val="30/09/2025"/>
    <w:docVar w:name="LastEditedSection" w:val=" 1"/>
    <w:docVar w:name="MOTIONMNU" w:val=" 3"/>
    <w:docVar w:name="RULEMNU" w:val=" 1"/>
    <w:docVar w:name="strDocTypeID" w:val="PR_INI"/>
    <w:docVar w:name="strSubDir" w:val="1328"/>
    <w:docVar w:name="TITLEMNU" w:val=" 1"/>
    <w:docVar w:name="TXTAUTHOR" w:val="Anna Strolenberg"/>
    <w:docVar w:name="TXTLANGUE" w:val="PT"/>
    <w:docVar w:name="TXTLANGUEMIN" w:val="pt"/>
    <w:docVar w:name="TXTNRINI" w:val="2025/2135"/>
    <w:docVar w:name="TXTNRPE" w:val="778.093"/>
    <w:docVar w:name="TXTPEorAP" w:val="PE"/>
    <w:docVar w:name="TXTROUTE" w:val="PR\1328636PT.docx"/>
    <w:docVar w:name="TXTTITLE" w:val="situation of fundamental rights in the European Union in 2024 and 2025"/>
    <w:docVar w:name="TXTVERSION" w:val="01-00"/>
  </w:docVars>
  <w:rsids>
    <w:rsidRoot w:val="00B413CC"/>
    <w:rsid w:val="00040EAC"/>
    <w:rsid w:val="0007541B"/>
    <w:rsid w:val="00082B37"/>
    <w:rsid w:val="000C72F2"/>
    <w:rsid w:val="000D2631"/>
    <w:rsid w:val="00100069"/>
    <w:rsid w:val="001046B1"/>
    <w:rsid w:val="00105C44"/>
    <w:rsid w:val="00173309"/>
    <w:rsid w:val="001B207D"/>
    <w:rsid w:val="00203A72"/>
    <w:rsid w:val="0023245A"/>
    <w:rsid w:val="00245869"/>
    <w:rsid w:val="002544DF"/>
    <w:rsid w:val="0026474F"/>
    <w:rsid w:val="00276B35"/>
    <w:rsid w:val="002A573E"/>
    <w:rsid w:val="002E51C7"/>
    <w:rsid w:val="00335F69"/>
    <w:rsid w:val="003931EC"/>
    <w:rsid w:val="00395A66"/>
    <w:rsid w:val="003E4507"/>
    <w:rsid w:val="003E6413"/>
    <w:rsid w:val="003F2D82"/>
    <w:rsid w:val="004016B4"/>
    <w:rsid w:val="0041163B"/>
    <w:rsid w:val="004200B3"/>
    <w:rsid w:val="00432B50"/>
    <w:rsid w:val="00455003"/>
    <w:rsid w:val="00466A1A"/>
    <w:rsid w:val="00486CEA"/>
    <w:rsid w:val="004B5405"/>
    <w:rsid w:val="004D4053"/>
    <w:rsid w:val="004E275F"/>
    <w:rsid w:val="005178FF"/>
    <w:rsid w:val="00531F4C"/>
    <w:rsid w:val="00584A07"/>
    <w:rsid w:val="006272CD"/>
    <w:rsid w:val="0068315D"/>
    <w:rsid w:val="006856CF"/>
    <w:rsid w:val="006A0113"/>
    <w:rsid w:val="00705D44"/>
    <w:rsid w:val="00726C82"/>
    <w:rsid w:val="00733CBA"/>
    <w:rsid w:val="007963C6"/>
    <w:rsid w:val="007A5ABF"/>
    <w:rsid w:val="007D55E7"/>
    <w:rsid w:val="00804BB6"/>
    <w:rsid w:val="0084620F"/>
    <w:rsid w:val="00851CF7"/>
    <w:rsid w:val="00865656"/>
    <w:rsid w:val="008955B4"/>
    <w:rsid w:val="008A4A43"/>
    <w:rsid w:val="008C4C65"/>
    <w:rsid w:val="0090583E"/>
    <w:rsid w:val="0095536F"/>
    <w:rsid w:val="00956282"/>
    <w:rsid w:val="00974A19"/>
    <w:rsid w:val="00983D5D"/>
    <w:rsid w:val="00996AC6"/>
    <w:rsid w:val="009A6E90"/>
    <w:rsid w:val="009E4ABB"/>
    <w:rsid w:val="009F5EEB"/>
    <w:rsid w:val="00A45202"/>
    <w:rsid w:val="00A666F1"/>
    <w:rsid w:val="00A75F49"/>
    <w:rsid w:val="00AA161F"/>
    <w:rsid w:val="00AB1F5E"/>
    <w:rsid w:val="00AC43CC"/>
    <w:rsid w:val="00AD54AC"/>
    <w:rsid w:val="00AF310F"/>
    <w:rsid w:val="00B03835"/>
    <w:rsid w:val="00B17532"/>
    <w:rsid w:val="00B413CC"/>
    <w:rsid w:val="00B85BF5"/>
    <w:rsid w:val="00BA203B"/>
    <w:rsid w:val="00BA2A57"/>
    <w:rsid w:val="00BA5076"/>
    <w:rsid w:val="00BA539D"/>
    <w:rsid w:val="00BB70F1"/>
    <w:rsid w:val="00BC7C60"/>
    <w:rsid w:val="00BE2E5E"/>
    <w:rsid w:val="00BF78BD"/>
    <w:rsid w:val="00C00074"/>
    <w:rsid w:val="00C21C5F"/>
    <w:rsid w:val="00C77D5E"/>
    <w:rsid w:val="00C93A60"/>
    <w:rsid w:val="00CD3E8A"/>
    <w:rsid w:val="00D31D25"/>
    <w:rsid w:val="00D449A2"/>
    <w:rsid w:val="00D47BB0"/>
    <w:rsid w:val="00D67185"/>
    <w:rsid w:val="00DB115A"/>
    <w:rsid w:val="00DB4680"/>
    <w:rsid w:val="00DD7B9D"/>
    <w:rsid w:val="00DF06AA"/>
    <w:rsid w:val="00E04792"/>
    <w:rsid w:val="00E155CA"/>
    <w:rsid w:val="00E24DB8"/>
    <w:rsid w:val="00E31134"/>
    <w:rsid w:val="00E3537C"/>
    <w:rsid w:val="00E61690"/>
    <w:rsid w:val="00E63DD4"/>
    <w:rsid w:val="00E66FE5"/>
    <w:rsid w:val="00E77B79"/>
    <w:rsid w:val="00EA15AB"/>
    <w:rsid w:val="00F076A5"/>
    <w:rsid w:val="00F3651F"/>
    <w:rsid w:val="00F714A9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AAD97B"/>
  <w15:chartTrackingRefBased/>
  <w15:docId w15:val="{8CE7D75E-EFA8-43F0-8D3A-3F0570B80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24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7963C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2544D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584A07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B1753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584A07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105C44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E353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E3537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E3537C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3537C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544D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544DF"/>
    <w:pPr>
      <w:jc w:val="right"/>
    </w:pPr>
  </w:style>
  <w:style w:type="paragraph" w:customStyle="1" w:styleId="EPFooter">
    <w:name w:val="EPFooter"/>
    <w:basedOn w:val="Normal"/>
    <w:rsid w:val="00584A0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105C44"/>
    <w:rPr>
      <w:sz w:val="24"/>
    </w:rPr>
  </w:style>
  <w:style w:type="paragraph" w:customStyle="1" w:styleId="EPComma">
    <w:name w:val="EPComma"/>
    <w:basedOn w:val="Normal"/>
    <w:rsid w:val="00432B50"/>
    <w:pPr>
      <w:spacing w:before="480" w:after="240"/>
    </w:pPr>
  </w:style>
  <w:style w:type="paragraph" w:customStyle="1" w:styleId="Normal12a">
    <w:name w:val="Normal12a"/>
    <w:basedOn w:val="Normal"/>
    <w:rsid w:val="00276B35"/>
    <w:pPr>
      <w:spacing w:after="240"/>
    </w:pPr>
  </w:style>
  <w:style w:type="paragraph" w:customStyle="1" w:styleId="CoverNormal12a">
    <w:name w:val="CoverNormal12a"/>
    <w:basedOn w:val="Normal"/>
    <w:rsid w:val="00C21C5F"/>
    <w:pPr>
      <w:spacing w:after="240"/>
      <w:ind w:left="1418"/>
    </w:pPr>
  </w:style>
  <w:style w:type="paragraph" w:styleId="FootnoteText">
    <w:name w:val="footnote text"/>
    <w:basedOn w:val="Normal"/>
    <w:link w:val="FootnoteTextChar"/>
    <w:unhideWhenUsed/>
    <w:rsid w:val="00983D5D"/>
    <w:pPr>
      <w:widowControl/>
      <w:suppressAutoHyphens/>
      <w:autoSpaceDN w:val="0"/>
    </w:pPr>
    <w:rPr>
      <w:rFonts w:ascii="Calibri" w:eastAsia="Calibri" w:hAnsi="Calibri" w:cs="Arial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983D5D"/>
    <w:rPr>
      <w:rFonts w:ascii="Calibri" w:eastAsia="Calibri" w:hAnsi="Calibri" w:cs="Arial"/>
      <w:lang w:eastAsia="en-US"/>
    </w:rPr>
  </w:style>
  <w:style w:type="character" w:styleId="FootnoteReference">
    <w:name w:val="footnote reference"/>
    <w:basedOn w:val="DefaultParagraphFont"/>
    <w:unhideWhenUsed/>
    <w:rsid w:val="00983D5D"/>
    <w:rPr>
      <w:position w:val="0"/>
      <w:vertAlign w:val="superscript"/>
    </w:rPr>
  </w:style>
  <w:style w:type="paragraph" w:styleId="ListParagraph">
    <w:name w:val="List Paragraph"/>
    <w:basedOn w:val="Normal"/>
    <w:uiPriority w:val="34"/>
    <w:qFormat/>
    <w:rsid w:val="00C77D5E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4E27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4E275F"/>
    <w:rPr>
      <w:sz w:val="24"/>
    </w:rPr>
  </w:style>
  <w:style w:type="paragraph" w:styleId="Revision">
    <w:name w:val="Revision"/>
    <w:hidden/>
    <w:uiPriority w:val="99"/>
    <w:semiHidden/>
    <w:rsid w:val="004B5405"/>
    <w:rPr>
      <w:sz w:val="24"/>
    </w:rPr>
  </w:style>
  <w:style w:type="character" w:styleId="CommentReference">
    <w:name w:val="annotation reference"/>
    <w:basedOn w:val="DefaultParagraphFont"/>
    <w:rsid w:val="00AC43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43C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43C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C43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C43CC"/>
    <w:rPr>
      <w:b/>
      <w:bCs/>
    </w:rPr>
  </w:style>
  <w:style w:type="character" w:styleId="Hyperlink">
    <w:name w:val="Hyperlink"/>
    <w:basedOn w:val="DefaultParagraphFont"/>
    <w:rsid w:val="00AC43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43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75F4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4/6340/oj" TargetMode="External"/><Relationship Id="rId3" Type="http://schemas.openxmlformats.org/officeDocument/2006/relationships/hyperlink" Target="http://data.europa.eu/eli/dir/2024/1069/oj" TargetMode="External"/><Relationship Id="rId7" Type="http://schemas.openxmlformats.org/officeDocument/2006/relationships/hyperlink" Target="http://data.europa.eu/eli/dir/2000/43/oj" TargetMode="External"/><Relationship Id="rId2" Type="http://schemas.openxmlformats.org/officeDocument/2006/relationships/hyperlink" Target="http://data.europa.eu/eli/reg/2024/1083/oj" TargetMode="External"/><Relationship Id="rId1" Type="http://schemas.openxmlformats.org/officeDocument/2006/relationships/hyperlink" Target="http://data.europa.eu/eli/dir/2024/1385/oj" TargetMode="External"/><Relationship Id="rId6" Type="http://schemas.openxmlformats.org/officeDocument/2006/relationships/hyperlink" Target="http://data.europa.eu/eli/dec_framw/2008/913/oj" TargetMode="External"/><Relationship Id="rId5" Type="http://schemas.openxmlformats.org/officeDocument/2006/relationships/hyperlink" Target="http://data.europa.eu/eli/reg/2016/679/oj" TargetMode="External"/><Relationship Id="rId4" Type="http://schemas.openxmlformats.org/officeDocument/2006/relationships/hyperlink" Target="http://data.europa.eu/eli/reg/2020/2092/oj" TargetMode="External"/><Relationship Id="rId9" Type="http://schemas.openxmlformats.org/officeDocument/2006/relationships/hyperlink" Target="http://data.europa.eu/eli/C/2024/573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1A803-EBFE-4426-BFD6-449217491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4126</Words>
  <Characters>22036</Characters>
  <Application>Microsoft Office Word</Application>
  <DocSecurity>0</DocSecurity>
  <Lines>393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</vt:lpstr>
    </vt:vector>
  </TitlesOfParts>
  <Company/>
  <LinksUpToDate>false</LinksUpToDate>
  <CharactersWithSpaces>25993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CANCELA Rita</dc:creator>
  <cp:lastModifiedBy>CABRAL BARBOSA Vanda</cp:lastModifiedBy>
  <cp:revision>2</cp:revision>
  <cp:lastPrinted>2025-10-01T13:01:00Z</cp:lastPrinted>
  <dcterms:created xsi:type="dcterms:W3CDTF">2025-10-09T16:02:00Z</dcterms:created>
  <dcterms:modified xsi:type="dcterms:W3CDTF">2025-10-09T16:02:00Z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1328636</vt:lpwstr>
  </property>
  <property fmtid="{D5CDD505-2E9C-101B-9397-08002B2CF9AE}" pid="4" name="&lt;Model&gt;">
    <vt:lpwstr>PR_INI</vt:lpwstr>
  </property>
  <property fmtid="{D5CDD505-2E9C-101B-9397-08002B2CF9AE}" pid="5" name="&lt;ModelCod&gt;">
    <vt:lpwstr>\\eiciBRUpr1\pdocep$\DocEP\DOCS\General\PR\PR_NonLeg\INI\PR_INI.dotx(18/02/2025 09:53:03)</vt:lpwstr>
  </property>
  <property fmtid="{D5CDD505-2E9C-101B-9397-08002B2CF9AE}" pid="6" name="&lt;ModelTra&gt;">
    <vt:lpwstr>\\eiciBRUpr1\pdocep$\DocEP\TRANSFIL\EN\PR_INI.EN(18/02/2025 09:54:04)</vt:lpwstr>
  </property>
  <property fmtid="{D5CDD505-2E9C-101B-9397-08002B2CF9AE}" pid="7" name="&lt;Type&gt;">
    <vt:lpwstr>PR</vt:lpwstr>
  </property>
  <property fmtid="{D5CDD505-2E9C-101B-9397-08002B2CF9AE}" pid="8" name="Bookout">
    <vt:lpwstr>OK - 2025/10/09 18:02</vt:lpwstr>
  </property>
  <property fmtid="{D5CDD505-2E9C-101B-9397-08002B2CF9AE}" pid="9" name="Created with">
    <vt:lpwstr>10.1.2 Build [20250817]</vt:lpwstr>
  </property>
  <property fmtid="{D5CDD505-2E9C-101B-9397-08002B2CF9AE}" pid="10" name="FooterPath">
    <vt:lpwstr>PR\1328636PT.docx</vt:lpwstr>
  </property>
  <property fmtid="{D5CDD505-2E9C-101B-9397-08002B2CF9AE}" pid="11" name="LastEdited with">
    <vt:lpwstr>10.1.2 Build [20250817]</vt:lpwstr>
  </property>
  <property fmtid="{D5CDD505-2E9C-101B-9397-08002B2CF9AE}" pid="12" name="PE number">
    <vt:lpwstr>778.093</vt:lpwstr>
  </property>
  <property fmtid="{D5CDD505-2E9C-101B-9397-08002B2CF9AE}" pid="13" name="SDLStudio">
    <vt:lpwstr/>
  </property>
  <property fmtid="{D5CDD505-2E9C-101B-9397-08002B2CF9AE}" pid="14" name="SendToEpades">
    <vt:lpwstr>OK - 2025/09/30 12:16</vt:lpwstr>
  </property>
</Properties>
</file>