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54DD9" w:rsidRPr="008A17E5" w14:paraId="6985C897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E211F8" w14:textId="77777777" w:rsidR="00C05DD8" w:rsidRPr="008A17E5" w:rsidRDefault="00CC3759" w:rsidP="00C85D0F">
            <w:pPr>
              <w:pStyle w:val="EPName"/>
            </w:pPr>
            <w:r w:rsidRPr="008A17E5">
              <w:t>Parlament Europejski</w:t>
            </w:r>
          </w:p>
          <w:p w14:paraId="25D8386D" w14:textId="77777777" w:rsidR="00C05DD8" w:rsidRPr="008A17E5" w:rsidRDefault="00CC3759" w:rsidP="00DF28EA">
            <w:pPr>
              <w:pStyle w:val="EPTerm"/>
            </w:pPr>
            <w:r w:rsidRPr="008A17E5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2F98590" w14:textId="77777777" w:rsidR="00C05DD8" w:rsidRPr="008A17E5" w:rsidRDefault="00CC3759" w:rsidP="00C85D0F">
            <w:pPr>
              <w:pStyle w:val="EPLogo"/>
            </w:pPr>
            <w:r w:rsidRPr="008A17E5">
              <w:rPr>
                <w:noProof/>
              </w:rPr>
              <w:drawing>
                <wp:inline distT="0" distB="0" distL="0" distR="0" wp14:anchorId="29CC2B18" wp14:editId="189E02E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6D3C9F" w14:textId="77777777" w:rsidR="009612AA" w:rsidRPr="008A17E5" w:rsidRDefault="009612AA" w:rsidP="009612AA">
      <w:pPr>
        <w:pStyle w:val="LineTop"/>
      </w:pPr>
    </w:p>
    <w:p w14:paraId="15BB6B98" w14:textId="77777777" w:rsidR="009612AA" w:rsidRPr="008A17E5" w:rsidRDefault="00CC3759" w:rsidP="009612AA">
      <w:pPr>
        <w:pStyle w:val="EPBody"/>
      </w:pPr>
      <w:r w:rsidRPr="008A17E5">
        <w:rPr>
          <w:rStyle w:val="HideTWBExt"/>
        </w:rPr>
        <w:t>&lt;</w:t>
      </w:r>
      <w:r w:rsidRPr="008A17E5">
        <w:rPr>
          <w:rStyle w:val="HideTWBExt"/>
          <w:i w:val="0"/>
        </w:rPr>
        <w:t>Commission</w:t>
      </w:r>
      <w:r w:rsidRPr="008A17E5">
        <w:rPr>
          <w:rStyle w:val="HideTWBExt"/>
        </w:rPr>
        <w:t>&gt;</w:t>
      </w:r>
      <w:r w:rsidRPr="008A17E5">
        <w:rPr>
          <w:rStyle w:val="HideTWBInt"/>
          <w:color w:val="auto"/>
        </w:rPr>
        <w:t>{LIBE}</w:t>
      </w:r>
      <w:r w:rsidRPr="008A17E5">
        <w:t>Komisja Wolności Obywatelskich, Sprawiedliwości i Spraw Wewnętrznych</w:t>
      </w:r>
      <w:r w:rsidRPr="008A17E5">
        <w:rPr>
          <w:rStyle w:val="HideTWBExt"/>
        </w:rPr>
        <w:t>&lt;/</w:t>
      </w:r>
      <w:r w:rsidRPr="008A17E5">
        <w:rPr>
          <w:rStyle w:val="HideTWBExt"/>
          <w:i w:val="0"/>
        </w:rPr>
        <w:t>Commission</w:t>
      </w:r>
      <w:r w:rsidRPr="008A17E5">
        <w:rPr>
          <w:rStyle w:val="HideTWBExt"/>
        </w:rPr>
        <w:t>&gt;</w:t>
      </w:r>
    </w:p>
    <w:p w14:paraId="521B52CD" w14:textId="77777777" w:rsidR="009612AA" w:rsidRPr="008A17E5" w:rsidRDefault="009612AA" w:rsidP="009612AA">
      <w:pPr>
        <w:pStyle w:val="LineBottom"/>
      </w:pPr>
    </w:p>
    <w:p w14:paraId="7D445F3B" w14:textId="77777777" w:rsidR="00363B94" w:rsidRPr="008A17E5" w:rsidRDefault="00CC3759">
      <w:pPr>
        <w:pStyle w:val="CoverReference"/>
      </w:pPr>
      <w:r w:rsidRPr="008A17E5">
        <w:rPr>
          <w:rStyle w:val="HideTWBExt"/>
          <w:b w:val="0"/>
        </w:rPr>
        <w:t>&lt;RefProc&gt;</w:t>
      </w:r>
      <w:r w:rsidRPr="008A17E5">
        <w:t>2024/0305</w:t>
      </w:r>
      <w:r w:rsidRPr="008A17E5">
        <w:rPr>
          <w:rStyle w:val="HideTWBExt"/>
          <w:b w:val="0"/>
        </w:rPr>
        <w:t>&lt;/RefProc&gt;&lt;RefTypeProc&gt;</w:t>
      </w:r>
      <w:r w:rsidRPr="008A17E5">
        <w:t>(NLE)</w:t>
      </w:r>
      <w:r w:rsidRPr="008A17E5">
        <w:rPr>
          <w:rStyle w:val="HideTWBExt"/>
          <w:b w:val="0"/>
        </w:rPr>
        <w:t>&lt;/RefTypeProc&gt;</w:t>
      </w:r>
    </w:p>
    <w:p w14:paraId="430655B1" w14:textId="77777777" w:rsidR="00363B94" w:rsidRPr="008A17E5" w:rsidRDefault="00CC3759">
      <w:pPr>
        <w:pStyle w:val="CoverDate"/>
      </w:pPr>
      <w:r w:rsidRPr="008A17E5">
        <w:rPr>
          <w:rStyle w:val="HideTWBExt"/>
        </w:rPr>
        <w:t>&lt;Date&gt;</w:t>
      </w:r>
      <w:r w:rsidRPr="008A17E5">
        <w:rPr>
          <w:rStyle w:val="HideTWBInt"/>
          <w:color w:val="auto"/>
        </w:rPr>
        <w:t>{23/10/2025}</w:t>
      </w:r>
      <w:r w:rsidRPr="008A17E5">
        <w:t>23.10.2025</w:t>
      </w:r>
      <w:r w:rsidRPr="008A17E5">
        <w:rPr>
          <w:rStyle w:val="HideTWBExt"/>
        </w:rPr>
        <w:t>&lt;/Date&gt;</w:t>
      </w:r>
    </w:p>
    <w:p w14:paraId="6512397F" w14:textId="77777777" w:rsidR="00363B94" w:rsidRPr="008A17E5" w:rsidRDefault="00CC3759">
      <w:pPr>
        <w:pStyle w:val="CoverDocType"/>
      </w:pPr>
      <w:r w:rsidRPr="008A17E5">
        <w:rPr>
          <w:rStyle w:val="HideTWBExt"/>
          <w:b w:val="0"/>
        </w:rPr>
        <w:t>&lt;RefProcLect&gt;</w:t>
      </w:r>
      <w:r w:rsidRPr="008A17E5">
        <w:t>***</w:t>
      </w:r>
      <w:r w:rsidRPr="008A17E5">
        <w:rPr>
          <w:rStyle w:val="HideTWBExt"/>
          <w:b w:val="0"/>
        </w:rPr>
        <w:t>&lt;/RefProcLect&gt;</w:t>
      </w:r>
    </w:p>
    <w:p w14:paraId="0734A0F2" w14:textId="77777777" w:rsidR="00363B94" w:rsidRPr="008A17E5" w:rsidRDefault="00CC3759">
      <w:pPr>
        <w:pStyle w:val="CoverDocType24a"/>
      </w:pPr>
      <w:r w:rsidRPr="008A17E5">
        <w:rPr>
          <w:rStyle w:val="HideTWBExt"/>
          <w:b w:val="0"/>
        </w:rPr>
        <w:t>&lt;TitreType&gt;</w:t>
      </w:r>
      <w:r w:rsidRPr="008A17E5">
        <w:t>PROJEKT ZALECENIA</w:t>
      </w:r>
      <w:r w:rsidRPr="008A17E5">
        <w:rPr>
          <w:rStyle w:val="HideTWBExt"/>
          <w:b w:val="0"/>
        </w:rPr>
        <w:t>&lt;/TitreType&gt;</w:t>
      </w:r>
    </w:p>
    <w:p w14:paraId="090F154C" w14:textId="77777777" w:rsidR="00363B94" w:rsidRPr="008A17E5" w:rsidRDefault="00CC3759">
      <w:pPr>
        <w:pStyle w:val="CoverNormal"/>
      </w:pPr>
      <w:r w:rsidRPr="008A17E5">
        <w:rPr>
          <w:rStyle w:val="HideTWBExt"/>
        </w:rPr>
        <w:t>&lt;Titre&gt;</w:t>
      </w:r>
      <w:r w:rsidRPr="008A17E5">
        <w:t>w sprawie projektu decyzji Rady w sprawie zawarcia Umowy między Unią Europejską a Bośnią i Hercegowiną dotyczącej działań operacyjnych prowadzonych przez Europejską Agencję Straży Granicznej i Przybrzeżnej w Bośni i Hercegowinie</w:t>
      </w:r>
      <w:r w:rsidRPr="008A17E5">
        <w:rPr>
          <w:rStyle w:val="HideTWBExt"/>
        </w:rPr>
        <w:t>&lt;/Titre&gt;</w:t>
      </w:r>
    </w:p>
    <w:p w14:paraId="22B0ACA0" w14:textId="77777777" w:rsidR="00363B94" w:rsidRPr="008A17E5" w:rsidRDefault="00CC3759">
      <w:pPr>
        <w:pStyle w:val="CoverNormal24a"/>
      </w:pPr>
      <w:r w:rsidRPr="008A17E5">
        <w:rPr>
          <w:rStyle w:val="HideTWBExt"/>
        </w:rPr>
        <w:t>&lt;DocRef&gt;</w:t>
      </w:r>
      <w:r w:rsidRPr="008A17E5">
        <w:t>(16666/2024 – C10</w:t>
      </w:r>
      <w:r w:rsidRPr="008A17E5">
        <w:noBreakHyphen/>
        <w:t>0117/2025 – 2024/0305(NLE))</w:t>
      </w:r>
      <w:r w:rsidRPr="008A17E5">
        <w:rPr>
          <w:rStyle w:val="HideTWBExt"/>
        </w:rPr>
        <w:t>&lt;/DocRef&gt;</w:t>
      </w:r>
    </w:p>
    <w:p w14:paraId="6EDB2973" w14:textId="77777777" w:rsidR="00363B94" w:rsidRPr="008A17E5" w:rsidRDefault="00CC3759">
      <w:pPr>
        <w:pStyle w:val="CoverNormal24a"/>
      </w:pPr>
      <w:r w:rsidRPr="008A17E5">
        <w:rPr>
          <w:rStyle w:val="HideTWBExt"/>
        </w:rPr>
        <w:t>&lt;Commission&gt;</w:t>
      </w:r>
      <w:r w:rsidRPr="008A17E5">
        <w:rPr>
          <w:rStyle w:val="HideTWBInt"/>
          <w:color w:val="auto"/>
        </w:rPr>
        <w:t>{LIBE}</w:t>
      </w:r>
      <w:r w:rsidRPr="008A17E5">
        <w:t>Komisja Wolności Obywatelskich, Sprawiedliwości i Spraw Wewnętrznych</w:t>
      </w:r>
      <w:r w:rsidRPr="008A17E5">
        <w:rPr>
          <w:rStyle w:val="HideTWBExt"/>
        </w:rPr>
        <w:t>&lt;/Commission&gt;</w:t>
      </w:r>
    </w:p>
    <w:p w14:paraId="68D20AE0" w14:textId="77777777" w:rsidR="00363B94" w:rsidRPr="008A17E5" w:rsidRDefault="00CC3759">
      <w:pPr>
        <w:pStyle w:val="CoverNormal24a"/>
      </w:pPr>
      <w:r w:rsidRPr="008A17E5">
        <w:t xml:space="preserve">Sprawozdawca: </w:t>
      </w:r>
      <w:r w:rsidRPr="008A17E5">
        <w:rPr>
          <w:rStyle w:val="HideTWBExt"/>
        </w:rPr>
        <w:t>&lt;Depute&gt;</w:t>
      </w:r>
      <w:r w:rsidRPr="008A17E5">
        <w:t xml:space="preserve">Jaroslav </w:t>
      </w:r>
      <w:proofErr w:type="spellStart"/>
      <w:r w:rsidRPr="008A17E5">
        <w:t>Bžoch</w:t>
      </w:r>
      <w:proofErr w:type="spellEnd"/>
      <w:r w:rsidRPr="008A17E5">
        <w:rPr>
          <w:rStyle w:val="HideTWBExt"/>
        </w:rPr>
        <w:t>&lt;/Depute&gt;</w:t>
      </w:r>
    </w:p>
    <w:p w14:paraId="5CF81501" w14:textId="77777777" w:rsidR="00B42885" w:rsidRPr="008A17E5" w:rsidRDefault="00B42885" w:rsidP="00B42885">
      <w:pPr>
        <w:pStyle w:val="CoverNormal"/>
      </w:pPr>
    </w:p>
    <w:p w14:paraId="344ABB34" w14:textId="2B2C7F77" w:rsidR="00DF28EA" w:rsidRPr="008A17E5" w:rsidRDefault="00CC3759" w:rsidP="00016E55">
      <w:r w:rsidRPr="008A17E5">
        <w:br w:type="page"/>
      </w:r>
      <w:r w:rsidRPr="008A17E5">
        <w:lastRenderedPageBreak/>
        <w:fldChar w:fldCharType="begin"/>
      </w:r>
      <w:r w:rsidRPr="008A17E5">
        <w:instrText xml:space="preserve"> TITLE  \* MERGEFORMAT </w:instrText>
      </w:r>
      <w:r w:rsidRPr="008A17E5">
        <w:fldChar w:fldCharType="separate"/>
      </w:r>
      <w:r>
        <w:t>PR_NLE-</w:t>
      </w:r>
      <w:proofErr w:type="spellStart"/>
      <w:r>
        <w:t>AP_Agreement</w:t>
      </w:r>
      <w:proofErr w:type="spellEnd"/>
      <w:r w:rsidRPr="008A17E5">
        <w:fldChar w:fldCharType="end"/>
      </w:r>
    </w:p>
    <w:p w14:paraId="31FC8CB0" w14:textId="77777777" w:rsidR="00DF28EA" w:rsidRPr="008A17E5" w:rsidRDefault="00DF28EA" w:rsidP="00016E55"/>
    <w:p w14:paraId="40AE0AC3" w14:textId="77777777" w:rsidR="00DF28EA" w:rsidRPr="008A17E5" w:rsidRDefault="00DF28EA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F54DD9" w:rsidRPr="008A17E5" w14:paraId="74A1C331" w14:textId="77777777">
        <w:tc>
          <w:tcPr>
            <w:tcW w:w="5811" w:type="dxa"/>
          </w:tcPr>
          <w:p w14:paraId="6FDFB7F9" w14:textId="77777777" w:rsidR="00DF28EA" w:rsidRPr="008A17E5" w:rsidRDefault="00CC3759" w:rsidP="00016E55">
            <w:pPr>
              <w:pStyle w:val="Lgendetitre"/>
            </w:pPr>
            <w:r w:rsidRPr="008A17E5">
              <w:t>Objaśnienie używanych znaków</w:t>
            </w:r>
          </w:p>
        </w:tc>
      </w:tr>
      <w:tr w:rsidR="00F54DD9" w:rsidRPr="008A17E5" w14:paraId="3D4D580E" w14:textId="77777777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7CCA12D4" w14:textId="77777777" w:rsidR="00DF28EA" w:rsidRPr="008A17E5" w:rsidRDefault="00CC3759" w:rsidP="00717061">
            <w:pPr>
              <w:pStyle w:val="Lgendesigne"/>
            </w:pPr>
            <w:r w:rsidRPr="008A17E5">
              <w:tab/>
              <w:t>*</w:t>
            </w:r>
            <w:r w:rsidRPr="008A17E5">
              <w:tab/>
              <w:t>Procedura konsultacji</w:t>
            </w:r>
          </w:p>
          <w:p w14:paraId="6F413BBC" w14:textId="77777777" w:rsidR="00DF28EA" w:rsidRPr="008A17E5" w:rsidRDefault="00CC3759" w:rsidP="00717061">
            <w:pPr>
              <w:pStyle w:val="Lgendesigne"/>
            </w:pPr>
            <w:r w:rsidRPr="008A17E5">
              <w:tab/>
              <w:t>***</w:t>
            </w:r>
            <w:r w:rsidRPr="008A17E5">
              <w:tab/>
              <w:t>Procedura zgody</w:t>
            </w:r>
          </w:p>
          <w:p w14:paraId="349D8AB7" w14:textId="77777777" w:rsidR="00DF28EA" w:rsidRPr="008A17E5" w:rsidRDefault="00CC3759" w:rsidP="00717061">
            <w:pPr>
              <w:pStyle w:val="Lgendesigne"/>
            </w:pPr>
            <w:r w:rsidRPr="008A17E5">
              <w:tab/>
              <w:t>***I</w:t>
            </w:r>
            <w:r w:rsidRPr="008A17E5">
              <w:tab/>
              <w:t>Zwykła procedura ustawodawcza (pierwsze czytanie)</w:t>
            </w:r>
          </w:p>
          <w:p w14:paraId="1ADF6C38" w14:textId="77777777" w:rsidR="00DF28EA" w:rsidRPr="008A17E5" w:rsidRDefault="00CC3759" w:rsidP="00717061">
            <w:pPr>
              <w:pStyle w:val="Lgendesigne"/>
            </w:pPr>
            <w:r w:rsidRPr="008A17E5">
              <w:tab/>
              <w:t>***II</w:t>
            </w:r>
            <w:r w:rsidRPr="008A17E5">
              <w:tab/>
              <w:t xml:space="preserve">Zwykła procedura ustawodawcza </w:t>
            </w:r>
            <w:r w:rsidRPr="008A17E5">
              <w:t>(drugie czytanie)</w:t>
            </w:r>
          </w:p>
          <w:p w14:paraId="08475CBD" w14:textId="77777777" w:rsidR="00DF28EA" w:rsidRPr="008A17E5" w:rsidRDefault="00CC3759" w:rsidP="00717061">
            <w:pPr>
              <w:pStyle w:val="Lgendesigne"/>
            </w:pPr>
            <w:r w:rsidRPr="008A17E5">
              <w:tab/>
              <w:t>***III</w:t>
            </w:r>
            <w:r w:rsidRPr="008A17E5">
              <w:tab/>
              <w:t>Zwykła procedura ustawodawcza (trzecie czytanie)</w:t>
            </w:r>
          </w:p>
          <w:p w14:paraId="34BD8192" w14:textId="77777777" w:rsidR="00DF28EA" w:rsidRPr="008A17E5" w:rsidRDefault="00DF28EA" w:rsidP="00717061">
            <w:pPr>
              <w:pStyle w:val="Lgendestandard"/>
            </w:pPr>
          </w:p>
          <w:p w14:paraId="65209FBE" w14:textId="77777777" w:rsidR="00DF28EA" w:rsidRPr="008A17E5" w:rsidRDefault="00CC3759" w:rsidP="00717061">
            <w:pPr>
              <w:pStyle w:val="Lgendestandard"/>
            </w:pPr>
            <w:r w:rsidRPr="008A17E5">
              <w:t>(Wskazana procedura opiera się na podstawie prawnej zaproponowanej w projekcie aktu.)</w:t>
            </w:r>
          </w:p>
          <w:p w14:paraId="2F9D36D5" w14:textId="77777777" w:rsidR="00DF28EA" w:rsidRPr="008A17E5" w:rsidRDefault="00DF28EA" w:rsidP="00B837B7">
            <w:pPr>
              <w:pStyle w:val="Lgendestandard"/>
            </w:pPr>
          </w:p>
        </w:tc>
      </w:tr>
    </w:tbl>
    <w:p w14:paraId="5B37E049" w14:textId="77777777" w:rsidR="00DF28EA" w:rsidRPr="008A17E5" w:rsidRDefault="00DF28EA" w:rsidP="00016E55"/>
    <w:p w14:paraId="09A42A23" w14:textId="77777777" w:rsidR="00363B94" w:rsidRPr="008A17E5" w:rsidRDefault="00363B94" w:rsidP="00613F2E">
      <w:pPr>
        <w:widowControl/>
        <w:tabs>
          <w:tab w:val="center" w:pos="4677"/>
        </w:tabs>
      </w:pPr>
    </w:p>
    <w:p w14:paraId="79F13D7A" w14:textId="77777777" w:rsidR="00363B94" w:rsidRPr="008A17E5" w:rsidRDefault="00CC3759">
      <w:pPr>
        <w:pStyle w:val="TOCHeading"/>
      </w:pPr>
      <w:r w:rsidRPr="008A17E5">
        <w:br w:type="page"/>
      </w:r>
      <w:r w:rsidRPr="008A17E5">
        <w:lastRenderedPageBreak/>
        <w:t>SPIS TREŚCI</w:t>
      </w:r>
    </w:p>
    <w:p w14:paraId="36D07D70" w14:textId="77777777" w:rsidR="00363B94" w:rsidRPr="008A17E5" w:rsidRDefault="00CC3759">
      <w:pPr>
        <w:pStyle w:val="TOCPage"/>
      </w:pPr>
      <w:r w:rsidRPr="008A17E5">
        <w:t>Strona</w:t>
      </w:r>
    </w:p>
    <w:p w14:paraId="03ADAA67" w14:textId="01F64454" w:rsidR="00CC3759" w:rsidRPr="00CC3759" w:rsidRDefault="00CC375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14:ligatures w14:val="standardContextual"/>
        </w:rPr>
      </w:pPr>
      <w:r w:rsidRPr="008A17E5">
        <w:fldChar w:fldCharType="begin"/>
      </w:r>
      <w:r w:rsidRPr="008A17E5">
        <w:instrText xml:space="preserve"> TOC \t "PageHeading</w:instrText>
      </w:r>
      <w:r>
        <w:instrText>;</w:instrText>
      </w:r>
      <w:r w:rsidRPr="008A17E5">
        <w:instrText xml:space="preserve">1" </w:instrText>
      </w:r>
      <w:r w:rsidRPr="008A17E5">
        <w:fldChar w:fldCharType="separate"/>
      </w:r>
      <w:r>
        <w:rPr>
          <w:noProof/>
        </w:rPr>
        <w:t>PROJEKT REZOLUCJI USTAWODAWCZEJ PARLAMENTU EUROPEJSKIEGO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_Toc213336019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86EF17C" w14:textId="4CD5D348" w:rsidR="00CC3759" w:rsidRDefault="00CC375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UZASADNIENIE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_Toc213336020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354C764" w14:textId="1332E124" w:rsidR="004E1650" w:rsidRPr="008A17E5" w:rsidRDefault="00CC3759" w:rsidP="00F04010">
      <w:r w:rsidRPr="008A17E5">
        <w:fldChar w:fldCharType="end"/>
      </w:r>
    </w:p>
    <w:p w14:paraId="66720AE9" w14:textId="77777777" w:rsidR="00363B94" w:rsidRPr="008A17E5" w:rsidRDefault="00CC3759" w:rsidP="0006167F">
      <w:pPr>
        <w:pStyle w:val="PageHeading"/>
      </w:pPr>
      <w:r w:rsidRPr="008A17E5">
        <w:br w:type="page"/>
      </w:r>
      <w:r w:rsidRPr="008A17E5">
        <w:lastRenderedPageBreak/>
        <w:br w:type="page"/>
      </w:r>
      <w:bookmarkStart w:id="0" w:name="_Toc213336019"/>
      <w:r w:rsidRPr="008A17E5">
        <w:lastRenderedPageBreak/>
        <w:t>PROJEKT REZOLUCJI USTAWODAWCZEJ PARLAMENTU EUROPEJSKIEGO</w:t>
      </w:r>
      <w:bookmarkEnd w:id="0"/>
    </w:p>
    <w:p w14:paraId="401986B5" w14:textId="77777777" w:rsidR="00363B94" w:rsidRPr="008A17E5" w:rsidRDefault="00CC3759">
      <w:pPr>
        <w:pStyle w:val="NormalBold"/>
      </w:pPr>
      <w:r w:rsidRPr="008A17E5">
        <w:t>w sprawie projektu decyzji Rady w sprawie zawarcia Umowy między Unią Europejską a Bośnią i Hercegowiną dotyczącej działań operacyjnych prowadzonych przez Europejską Agencję Straży Granicznej i Przybrzeżnej w Bośni i Hercegowinie</w:t>
      </w:r>
    </w:p>
    <w:p w14:paraId="2E51941D" w14:textId="77777777" w:rsidR="00363B94" w:rsidRPr="008A17E5" w:rsidRDefault="00CC3759">
      <w:pPr>
        <w:pStyle w:val="NormalBold12a"/>
      </w:pPr>
      <w:r w:rsidRPr="008A17E5">
        <w:t>(16666/2024 – C10</w:t>
      </w:r>
      <w:r w:rsidRPr="008A17E5">
        <w:noBreakHyphen/>
        <w:t>0117/2025 – 2024/0305(NLE))</w:t>
      </w:r>
    </w:p>
    <w:p w14:paraId="0AABE585" w14:textId="77777777" w:rsidR="00363B94" w:rsidRPr="008A17E5" w:rsidRDefault="00CC3759" w:rsidP="00893FBD">
      <w:pPr>
        <w:pStyle w:val="NormalBold"/>
      </w:pPr>
      <w:r w:rsidRPr="008A17E5">
        <w:t>(Zgoda)</w:t>
      </w:r>
    </w:p>
    <w:p w14:paraId="7F90CFA4" w14:textId="77777777" w:rsidR="00363B94" w:rsidRPr="008A17E5" w:rsidRDefault="00CC3759">
      <w:pPr>
        <w:pStyle w:val="EPComma"/>
      </w:pPr>
      <w:r w:rsidRPr="008A17E5">
        <w:rPr>
          <w:i/>
        </w:rPr>
        <w:t>Parlament Europejski</w:t>
      </w:r>
      <w:r w:rsidRPr="008A17E5">
        <w:t>,</w:t>
      </w:r>
    </w:p>
    <w:p w14:paraId="717ACCD9" w14:textId="77777777" w:rsidR="00BF7F55" w:rsidRPr="008A17E5" w:rsidRDefault="00CC3759" w:rsidP="00BF7F55">
      <w:pPr>
        <w:pStyle w:val="NormalHanging12a"/>
      </w:pPr>
      <w:r w:rsidRPr="008A17E5">
        <w:t>–</w:t>
      </w:r>
      <w:r w:rsidRPr="008A17E5">
        <w:tab/>
        <w:t>uwzględniając projekt decyzji Rady (16666/2024),</w:t>
      </w:r>
    </w:p>
    <w:p w14:paraId="0F118DDB" w14:textId="77777777" w:rsidR="00363B94" w:rsidRPr="008A17E5" w:rsidRDefault="00CC3759">
      <w:pPr>
        <w:pStyle w:val="NormalHanging12a"/>
      </w:pPr>
      <w:r w:rsidRPr="008A17E5">
        <w:t>–</w:t>
      </w:r>
      <w:r w:rsidRPr="008A17E5">
        <w:tab/>
        <w:t xml:space="preserve">uwzględniając projekt Umowy między Unią Europejską a Bośnią i Hercegowiną dotyczącej działań </w:t>
      </w:r>
      <w:r w:rsidRPr="008A17E5">
        <w:t>operacyjnych prowadzonych przez Europejską Agencję Straży Granicznej i Przybrzeżnej w Bośni i Hercegowinie (16665/2024),</w:t>
      </w:r>
    </w:p>
    <w:p w14:paraId="2F7BC920" w14:textId="77777777" w:rsidR="00363B94" w:rsidRPr="008A17E5" w:rsidRDefault="00CC3759">
      <w:pPr>
        <w:pStyle w:val="NormalHanging12a"/>
      </w:pPr>
      <w:r w:rsidRPr="008A17E5">
        <w:t>–</w:t>
      </w:r>
      <w:r w:rsidRPr="008A17E5">
        <w:tab/>
        <w:t>uwzględniając wniosek o wyrażenie zgody przedstawiony przez Radę na mocy art. 77 ust. 2 lit. b) i d), art. 79 ust. 2 lit. c) i art. 218 ust. 6 akapit drugi lit. a) Traktatu o funkcjonowaniu Unii Europejskiej (C10</w:t>
      </w:r>
      <w:r w:rsidRPr="008A17E5">
        <w:noBreakHyphen/>
        <w:t>0117/2025),</w:t>
      </w:r>
    </w:p>
    <w:p w14:paraId="3ADF9DCD" w14:textId="77777777" w:rsidR="00363B94" w:rsidRPr="008A17E5" w:rsidRDefault="00CC3759">
      <w:pPr>
        <w:pStyle w:val="NormalHanging12a"/>
      </w:pPr>
      <w:r w:rsidRPr="008A17E5">
        <w:t>–</w:t>
      </w:r>
      <w:r w:rsidRPr="008A17E5">
        <w:tab/>
        <w:t>uwzględniając art. 107 ust. 1 i 4 oraz art. 117 ust. 7 Regulaminu,</w:t>
      </w:r>
    </w:p>
    <w:p w14:paraId="2FB59EC2" w14:textId="77777777" w:rsidR="00363B94" w:rsidRPr="008A17E5" w:rsidRDefault="00CC3759">
      <w:pPr>
        <w:pStyle w:val="NormalHanging12a"/>
      </w:pPr>
      <w:r w:rsidRPr="008A17E5">
        <w:t>–</w:t>
      </w:r>
      <w:r w:rsidRPr="008A17E5">
        <w:tab/>
        <w:t>uwzględniając zalecenie Komisji Wolności Obywatelskich, Sprawiedliwości i Spraw Wewnętrznych (A10</w:t>
      </w:r>
      <w:r w:rsidRPr="008A17E5">
        <w:noBreakHyphen/>
        <w:t>0000/2025),</w:t>
      </w:r>
    </w:p>
    <w:p w14:paraId="659857C9" w14:textId="77777777" w:rsidR="00363B94" w:rsidRPr="008A17E5" w:rsidRDefault="00CC3759">
      <w:pPr>
        <w:pStyle w:val="NormalHanging12a"/>
      </w:pPr>
      <w:r w:rsidRPr="008A17E5">
        <w:t>1.</w:t>
      </w:r>
      <w:r w:rsidRPr="008A17E5">
        <w:tab/>
        <w:t>wyraża zgodę na zawarcie umowy;</w:t>
      </w:r>
    </w:p>
    <w:p w14:paraId="206C95A9" w14:textId="77777777" w:rsidR="001D02E3" w:rsidRPr="008A17E5" w:rsidRDefault="00CC3759">
      <w:pPr>
        <w:pStyle w:val="NormalHanging12a"/>
      </w:pPr>
      <w:r w:rsidRPr="008A17E5">
        <w:t>2.</w:t>
      </w:r>
      <w:r w:rsidRPr="008A17E5">
        <w:tab/>
        <w:t>zobowiązuje swoją przewodniczącą do przekazania stanowiska Parlamentu Radzie i Komisji, jak również rządom i parlamentom państw członkowskich oraz Bośni i Hercegowiny.</w:t>
      </w:r>
    </w:p>
    <w:p w14:paraId="00B62D7E" w14:textId="77777777" w:rsidR="00403347" w:rsidRPr="008A17E5" w:rsidRDefault="00403347" w:rsidP="00822206">
      <w:pPr>
        <w:sectPr w:rsidR="00403347" w:rsidRPr="008A17E5" w:rsidSect="008A17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67FBFDFB" w14:textId="77777777" w:rsidR="00363B94" w:rsidRPr="008A17E5" w:rsidRDefault="00CC3759" w:rsidP="00403347">
      <w:pPr>
        <w:pStyle w:val="PageHeading"/>
      </w:pPr>
      <w:bookmarkStart w:id="1" w:name="_Toc213336020"/>
      <w:r w:rsidRPr="008A17E5">
        <w:lastRenderedPageBreak/>
        <w:t>UZASADNIENIE</w:t>
      </w:r>
      <w:bookmarkEnd w:id="1"/>
    </w:p>
    <w:p w14:paraId="494B83C4" w14:textId="77777777" w:rsidR="00403347" w:rsidRPr="008A17E5" w:rsidRDefault="00403347" w:rsidP="00403347"/>
    <w:p w14:paraId="710AC5A0" w14:textId="77777777" w:rsidR="00C3778F" w:rsidRPr="008A17E5" w:rsidRDefault="00CC3759" w:rsidP="00C3778F">
      <w:pPr>
        <w:jc w:val="both"/>
      </w:pPr>
      <w:r w:rsidRPr="008A17E5">
        <w:rPr>
          <w:b/>
        </w:rPr>
        <w:t>a. Kontekst</w:t>
      </w:r>
    </w:p>
    <w:p w14:paraId="454C79A5" w14:textId="77777777" w:rsidR="00C3778F" w:rsidRPr="008A17E5" w:rsidRDefault="00CC3759" w:rsidP="00C3778F">
      <w:pPr>
        <w:jc w:val="both"/>
      </w:pPr>
      <w:r w:rsidRPr="008A17E5">
        <w:t xml:space="preserve">Wniosek dotyczący decyzji Rady ma na celu </w:t>
      </w:r>
      <w:r w:rsidRPr="008A17E5">
        <w:t>zatwierdzenie umowy o statusie między Unią Europejską a Bośnią i Hercegowiną dotyczącej działań operacyjnych prowadzonych przez Europejską Agencję Straży Granicznej i Przybrzeżnej na terytorium Bośni i Hercegowiny, jak przewidziano w rozporządzeniu (UE) 2019/1896 w sprawie Europejskiej Agencji Straży Granicznej i Przybrzeżnej.</w:t>
      </w:r>
    </w:p>
    <w:p w14:paraId="21E385C9" w14:textId="77777777" w:rsidR="00C3778F" w:rsidRPr="008A17E5" w:rsidRDefault="00C3778F" w:rsidP="00C3778F">
      <w:pPr>
        <w:jc w:val="both"/>
      </w:pPr>
    </w:p>
    <w:p w14:paraId="30903781" w14:textId="77777777" w:rsidR="00C3778F" w:rsidRPr="008A17E5" w:rsidRDefault="00CC3759" w:rsidP="00C3778F">
      <w:pPr>
        <w:jc w:val="both"/>
      </w:pPr>
      <w:r w:rsidRPr="008A17E5">
        <w:t>Jednym z zadań Europejskiej Agencji Straży Granicznej i Przybrzeżnej („Agencji”) jest współpraca z państwami trzecimi w obszarach objętych rozporządzeniem w sprawie Europejskiej Straży Granicznej i Przybrzeżnej, „w tym w drodze ewentualnego operacyjnego rozmieszczania zespołów zarządzania granicami w państwach trzecich”. Agencja może współpracować z organami państw trzecich właściwymi w kwestiach objętych rozporządzeniem w zakresie niezbędnym do wykonywania swoich zadań i może prowadzić działania związane z</w:t>
      </w:r>
      <w:r w:rsidRPr="008A17E5">
        <w:t> europejskim zintegrowanym zarządzaniem granicami na terytorium państwa trzeciego pod warunkiem uzyskania zgody tego państwa trzeciego.</w:t>
      </w:r>
    </w:p>
    <w:p w14:paraId="27AE0E48" w14:textId="77777777" w:rsidR="00C3778F" w:rsidRPr="008A17E5" w:rsidRDefault="00C3778F" w:rsidP="00C3778F">
      <w:pPr>
        <w:jc w:val="both"/>
      </w:pPr>
    </w:p>
    <w:p w14:paraId="5B669F65" w14:textId="77777777" w:rsidR="00C3778F" w:rsidRPr="008A17E5" w:rsidRDefault="00CC3759" w:rsidP="00C3778F">
      <w:pPr>
        <w:jc w:val="both"/>
      </w:pPr>
      <w:r w:rsidRPr="008A17E5">
        <w:t>Umowa o statusie ma obejmować wszystkie aspekty niezbędne do prowadzenia działań Agencji w państwach trzecich. Zgodnie z art. 73 ust. 3 rozporządzenia (UE) 2019/1896 w okolicznościach, w których konieczne jest rozmieszczenie w państwach trzecich zespołów zarządzania granicami ze stałej służby Europejskiej Straży Granicznej i Przybrzeżnej, a członkowie zespołów będą wykonywać uprawnienia wykonawcze, Unia zawiera z danym państwem trzecim umowę o statusie.</w:t>
      </w:r>
    </w:p>
    <w:p w14:paraId="0AFDCB39" w14:textId="77777777" w:rsidR="00C3778F" w:rsidRPr="008A17E5" w:rsidRDefault="00C3778F" w:rsidP="00C3778F">
      <w:pPr>
        <w:jc w:val="both"/>
      </w:pPr>
    </w:p>
    <w:p w14:paraId="456A01E7" w14:textId="77777777" w:rsidR="00C3778F" w:rsidRPr="008A17E5" w:rsidRDefault="00CC3759" w:rsidP="00C3778F">
      <w:pPr>
        <w:jc w:val="both"/>
      </w:pPr>
      <w:r w:rsidRPr="008A17E5">
        <w:t xml:space="preserve">Zgodnie z rozporządzeniem w sprawie Europejskiej Straży Granicznej i Przybrzeżnej, w tym jego art. 76 ust. 1, Komisja przedstawiła w komunikacie </w:t>
      </w:r>
      <w:proofErr w:type="gramStart"/>
      <w:r w:rsidRPr="008A17E5">
        <w:t>COM(</w:t>
      </w:r>
      <w:proofErr w:type="gramEnd"/>
      <w:r w:rsidRPr="008A17E5">
        <w:t>2021) 829 wzór umowy o statusie, odnoszący się do rozporządzenia (UE) 2019/1896, zawierający przepisy szczególne dotyczące działań na terytorium państw trzecich. Umowa o statusie z Bośnią i Hercegowiną opiera się na modelu opracowanym przez Komisję.</w:t>
      </w:r>
    </w:p>
    <w:p w14:paraId="0ED7DD9A" w14:textId="77777777" w:rsidR="00C3778F" w:rsidRPr="008A17E5" w:rsidRDefault="00C3778F" w:rsidP="00C3778F">
      <w:pPr>
        <w:jc w:val="both"/>
      </w:pPr>
    </w:p>
    <w:p w14:paraId="0A5D18E4" w14:textId="77777777" w:rsidR="00C3778F" w:rsidRPr="008A17E5" w:rsidRDefault="00CC3759" w:rsidP="00C3778F">
      <w:pPr>
        <w:jc w:val="both"/>
      </w:pPr>
      <w:r w:rsidRPr="008A17E5">
        <w:t xml:space="preserve">14 października 2025 r. Komisja poinformowała sprawozdawców o postępach w negocjacjach dotyczących umowy o statusie między Unią Europejską a Bośnią i Hercegowiną. Władze Bośni i Hercegowiny były również obecne na tym spotkaniu. Na 6 listopada 2025 r. zaplanowano także spotkanie z urzędnikiem ds. praw podstawowych </w:t>
      </w:r>
      <w:proofErr w:type="spellStart"/>
      <w:r w:rsidRPr="008A17E5">
        <w:t>Fronteksu</w:t>
      </w:r>
      <w:proofErr w:type="spellEnd"/>
      <w:r w:rsidRPr="008A17E5">
        <w:t xml:space="preserve"> i Europejskim Inspektorem Ochrony Danych („EIOD”). Umowa została podpisana 11 czerwca 2025 r. w Sarajewie (Bośnia i Hercegowina).</w:t>
      </w:r>
    </w:p>
    <w:p w14:paraId="3090A24B" w14:textId="77777777" w:rsidR="00C3778F" w:rsidRPr="008A17E5" w:rsidRDefault="00C3778F" w:rsidP="00C3778F">
      <w:pPr>
        <w:jc w:val="both"/>
      </w:pPr>
    </w:p>
    <w:p w14:paraId="37AEEB51" w14:textId="77777777" w:rsidR="00C3778F" w:rsidRPr="008A17E5" w:rsidRDefault="00CC3759" w:rsidP="00C3778F">
      <w:pPr>
        <w:jc w:val="both"/>
      </w:pPr>
      <w:r w:rsidRPr="008A17E5">
        <w:rPr>
          <w:b/>
        </w:rPr>
        <w:t>b. Stanowisko sprawozdawcy</w:t>
      </w:r>
    </w:p>
    <w:p w14:paraId="4C86549F" w14:textId="77777777" w:rsidR="00C3778F" w:rsidRPr="008A17E5" w:rsidRDefault="00CC3759" w:rsidP="00C3778F">
      <w:pPr>
        <w:jc w:val="both"/>
      </w:pPr>
      <w:r w:rsidRPr="008A17E5">
        <w:t xml:space="preserve">W szczytowym momencie kryzysu migracyjnego i uchodźczego w 2015 r. setki tysięcy osób ubiegających się o azyl i migrantów przybyło do Unii Europejskiej przez Bałkany Zachodnie. W kolejnych latach presja migracyjna na szlakach </w:t>
      </w:r>
      <w:proofErr w:type="spellStart"/>
      <w:r w:rsidRPr="008A17E5">
        <w:t>zachodniobałkańskich</w:t>
      </w:r>
      <w:proofErr w:type="spellEnd"/>
      <w:r w:rsidRPr="008A17E5">
        <w:t xml:space="preserve"> była znaczna, co spowodowało presję na zewnętrzne granice UE. Konieczne były zatem dalsze wysiłki w celu kontrolowania przepływów migracyjnych w sposób legalny, zgodnie z przepisami międzynarodowymi i europejskimi.</w:t>
      </w:r>
    </w:p>
    <w:p w14:paraId="58693B91" w14:textId="77777777" w:rsidR="00C3778F" w:rsidRPr="008A17E5" w:rsidRDefault="00C3778F" w:rsidP="00C3778F">
      <w:pPr>
        <w:jc w:val="both"/>
      </w:pPr>
    </w:p>
    <w:p w14:paraId="581F016A" w14:textId="77777777" w:rsidR="00C3778F" w:rsidRPr="008A17E5" w:rsidRDefault="00CC3759" w:rsidP="00C3778F">
      <w:pPr>
        <w:jc w:val="both"/>
      </w:pPr>
      <w:r w:rsidRPr="008A17E5">
        <w:t xml:space="preserve">Sprawozdawca uważa, że zawieranie formalnych, prawnie wiążących umów w ramach współpracy z państwami trzecimi ma zasadnicze znaczenie dla zapewnienia przejrzystości, </w:t>
      </w:r>
      <w:r w:rsidRPr="008A17E5">
        <w:lastRenderedPageBreak/>
        <w:t>publicznej kontroli i demokratycznego nadzoru nad taką współpracą.</w:t>
      </w:r>
    </w:p>
    <w:p w14:paraId="3886343F" w14:textId="77777777" w:rsidR="00C3778F" w:rsidRPr="008A17E5" w:rsidRDefault="00C3778F" w:rsidP="00C3778F">
      <w:pPr>
        <w:jc w:val="both"/>
      </w:pPr>
    </w:p>
    <w:p w14:paraId="0F8F2E94" w14:textId="77777777" w:rsidR="00C3778F" w:rsidRPr="008A17E5" w:rsidRDefault="00CC3759" w:rsidP="00C3778F">
      <w:pPr>
        <w:jc w:val="both"/>
      </w:pPr>
      <w:r w:rsidRPr="008A17E5">
        <w:t xml:space="preserve">Zorganizowana i trwała współpraca z państwami </w:t>
      </w:r>
      <w:r w:rsidRPr="008A17E5">
        <w:t>trzecimi, w szczególności z państwami Bałkanów Zachodnich, stanowi istotny element europejskiej przestrzeni stabilności i bezpieczeństwa. Z tego powodu zacieśnienie współpracy z Bośnią i Hercegowiną w zakresie migracji i zarządzania granicami ma kluczowe znaczenie strategiczne dla złagodzenia presji na granicy Chorwacji z Bośnią i Hercegowiną i tym samym dla zapobiegania nielegalnemu przekraczaniu granic zewnętrznych UE i zwalczania przestępczości transgranicznej. Ścisła współpraca z partnerami z Bałkanów Z</w:t>
      </w:r>
      <w:r w:rsidRPr="008A17E5">
        <w:t xml:space="preserve">achodnich jest więc niezbędna nie tylko dla zarządzania przepływami migracyjnymi do UE, ograniczenia napływu migrantów o nieuregulowanym statusie i poprawy skuteczności operacji </w:t>
      </w:r>
      <w:proofErr w:type="spellStart"/>
      <w:r w:rsidRPr="008A17E5">
        <w:t>powrotowych</w:t>
      </w:r>
      <w:proofErr w:type="spellEnd"/>
      <w:r w:rsidRPr="008A17E5">
        <w:t>, lecz także dla zwalczania przemytu migrantów i ograniczania ryzyka związanego z przestępczością zorganizowaną.</w:t>
      </w:r>
    </w:p>
    <w:p w14:paraId="02FAA781" w14:textId="77777777" w:rsidR="00C3778F" w:rsidRPr="008A17E5" w:rsidRDefault="00C3778F" w:rsidP="00C3778F">
      <w:pPr>
        <w:jc w:val="both"/>
      </w:pPr>
    </w:p>
    <w:p w14:paraId="64F8BB21" w14:textId="77777777" w:rsidR="00C3778F" w:rsidRPr="008A17E5" w:rsidRDefault="00CC3759" w:rsidP="00C3778F">
      <w:pPr>
        <w:jc w:val="both"/>
      </w:pPr>
      <w:r w:rsidRPr="008A17E5">
        <w:t>Zarówno Europejska Agencja Straży Granicznej i Przybrzeżnej, jak i Federalne Ministerstwo Spraw Wewnętrznych Bośni i Hercegowiny są zobowiązane do przestrzegania przepisów rozporządzenia (UE) 2019/1896 i zapewnienia pełnej zgodności z nimi, w tym w zakresie praw podstawowych. W trakcie procedury zgody w Parlamencie Europejskim wyjaśnienia przedstawione przez Komisję, właściwe organy Bośni i Hercegowiny, urzędnika ds. praw podstawowych i EIOD dotyczące znaczenia tej umowy o statusie okazały się zadowalające.</w:t>
      </w:r>
      <w:r w:rsidRPr="008A17E5">
        <w:t xml:space="preserve"> Umowa o statusie i obecność funkcjonariuszy Europejskiej Agencji Straży Granicznej i Przybrzeżnej na terytorium Bośni i Hercegowiny przyczynią się do przeciwdziałania nielegalnej migracji do UE i poprawy ogólnej sytuacji w zakresie bezpieczeństwa, przy jednoczesnej pełnej ochronie praw podstawowych podczas procedur kontroli granicznej. Biorąc pod uwagę znaczną liczbę osób przejeżdżających przez Bośnię i Hercegowinę w celu dotarcia do UE, umowa ta wzmacnia naszą zdolność do wspierania partnerów z Bałkanów Z</w:t>
      </w:r>
      <w:r w:rsidRPr="008A17E5">
        <w:t>achodnich w skuteczniejszym zarządzaniu przepływami migracyjnymi, przy jednoczesnym pełnym poszanowaniu naszych standardów europejskich.</w:t>
      </w:r>
    </w:p>
    <w:p w14:paraId="352FD4D5" w14:textId="77777777" w:rsidR="00C3778F" w:rsidRPr="008A17E5" w:rsidRDefault="00C3778F" w:rsidP="00C3778F">
      <w:pPr>
        <w:jc w:val="both"/>
      </w:pPr>
    </w:p>
    <w:p w14:paraId="0704B2D1" w14:textId="77777777" w:rsidR="00C3778F" w:rsidRPr="008A17E5" w:rsidRDefault="00CC3759" w:rsidP="00C3778F">
      <w:pPr>
        <w:jc w:val="both"/>
      </w:pPr>
      <w:r w:rsidRPr="008A17E5">
        <w:t>Podsumowując, sprawozdawca uważa, że proponowana umowa o statusie jest zgodna z wzorem umowy o statusie przewidzianym w komunikacie Komisji dotyczącym treści i przepisów, które należy zawrzeć w ostatecznej umowie.</w:t>
      </w:r>
    </w:p>
    <w:p w14:paraId="5A4CC1AF" w14:textId="77777777" w:rsidR="00C3778F" w:rsidRPr="008A17E5" w:rsidRDefault="00C3778F" w:rsidP="00C3778F">
      <w:pPr>
        <w:jc w:val="both"/>
      </w:pPr>
    </w:p>
    <w:p w14:paraId="4DAF3489" w14:textId="77777777" w:rsidR="00C3778F" w:rsidRPr="008A17E5" w:rsidRDefault="00CC3759" w:rsidP="00C3778F">
      <w:pPr>
        <w:jc w:val="both"/>
      </w:pPr>
      <w:r w:rsidRPr="008A17E5">
        <w:t>Ponieważ umowa ta wchodzi w fazę wdrażania, Parlament Europejski wzywa Europejską Agencję Straży Granicznej i Przybrzeżnej do terminowego informowania go o działaniach prowadzonych w ramach wdrażania umowy o statusie i przypomina Agencji o jej obowiązku zawierania w sprawozdaniach rocznych oceny współpracy z państwami trzecimi zgodnie z art. 73 ust. 8 rozporządzenia (UE) 2019/1896.</w:t>
      </w:r>
    </w:p>
    <w:p w14:paraId="557F3D11" w14:textId="77777777" w:rsidR="00C3778F" w:rsidRPr="008A17E5" w:rsidRDefault="00C3778F" w:rsidP="00C3778F">
      <w:pPr>
        <w:jc w:val="both"/>
      </w:pPr>
    </w:p>
    <w:p w14:paraId="0D569217" w14:textId="77777777" w:rsidR="00C3778F" w:rsidRPr="008A17E5" w:rsidRDefault="00CC3759" w:rsidP="00C3778F">
      <w:pPr>
        <w:jc w:val="both"/>
      </w:pPr>
      <w:r w:rsidRPr="008A17E5">
        <w:t xml:space="preserve">Umowy o statusie dotyczące działań operacyjnych prowadzonych przez Europejską Agencję Straży Granicznej i Przybrzeżnej, które zostały już zawarte z Mołdawią, Macedonią Północną, Czarnogórą, Albanią i Serbią, pokazały, że ścisła współpraca z Bałkanami Zachodnimi przynosi pozytywne rezultaty. </w:t>
      </w:r>
    </w:p>
    <w:p w14:paraId="4D2F38D2" w14:textId="77777777" w:rsidR="00C3778F" w:rsidRPr="008A17E5" w:rsidRDefault="00C3778F" w:rsidP="00C3778F">
      <w:pPr>
        <w:jc w:val="both"/>
      </w:pPr>
    </w:p>
    <w:p w14:paraId="27A3C089" w14:textId="77777777" w:rsidR="00C3778F" w:rsidRPr="008A17E5" w:rsidRDefault="00CC3759" w:rsidP="00C3778F">
      <w:pPr>
        <w:jc w:val="both"/>
      </w:pPr>
      <w:r w:rsidRPr="008A17E5">
        <w:t>W związku z powyższym sprawozdawca zaleca, aby Parlament zatwierdził projekt tekstu decyzji Rady.</w:t>
      </w:r>
    </w:p>
    <w:p w14:paraId="501DFEFE" w14:textId="77777777" w:rsidR="00403347" w:rsidRPr="008A17E5" w:rsidRDefault="00403347" w:rsidP="00822206"/>
    <w:sectPr w:rsidR="00403347" w:rsidRPr="008A17E5" w:rsidSect="0040334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41A35" w14:textId="77777777" w:rsidR="00CC3759" w:rsidRPr="008A17E5" w:rsidRDefault="00CC3759">
      <w:r w:rsidRPr="008A17E5">
        <w:separator/>
      </w:r>
    </w:p>
  </w:endnote>
  <w:endnote w:type="continuationSeparator" w:id="0">
    <w:p w14:paraId="02FC3E72" w14:textId="77777777" w:rsidR="00CC3759" w:rsidRPr="008A17E5" w:rsidRDefault="00CC3759">
      <w:r w:rsidRPr="008A17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D68B5" w14:textId="77777777" w:rsidR="008A17E5" w:rsidRPr="008A17E5" w:rsidRDefault="008A17E5" w:rsidP="008A17E5">
    <w:pPr>
      <w:pStyle w:val="EPFooter"/>
    </w:pPr>
    <w:r w:rsidRPr="008A17E5">
      <w:t>PE</w:t>
    </w:r>
    <w:r w:rsidRPr="008A17E5">
      <w:rPr>
        <w:rStyle w:val="HideTWBExt"/>
      </w:rPr>
      <w:t>&lt;NoPE&gt;</w:t>
    </w:r>
    <w:r w:rsidRPr="008A17E5">
      <w:t>778.134</w:t>
    </w:r>
    <w:r w:rsidRPr="008A17E5">
      <w:rPr>
        <w:rStyle w:val="HideTWBExt"/>
      </w:rPr>
      <w:t>&lt;/NoPE&gt;&lt;Version&gt;</w:t>
    </w:r>
    <w:r w:rsidRPr="008A17E5">
      <w:t>v01-00</w:t>
    </w:r>
    <w:r w:rsidRPr="008A17E5">
      <w:rPr>
        <w:rStyle w:val="HideTWBExt"/>
      </w:rPr>
      <w:t>&lt;/Version&gt;</w:t>
    </w:r>
    <w:r w:rsidRPr="008A17E5">
      <w:tab/>
    </w:r>
    <w:r w:rsidRPr="008A17E5">
      <w:fldChar w:fldCharType="begin"/>
    </w:r>
    <w:r w:rsidRPr="008A17E5">
      <w:instrText xml:space="preserve"> PAGE  \* MERGEFORMAT </w:instrText>
    </w:r>
    <w:r w:rsidRPr="008A17E5">
      <w:fldChar w:fldCharType="separate"/>
    </w:r>
    <w:r w:rsidRPr="008A17E5">
      <w:rPr>
        <w:noProof/>
      </w:rPr>
      <w:t>1</w:t>
    </w:r>
    <w:r w:rsidRPr="008A17E5">
      <w:fldChar w:fldCharType="end"/>
    </w:r>
    <w:r w:rsidRPr="008A17E5">
      <w:t>/</w:t>
    </w:r>
    <w:fldSimple w:instr=" NUMPAGES  \* MERGEFORMAT ">
      <w:r w:rsidRPr="008A17E5">
        <w:rPr>
          <w:noProof/>
        </w:rPr>
        <w:t>1</w:t>
      </w:r>
    </w:fldSimple>
    <w:r w:rsidRPr="008A17E5">
      <w:tab/>
    </w:r>
    <w:r w:rsidRPr="008A17E5">
      <w:rPr>
        <w:rStyle w:val="HideTWBExt"/>
      </w:rPr>
      <w:t>&lt;PathFdR&gt;</w:t>
    </w:r>
    <w:r w:rsidRPr="008A17E5">
      <w:t>PR\1328844PL.docx</w:t>
    </w:r>
    <w:r w:rsidRPr="008A17E5">
      <w:rPr>
        <w:rStyle w:val="HideTWBExt"/>
      </w:rPr>
      <w:t>&lt;/PathFdR&gt;</w:t>
    </w:r>
  </w:p>
  <w:p w14:paraId="2EEF220D" w14:textId="2801499E" w:rsidR="0085501C" w:rsidRPr="008A17E5" w:rsidRDefault="008A17E5" w:rsidP="008A17E5">
    <w:pPr>
      <w:pStyle w:val="EPFooter2"/>
    </w:pPr>
    <w:r w:rsidRPr="008A17E5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4D28" w14:textId="77777777" w:rsidR="008A17E5" w:rsidRPr="008A17E5" w:rsidRDefault="008A17E5" w:rsidP="008A17E5">
    <w:pPr>
      <w:pStyle w:val="EPFooter"/>
    </w:pPr>
    <w:r w:rsidRPr="008A17E5">
      <w:rPr>
        <w:rStyle w:val="HideTWBExt"/>
      </w:rPr>
      <w:t>&lt;PathFdR&gt;</w:t>
    </w:r>
    <w:r w:rsidRPr="008A17E5">
      <w:t>PR\1328844PL.docx</w:t>
    </w:r>
    <w:r w:rsidRPr="008A17E5">
      <w:rPr>
        <w:rStyle w:val="HideTWBExt"/>
      </w:rPr>
      <w:t>&lt;/PathFdR&gt;</w:t>
    </w:r>
    <w:r w:rsidRPr="008A17E5">
      <w:tab/>
    </w:r>
    <w:r w:rsidRPr="008A17E5">
      <w:fldChar w:fldCharType="begin"/>
    </w:r>
    <w:r w:rsidRPr="008A17E5">
      <w:instrText xml:space="preserve"> PAGE  \* MERGEFORMAT </w:instrText>
    </w:r>
    <w:r w:rsidRPr="008A17E5">
      <w:fldChar w:fldCharType="separate"/>
    </w:r>
    <w:r w:rsidRPr="008A17E5">
      <w:rPr>
        <w:noProof/>
      </w:rPr>
      <w:t>1</w:t>
    </w:r>
    <w:r w:rsidRPr="008A17E5">
      <w:fldChar w:fldCharType="end"/>
    </w:r>
    <w:r w:rsidRPr="008A17E5">
      <w:t>/</w:t>
    </w:r>
    <w:fldSimple w:instr=" NUMPAGES  \* MERGEFORMAT ">
      <w:r w:rsidRPr="008A17E5">
        <w:rPr>
          <w:noProof/>
        </w:rPr>
        <w:t>1</w:t>
      </w:r>
    </w:fldSimple>
    <w:r w:rsidRPr="008A17E5">
      <w:tab/>
      <w:t>PE</w:t>
    </w:r>
    <w:r w:rsidRPr="008A17E5">
      <w:rPr>
        <w:rStyle w:val="HideTWBExt"/>
      </w:rPr>
      <w:t>&lt;NoPE&gt;</w:t>
    </w:r>
    <w:r w:rsidRPr="008A17E5">
      <w:t>778.134</w:t>
    </w:r>
    <w:r w:rsidRPr="008A17E5">
      <w:rPr>
        <w:rStyle w:val="HideTWBExt"/>
      </w:rPr>
      <w:t>&lt;/NoPE&gt;&lt;Version&gt;</w:t>
    </w:r>
    <w:r w:rsidRPr="008A17E5">
      <w:t>v01-00</w:t>
    </w:r>
    <w:r w:rsidRPr="008A17E5">
      <w:rPr>
        <w:rStyle w:val="HideTWBExt"/>
      </w:rPr>
      <w:t>&lt;/Version&gt;</w:t>
    </w:r>
  </w:p>
  <w:p w14:paraId="75D3449B" w14:textId="6D092300" w:rsidR="0085501C" w:rsidRPr="008A17E5" w:rsidRDefault="008A17E5" w:rsidP="008A17E5">
    <w:pPr>
      <w:pStyle w:val="EPFooter2"/>
    </w:pPr>
    <w:r w:rsidRPr="008A17E5">
      <w:tab/>
    </w:r>
    <w:r w:rsidRPr="008A17E5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4F04D" w14:textId="77777777" w:rsidR="008A17E5" w:rsidRPr="008A17E5" w:rsidRDefault="008A17E5" w:rsidP="008A17E5">
    <w:pPr>
      <w:pStyle w:val="EPFooter"/>
    </w:pPr>
    <w:r w:rsidRPr="008A17E5">
      <w:rPr>
        <w:rStyle w:val="HideTWBExt"/>
      </w:rPr>
      <w:t>&lt;PathFdR&gt;</w:t>
    </w:r>
    <w:r w:rsidRPr="008A17E5">
      <w:t>PR\1328844PL.docx</w:t>
    </w:r>
    <w:r w:rsidRPr="008A17E5">
      <w:rPr>
        <w:rStyle w:val="HideTWBExt"/>
      </w:rPr>
      <w:t>&lt;/PathFdR&gt;</w:t>
    </w:r>
    <w:r w:rsidRPr="008A17E5">
      <w:tab/>
    </w:r>
    <w:r w:rsidRPr="008A17E5">
      <w:tab/>
      <w:t>PE</w:t>
    </w:r>
    <w:r w:rsidRPr="008A17E5">
      <w:rPr>
        <w:rStyle w:val="HideTWBExt"/>
      </w:rPr>
      <w:t>&lt;NoPE&gt;</w:t>
    </w:r>
    <w:r w:rsidRPr="008A17E5">
      <w:t>778.134</w:t>
    </w:r>
    <w:r w:rsidRPr="008A17E5">
      <w:rPr>
        <w:rStyle w:val="HideTWBExt"/>
      </w:rPr>
      <w:t>&lt;/NoPE&gt;&lt;Version&gt;</w:t>
    </w:r>
    <w:r w:rsidRPr="008A17E5">
      <w:t>v01-00</w:t>
    </w:r>
    <w:r w:rsidRPr="008A17E5">
      <w:rPr>
        <w:rStyle w:val="HideTWBExt"/>
      </w:rPr>
      <w:t>&lt;/Version&gt;</w:t>
    </w:r>
  </w:p>
  <w:p w14:paraId="03947FD4" w14:textId="45FA6057" w:rsidR="0085501C" w:rsidRPr="008A17E5" w:rsidRDefault="008A17E5" w:rsidP="008A17E5">
    <w:pPr>
      <w:pStyle w:val="EPFooter2"/>
    </w:pPr>
    <w:r w:rsidRPr="008A17E5">
      <w:t>PL</w:t>
    </w:r>
    <w:r w:rsidRPr="008A17E5">
      <w:tab/>
    </w:r>
    <w:r w:rsidRPr="008A17E5">
      <w:rPr>
        <w:b w:val="0"/>
        <w:i/>
        <w:color w:val="C0C0C0"/>
        <w:sz w:val="22"/>
      </w:rPr>
      <w:t>Zjednoczona w różnorodności</w:t>
    </w:r>
    <w:r w:rsidRPr="008A17E5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ED695" w14:textId="77777777" w:rsidR="00CC3759" w:rsidRPr="008A17E5" w:rsidRDefault="00CC3759">
      <w:r w:rsidRPr="008A17E5">
        <w:separator/>
      </w:r>
    </w:p>
  </w:footnote>
  <w:footnote w:type="continuationSeparator" w:id="0">
    <w:p w14:paraId="20AC5496" w14:textId="77777777" w:rsidR="00CC3759" w:rsidRPr="008A17E5" w:rsidRDefault="00CC3759">
      <w:r w:rsidRPr="008A17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D6EF8" w14:textId="77777777" w:rsidR="00CC3759" w:rsidRDefault="00CC3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AA349" w14:textId="77777777" w:rsidR="00CC3759" w:rsidRDefault="00CC37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03E73" w14:textId="77777777" w:rsidR="00CC3759" w:rsidRDefault="00CC3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6320404">
    <w:abstractNumId w:val="9"/>
  </w:num>
  <w:num w:numId="2" w16cid:durableId="773088345">
    <w:abstractNumId w:val="9"/>
  </w:num>
  <w:num w:numId="3" w16cid:durableId="2137598454">
    <w:abstractNumId w:val="7"/>
  </w:num>
  <w:num w:numId="4" w16cid:durableId="1143933111">
    <w:abstractNumId w:val="7"/>
  </w:num>
  <w:num w:numId="5" w16cid:durableId="1267352337">
    <w:abstractNumId w:val="6"/>
  </w:num>
  <w:num w:numId="6" w16cid:durableId="1376277288">
    <w:abstractNumId w:val="6"/>
  </w:num>
  <w:num w:numId="7" w16cid:durableId="1232543102">
    <w:abstractNumId w:val="5"/>
  </w:num>
  <w:num w:numId="8" w16cid:durableId="609776001">
    <w:abstractNumId w:val="5"/>
  </w:num>
  <w:num w:numId="9" w16cid:durableId="1621109475">
    <w:abstractNumId w:val="4"/>
  </w:num>
  <w:num w:numId="10" w16cid:durableId="1667511771">
    <w:abstractNumId w:val="4"/>
  </w:num>
  <w:num w:numId="11" w16cid:durableId="641467397">
    <w:abstractNumId w:val="8"/>
  </w:num>
  <w:num w:numId="12" w16cid:durableId="157354458">
    <w:abstractNumId w:val="8"/>
  </w:num>
  <w:num w:numId="13" w16cid:durableId="610741993">
    <w:abstractNumId w:val="3"/>
  </w:num>
  <w:num w:numId="14" w16cid:durableId="1590700123">
    <w:abstractNumId w:val="3"/>
  </w:num>
  <w:num w:numId="15" w16cid:durableId="1060519427">
    <w:abstractNumId w:val="2"/>
  </w:num>
  <w:num w:numId="16" w16cid:durableId="1436056802">
    <w:abstractNumId w:val="2"/>
  </w:num>
  <w:num w:numId="17" w16cid:durableId="1659650548">
    <w:abstractNumId w:val="1"/>
  </w:num>
  <w:num w:numId="18" w16cid:durableId="727337000">
    <w:abstractNumId w:val="1"/>
  </w:num>
  <w:num w:numId="19" w16cid:durableId="1990985942">
    <w:abstractNumId w:val="0"/>
  </w:num>
  <w:num w:numId="20" w16cid:durableId="369958669">
    <w:abstractNumId w:val="0"/>
  </w:num>
  <w:num w:numId="21" w16cid:durableId="89399679">
    <w:abstractNumId w:val="9"/>
  </w:num>
  <w:num w:numId="22" w16cid:durableId="1312518530">
    <w:abstractNumId w:val="7"/>
  </w:num>
  <w:num w:numId="23" w16cid:durableId="348945656">
    <w:abstractNumId w:val="6"/>
  </w:num>
  <w:num w:numId="24" w16cid:durableId="938610634">
    <w:abstractNumId w:val="5"/>
  </w:num>
  <w:num w:numId="25" w16cid:durableId="1073312400">
    <w:abstractNumId w:val="4"/>
  </w:num>
  <w:num w:numId="26" w16cid:durableId="1881629718">
    <w:abstractNumId w:val="8"/>
  </w:num>
  <w:num w:numId="27" w16cid:durableId="870873990">
    <w:abstractNumId w:val="3"/>
  </w:num>
  <w:num w:numId="28" w16cid:durableId="1700624733">
    <w:abstractNumId w:val="2"/>
  </w:num>
  <w:num w:numId="29" w16cid:durableId="1191453494">
    <w:abstractNumId w:val="1"/>
  </w:num>
  <w:num w:numId="30" w16cid:durableId="982584654">
    <w:abstractNumId w:val="0"/>
  </w:num>
  <w:num w:numId="31" w16cid:durableId="532117018">
    <w:abstractNumId w:val="9"/>
  </w:num>
  <w:num w:numId="32" w16cid:durableId="1749696082">
    <w:abstractNumId w:val="7"/>
  </w:num>
  <w:num w:numId="33" w16cid:durableId="867255669">
    <w:abstractNumId w:val="6"/>
  </w:num>
  <w:num w:numId="34" w16cid:durableId="1365984196">
    <w:abstractNumId w:val="5"/>
  </w:num>
  <w:num w:numId="35" w16cid:durableId="869143403">
    <w:abstractNumId w:val="4"/>
  </w:num>
  <w:num w:numId="36" w16cid:durableId="1468163561">
    <w:abstractNumId w:val="8"/>
  </w:num>
  <w:num w:numId="37" w16cid:durableId="1669869767">
    <w:abstractNumId w:val="3"/>
  </w:num>
  <w:num w:numId="38" w16cid:durableId="1741559121">
    <w:abstractNumId w:val="2"/>
  </w:num>
  <w:num w:numId="39" w16cid:durableId="460851539">
    <w:abstractNumId w:val="1"/>
  </w:num>
  <w:num w:numId="40" w16cid:durableId="321005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1"/>
    <w:docVar w:name="CopyToNetwork" w:val="-1"/>
    <w:docVar w:name="DOCDT" w:val="07/10/2025"/>
    <w:docVar w:name="LastEditedSection" w:val=" 1"/>
    <w:docVar w:name="strDocTypeID" w:val="PR_NLE-AP_Agreement"/>
    <w:docVar w:name="strSubDir" w:val="1328"/>
    <w:docVar w:name="TITLEMNU" w:val=" 2"/>
    <w:docVar w:name="TXTAUTHOR" w:val="Jaroslav Bžoch"/>
    <w:docVar w:name="TXTLANGUE" w:val="PL"/>
    <w:docVar w:name="TXTLANGUEMIN" w:val="pl"/>
    <w:docVar w:name="TXTNRC" w:val="0117/2025"/>
    <w:docVar w:name="TXTNRCOUNC" w:val="16666/2024"/>
    <w:docVar w:name="TXTNRNLE" w:val="2024/0305"/>
    <w:docVar w:name="TXTNRPE" w:val="778.134"/>
    <w:docVar w:name="TXTPEorAP" w:val="PE"/>
    <w:docVar w:name="TXTROUTE" w:val="PR\1328844PL.docx"/>
    <w:docVar w:name="TXTTITLE" w:val="on the conclusion of the Agreement between the European Union and Bosnia and Herzegovina on operational activities carried out by the European Border and Coast Guard Agency in Bosnia and Herzegovina"/>
    <w:docVar w:name="TXTVERSION" w:val="01-00"/>
  </w:docVars>
  <w:rsids>
    <w:rsidRoot w:val="00F07DEE"/>
    <w:rsid w:val="00001D52"/>
    <w:rsid w:val="0000443F"/>
    <w:rsid w:val="000053E3"/>
    <w:rsid w:val="00016E55"/>
    <w:rsid w:val="0006167F"/>
    <w:rsid w:val="00061EFE"/>
    <w:rsid w:val="00095D8B"/>
    <w:rsid w:val="000A2F73"/>
    <w:rsid w:val="000C123D"/>
    <w:rsid w:val="000D78AF"/>
    <w:rsid w:val="00180664"/>
    <w:rsid w:val="001874D8"/>
    <w:rsid w:val="001B622A"/>
    <w:rsid w:val="001C6242"/>
    <w:rsid w:val="001D02E3"/>
    <w:rsid w:val="001F7BBE"/>
    <w:rsid w:val="0021049A"/>
    <w:rsid w:val="0022685A"/>
    <w:rsid w:val="00272E09"/>
    <w:rsid w:val="002E2E20"/>
    <w:rsid w:val="002F5A83"/>
    <w:rsid w:val="003072BE"/>
    <w:rsid w:val="00337C92"/>
    <w:rsid w:val="00363B94"/>
    <w:rsid w:val="00365E4C"/>
    <w:rsid w:val="003B598C"/>
    <w:rsid w:val="00403347"/>
    <w:rsid w:val="004174FC"/>
    <w:rsid w:val="00460BD6"/>
    <w:rsid w:val="004859B3"/>
    <w:rsid w:val="004C083C"/>
    <w:rsid w:val="004D2590"/>
    <w:rsid w:val="004E1650"/>
    <w:rsid w:val="005027B1"/>
    <w:rsid w:val="0053367A"/>
    <w:rsid w:val="00544D48"/>
    <w:rsid w:val="005877C0"/>
    <w:rsid w:val="005A6B14"/>
    <w:rsid w:val="005D0B97"/>
    <w:rsid w:val="005F5D6C"/>
    <w:rsid w:val="006132CE"/>
    <w:rsid w:val="00613F2E"/>
    <w:rsid w:val="006329D6"/>
    <w:rsid w:val="006A1A75"/>
    <w:rsid w:val="006A2CF5"/>
    <w:rsid w:val="006F1B6F"/>
    <w:rsid w:val="00717061"/>
    <w:rsid w:val="0072393A"/>
    <w:rsid w:val="00791637"/>
    <w:rsid w:val="007C2829"/>
    <w:rsid w:val="007D18DD"/>
    <w:rsid w:val="0080122F"/>
    <w:rsid w:val="00822206"/>
    <w:rsid w:val="008368CB"/>
    <w:rsid w:val="0085501C"/>
    <w:rsid w:val="00893FBD"/>
    <w:rsid w:val="008A132F"/>
    <w:rsid w:val="008A17E5"/>
    <w:rsid w:val="008B75A4"/>
    <w:rsid w:val="008D23C6"/>
    <w:rsid w:val="008D3030"/>
    <w:rsid w:val="008E3848"/>
    <w:rsid w:val="00924EE0"/>
    <w:rsid w:val="009612AA"/>
    <w:rsid w:val="0098478C"/>
    <w:rsid w:val="009E0EEA"/>
    <w:rsid w:val="009E39A7"/>
    <w:rsid w:val="00A415B7"/>
    <w:rsid w:val="00AD5D0C"/>
    <w:rsid w:val="00B31D18"/>
    <w:rsid w:val="00B42885"/>
    <w:rsid w:val="00B50C20"/>
    <w:rsid w:val="00B63CB8"/>
    <w:rsid w:val="00B6769C"/>
    <w:rsid w:val="00B837B7"/>
    <w:rsid w:val="00BB22CC"/>
    <w:rsid w:val="00BB41C8"/>
    <w:rsid w:val="00BE5E72"/>
    <w:rsid w:val="00BF0A0F"/>
    <w:rsid w:val="00BF2E15"/>
    <w:rsid w:val="00BF7F55"/>
    <w:rsid w:val="00C05DD8"/>
    <w:rsid w:val="00C15447"/>
    <w:rsid w:val="00C227F5"/>
    <w:rsid w:val="00C35814"/>
    <w:rsid w:val="00C35D01"/>
    <w:rsid w:val="00C3778F"/>
    <w:rsid w:val="00C65B79"/>
    <w:rsid w:val="00C85D0F"/>
    <w:rsid w:val="00CB5651"/>
    <w:rsid w:val="00CC20CB"/>
    <w:rsid w:val="00CC3759"/>
    <w:rsid w:val="00CF44DF"/>
    <w:rsid w:val="00D04E0B"/>
    <w:rsid w:val="00D62DA0"/>
    <w:rsid w:val="00D6543C"/>
    <w:rsid w:val="00DF28EA"/>
    <w:rsid w:val="00DF594D"/>
    <w:rsid w:val="00E06AFD"/>
    <w:rsid w:val="00E14FEE"/>
    <w:rsid w:val="00E47A55"/>
    <w:rsid w:val="00E71368"/>
    <w:rsid w:val="00E93816"/>
    <w:rsid w:val="00EA59ED"/>
    <w:rsid w:val="00EF48F2"/>
    <w:rsid w:val="00F04010"/>
    <w:rsid w:val="00F07DEE"/>
    <w:rsid w:val="00F54DD9"/>
    <w:rsid w:val="00F9715C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4ABE1"/>
  <w15:chartTrackingRefBased/>
  <w15:docId w15:val="{D075F873-9674-4FCF-B5E9-3E3918C4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DF28E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F28E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F28EA"/>
    <w:rPr>
      <w:sz w:val="18"/>
    </w:rPr>
  </w:style>
  <w:style w:type="paragraph" w:styleId="Footer">
    <w:name w:val="footer"/>
    <w:basedOn w:val="Normal"/>
    <w:link w:val="FooterChar"/>
    <w:semiHidden/>
    <w:rsid w:val="00272E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72E09"/>
    <w:rPr>
      <w:sz w:val="24"/>
    </w:rPr>
  </w:style>
  <w:style w:type="paragraph" w:styleId="Revision">
    <w:name w:val="Revision"/>
    <w:hidden/>
    <w:uiPriority w:val="99"/>
    <w:semiHidden/>
    <w:rsid w:val="00365E4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4F709-8245-4370-BB6E-5B053576E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1113</Words>
  <Characters>7561</Characters>
  <Application>Microsoft Office Word</Application>
  <DocSecurity>0</DocSecurity>
  <Lines>168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TOADER Maria</dc:creator>
  <cp:lastModifiedBy>WOLSZCZAK Monika</cp:lastModifiedBy>
  <cp:revision>2</cp:revision>
  <cp:lastPrinted>2002-12-11T09:25:00Z</cp:lastPrinted>
  <dcterms:created xsi:type="dcterms:W3CDTF">2025-11-06T14:40:00Z</dcterms:created>
  <dcterms:modified xsi:type="dcterms:W3CDTF">2025-11-06T14:40:00Z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1328844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\\eiciBRUpr1\pdocep$\DocEP\DOCS\General\PR\PR_Leg\NLE\PR_NLE-AP_Agreement.dotx(12/08/2024 17:05:00)</vt:lpwstr>
  </property>
  <property fmtid="{D5CDD505-2E9C-101B-9397-08002B2CF9AE}" pid="6" name="&lt;ModelTra&gt;">
    <vt:lpwstr>\\eiciBRUpr1\pdocep$\DocEP\TRANSFIL\EN\PR_NLE-AP_Agreement.EN(04/10/2024 12:39:01)</vt:lpwstr>
  </property>
  <property fmtid="{D5CDD505-2E9C-101B-9397-08002B2CF9AE}" pid="7" name="&lt;Type&gt;">
    <vt:lpwstr>PR</vt:lpwstr>
  </property>
  <property fmtid="{D5CDD505-2E9C-101B-9397-08002B2CF9AE}" pid="8" name="Created with">
    <vt:lpwstr>10.1.2 Build [20250715]</vt:lpwstr>
  </property>
  <property fmtid="{D5CDD505-2E9C-101B-9397-08002B2CF9AE}" pid="9" name="FooterPath">
    <vt:lpwstr>PR\1328844PL.docx</vt:lpwstr>
  </property>
  <property fmtid="{D5CDD505-2E9C-101B-9397-08002B2CF9AE}" pid="10" name="LastEdited with">
    <vt:lpwstr>10.2.0 Build [20251001]</vt:lpwstr>
  </property>
  <property fmtid="{D5CDD505-2E9C-101B-9397-08002B2CF9AE}" pid="11" name="PE number">
    <vt:lpwstr>778.134</vt:lpwstr>
  </property>
  <property fmtid="{D5CDD505-2E9C-101B-9397-08002B2CF9AE}" pid="12" name="SDLStudio">
    <vt:lpwstr/>
  </property>
  <property fmtid="{D5CDD505-2E9C-101B-9397-08002B2CF9AE}" pid="13" name="SendToEpades">
    <vt:lpwstr>OK - 2025/10/23 16:38</vt:lpwstr>
  </property>
</Properties>
</file>