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Parlament Ewropew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1.46pt">
                  <v:imagedata r:id="rId5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Kumitat għal-Libertajiet Ċivili, il-Ġustizzja u l-Intern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2025/2137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{15/10/2025}</w:t>
      </w:r>
      <w:r>
        <w:t>15.10.2025</w:t>
      </w:r>
      <w:r>
        <w:rPr>
          <w:rStyle w:val="HideTWBExt"/>
        </w:rPr>
        <w:t>&lt;/Date&gt;</w:t>
      </w:r>
    </w:p>
    <w:p>
      <w:pPr>
        <w:pStyle w:val="CoverDocType24a"/>
      </w:pPr>
      <w:r>
        <w:rPr>
          <w:rStyle w:val="HideTWBExt"/>
        </w:rPr>
        <w:t>&lt;TitreType&gt;</w:t>
      </w:r>
      <w:r>
        <w:t>ABBOZZ TA’ RAPPORT</w:t>
      </w:r>
      <w:r>
        <w:rPr>
          <w:rStyle w:val="HideTWBExt"/>
        </w:rPr>
        <w:t>&lt;/TitreType&gt;</w:t>
      </w:r>
    </w:p>
    <w:p>
      <w:pPr>
        <w:pStyle w:val="CoverNormal"/>
      </w:pPr>
      <w:r>
        <w:rPr>
          <w:rStyle w:val="HideTWBExt"/>
        </w:rPr>
        <w:t>&lt;Titre&gt;</w:t>
      </w:r>
      <w:r>
        <w:t>L-aċċess pubbliku għad-dokumenti – ir-rapport li jkopri s-snin 2022 – 2024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(2025/2137(INI))</w:t>
      </w:r>
      <w:r>
        <w:rPr>
          <w:rStyle w:val="HideTWBExt"/>
        </w:rPr>
        <w:t>&lt;/DocRef&gt;</w:t>
      </w:r>
    </w:p>
    <w:p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Kumitat għal-Libertajiet Ċivili, il-Ġustizzja u l-Intern</w:t>
      </w:r>
      <w:r>
        <w:rPr>
          <w:rStyle w:val="HideTWBExt"/>
        </w:rPr>
        <w:t>&lt;/Commission&gt;</w:t>
      </w:r>
    </w:p>
    <w:p>
      <w:pPr>
        <w:pStyle w:val="CoverNormal24a"/>
      </w:pPr>
      <w:r>
        <w:t>Rapporteur</w:t>
      </w:r>
      <w:r>
        <w:t xml:space="preserve">: </w:t>
      </w:r>
      <w:r>
        <w:rPr>
          <w:rStyle w:val="HideTWBExt"/>
        </w:rPr>
        <w:t>&lt;Depute&gt;</w:t>
      </w:r>
      <w:r>
        <w:t>Veronika Cifrová Ostrihoňová</w:t>
      </w:r>
      <w:r>
        <w:rPr>
          <w:rStyle w:val="HideTWBExt"/>
        </w:rPr>
        <w:t>&lt;/Depute&gt;</w:t>
      </w:r>
    </w:p>
    <w:p>
      <w:r>
        <w:br w:type="page"/>
      </w:r>
      <w:r>
        <w:t>PR_INI</w:t>
      </w:r>
    </w:p>
    <w:p>
      <w:pPr>
        <w:pStyle w:val="TOCHeading"/>
      </w:pPr>
      <w:r>
        <w:t>WERREJ</w:t>
      </w:r>
    </w:p>
    <w:p>
      <w:pPr>
        <w:pStyle w:val="TOCPage"/>
      </w:pPr>
      <w:r>
        <w:t>Paġna</w:t>
      </w:r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\t</w:instrText>
      </w:r>
      <w:r>
        <w:instrText xml:space="preserve"> </w:instrText>
      </w:r>
      <w:r>
        <w:instrText>PageHeading</w:instrText>
      </w:r>
      <w:r>
        <w:fldChar w:fldCharType="separate"/>
      </w:r>
      <w:r>
        <w:t>MOZZJONI GĦAL RIŻOLUZZJONI TAL-PARLAMENT EWROPEW</w:t>
      </w:r>
      <w:r>
        <w:tab/>
      </w:r>
      <w:r>
        <w:fldChar w:fldCharType="begin"/>
      </w:r>
      <w:r>
        <w:instrText xml:space="preserve"> PAGEREF _Toc256000000 \h </w:instrText>
      </w:r>
      <w:r>
        <w:fldChar w:fldCharType="separate"/>
      </w:r>
      <w:r>
        <w:t>3</w:t>
      </w:r>
      <w:r>
        <w:fldChar w:fldCharType="end"/>
      </w:r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t>NOTA SPJEGATTIVA</w:t>
      </w:r>
      <w:r>
        <w:tab/>
      </w:r>
      <w:r>
        <w:fldChar w:fldCharType="begin"/>
      </w:r>
      <w:r>
        <w:instrText xml:space="preserve"> PAGEREF _Toc256000001 \h </w:instrText>
      </w:r>
      <w:r>
        <w:fldChar w:fldCharType="separate"/>
      </w:r>
      <w:r>
        <w:t>8</w:t>
      </w:r>
      <w:r>
        <w:fldChar w:fldCharType="end"/>
      </w:r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t>ANNESS: DIKJARAZZJONI TAL-KONTRIBUT</w:t>
      </w:r>
      <w:r>
        <w:tab/>
      </w:r>
      <w:r>
        <w:fldChar w:fldCharType="begin"/>
      </w:r>
      <w:r>
        <w:instrText xml:space="preserve"> PAGEREF _Toc256000002 \h </w:instrText>
      </w:r>
      <w:r>
        <w:fldChar w:fldCharType="separate"/>
      </w:r>
      <w:r>
        <w:t>9</w:t>
      </w:r>
      <w:r>
        <w:fldChar w:fldCharType="end"/>
      </w:r>
    </w:p>
    <w:p>
      <w:pPr>
        <w:pStyle w:val="TOC1"/>
      </w:pPr>
      <w:r>
        <w:fldChar w:fldCharType="end"/>
      </w:r>
    </w:p>
    <w:p>
      <w:r>
        <w:br w:type="page"/>
      </w:r>
    </w:p>
    <w:p>
      <w:pPr>
        <w:pStyle w:val="PageHeading"/>
      </w:pPr>
      <w:bookmarkStart w:id="0" w:name="_Toc256000000"/>
      <w:r>
        <w:t>MOZZJONI GĦAL RIŻOLUZZJONI TAL-PARLAMENT EWROPEW</w:t>
      </w:r>
      <w:bookmarkEnd w:id="0"/>
    </w:p>
    <w:p>
      <w:pPr>
        <w:pStyle w:val="NormalBold"/>
      </w:pPr>
      <w:r>
        <w:t>L-aċċess pubbliku għad-dokumenti – ir-rapport li jkopri s-snin 2022 - 2024</w:t>
      </w:r>
    </w:p>
    <w:p>
      <w:pPr>
        <w:pStyle w:val="NormalBold"/>
      </w:pPr>
    </w:p>
    <w:p>
      <w:pPr>
        <w:pStyle w:val="NormalBold12a"/>
      </w:pPr>
      <w:r>
        <w:t>(</w:t>
      </w:r>
      <w:r>
        <w:t>2025/2137(INI)</w:t>
      </w:r>
      <w:r>
        <w:t>)</w:t>
      </w:r>
    </w:p>
    <w:p>
      <w:pPr>
        <w:pStyle w:val="Normal12"/>
      </w:pPr>
      <w:r>
        <w:rPr>
          <w:i/>
        </w:rPr>
        <w:t>Il-Parlament Ewropew</w:t>
      </w:r>
      <w:r>
        <w:t>,</w:t>
      </w:r>
    </w:p>
    <w:p>
      <w:pPr>
        <w:pStyle w:val="NormalHanging"/>
      </w:pPr>
      <w:r>
        <w:t>–</w:t>
      </w:r>
      <w:r>
        <w:tab/>
      </w:r>
      <w:r>
        <w:t>wara li kkunsidra t-Trattat dwar l-Unjoni Ewropea (TUE), b’mod partikolari l-Artikoli 1, 9, 10, 11 u 16 tiegħu,</w:t>
      </w:r>
    </w:p>
    <w:p>
      <w:pPr>
        <w:pStyle w:val="NormalHanging"/>
      </w:pPr>
      <w:r>
        <w:t>–</w:t>
      </w:r>
      <w:r>
        <w:tab/>
      </w:r>
      <w:r>
        <w:t>wara li kkunsidra t-Trattat dwar il-Funzjonament tal-Unjoni Ewropea (TFUE), u b’mod partikolari l-Artikolu 15 tiegħu,</w:t>
      </w:r>
    </w:p>
    <w:p>
      <w:pPr>
        <w:pStyle w:val="NormalHanging"/>
      </w:pPr>
      <w:r>
        <w:t>–</w:t>
      </w:r>
      <w:r>
        <w:tab/>
      </w:r>
      <w:r>
        <w:t>wara li kkunsidra l-Karta tad-Drittijiet Fundamentali tal-Unjoni Ewropea (il-Karta), u b’mod partikolari l-Artikoli 41 u 42 tagħha,</w:t>
      </w:r>
    </w:p>
    <w:p>
      <w:pPr>
        <w:pStyle w:val="NormalHanging"/>
      </w:pPr>
      <w:r>
        <w:t>–</w:t>
      </w:r>
      <w:r>
        <w:tab/>
      </w:r>
      <w:r>
        <w:t xml:space="preserve">wara li kkunsidra r-Regolament (KE) Nru 1049/2001 </w:t>
      </w:r>
      <w:r>
        <w:t>tal-Parlament Ewropew</w:t>
      </w:r>
      <w:r>
        <w:t xml:space="preserve"> u tal-Kunsill tat-30 ta’ Mejju 2001 dwar l-aċċess pubbliku għad-dokumenti </w:t>
      </w:r>
      <w:r>
        <w:t>tal-Parlament Ewropew</w:t>
      </w:r>
      <w:r>
        <w:t>, tal-Kunsill u tal-Kummissjoni</w:t>
      </w:r>
      <w:r>
        <w:rPr>
          <w:rStyle w:val="FootnoteReference"/>
        </w:rPr>
        <w:footnoteReference w:customMarkFollows="1" w:id="2"/>
        <w:t xml:space="preserve">1</w:t>
      </w:r>
      <w:r>
        <w:t>,</w:t>
      </w:r>
    </w:p>
    <w:p>
      <w:pPr>
        <w:pStyle w:val="NormalHanging"/>
      </w:pPr>
      <w:r>
        <w:t>–</w:t>
      </w:r>
      <w:r>
        <w:tab/>
      </w:r>
      <w:r>
        <w:t xml:space="preserve">wara li kkunsidra l-proposta tal-Kummissjoni tat-30 ta’ April 2008 għal regolament </w:t>
      </w:r>
      <w:r>
        <w:t>tal-Parlament Ewropew</w:t>
      </w:r>
      <w:r>
        <w:t xml:space="preserve"> u tal-Kunsill dwar l-aċċess pubbliku għad-dokumenti </w:t>
      </w:r>
      <w:r>
        <w:t>tal-Parlament Ewropew</w:t>
      </w:r>
      <w:r>
        <w:t>, il-Kunsill u l-Kummissjoni (COM(2008)0229),</w:t>
      </w:r>
    </w:p>
    <w:p>
      <w:pPr>
        <w:pStyle w:val="NormalHanging"/>
      </w:pPr>
      <w:r>
        <w:t>–</w:t>
      </w:r>
      <w:r>
        <w:tab/>
      </w:r>
      <w:r>
        <w:t xml:space="preserve">wara li kkunsidra l-proposta tal-Kummissjoni tal-21 ta’ Marzu 2011 għal regolament </w:t>
      </w:r>
      <w:r>
        <w:t xml:space="preserve">tal-Parlament Ewropew </w:t>
      </w:r>
      <w:r>
        <w:t xml:space="preserve">u tal-Kunsill li jemenda r-Regolament (KE) Nru 1049/2001 dwar l-aċċess pubbliku għad-dokumenti </w:t>
      </w:r>
      <w:r>
        <w:t>tal-Parlament Ewropew</w:t>
      </w:r>
      <w:r>
        <w:t>, tal-Kunsill u tal-Kummissjoni (COM(2011)0137),</w:t>
      </w:r>
    </w:p>
    <w:p>
      <w:pPr>
        <w:pStyle w:val="NormalHanging"/>
      </w:pPr>
      <w:r>
        <w:t>–</w:t>
      </w:r>
      <w:r>
        <w:tab/>
      </w:r>
      <w:r>
        <w:t xml:space="preserve">wara li kkunsidra l-pożizzjoni tal-15 ta’ Diċembru 2011 dwar il-proposta għal Regolament </w:t>
      </w:r>
      <w:r>
        <w:t>tal-Parlament Ewropew</w:t>
      </w:r>
      <w:r>
        <w:t xml:space="preserve"> u tal-Kunsill dwar l-aċċess pubbliku għad-dokumenti </w:t>
      </w:r>
      <w:r>
        <w:t>tal-Parlament Ewropew</w:t>
      </w:r>
      <w:r>
        <w:t>, il-Kunsill u l-Kummissjoni</w:t>
      </w:r>
      <w:r>
        <w:rPr>
          <w:rStyle w:val="FootnoteReference"/>
        </w:rPr>
        <w:footnoteReference w:customMarkFollows="1" w:id="3"/>
        <w:t xml:space="preserve">2</w:t>
      </w:r>
      <w:r>
        <w:t>,</w:t>
      </w:r>
    </w:p>
    <w:p>
      <w:pPr>
        <w:pStyle w:val="NormalHanging"/>
      </w:pPr>
      <w:r>
        <w:t>–</w:t>
      </w:r>
      <w:r>
        <w:tab/>
      </w:r>
      <w:r>
        <w:t xml:space="preserve">wara li kkunsidra l-komunikazzjoni tal-Kummissjoni tal-11 ta’ Frar 2025 intitolata “Programm ta’ ħidma tal-Kummissjoni għall-2025” (COM(2025)0045) u l-annessi tagħha, u l-intenzjoni espressa hemmhekk li jiġu rtirati l-proposti COM(2011)0137 u COM(2008)0229 biex jiġi emendat ir-Regolament (KE) Nru 1049/2001 dwar l-aċċess pubbliku għad-dokumenti </w:t>
      </w:r>
      <w:r>
        <w:t>tal-Parlament Ewropew</w:t>
      </w:r>
      <w:r>
        <w:t>, tal-Kunsill u tal-Kummissjoni,</w:t>
      </w:r>
    </w:p>
    <w:p>
      <w:pPr>
        <w:pStyle w:val="NormalHanging"/>
      </w:pPr>
      <w:r>
        <w:t>–</w:t>
      </w:r>
      <w:r>
        <w:tab/>
      </w:r>
      <w:r>
        <w:t>wara li kkunsidra d-Deċiżjoni tal-Kummissjoni (UE) 2024/3080 tal-4 ta’ Diċembru 2024 li tistabbilixxi r-Regoli ta’ Proċedura tal-Kummissjoni u li temenda d-Deċiżjoni C(2000)3614</w:t>
      </w:r>
      <w:r>
        <w:rPr>
          <w:rStyle w:val="FootnoteReference"/>
        </w:rPr>
        <w:footnoteReference w:customMarkFollows="1" w:id="4"/>
        <w:t xml:space="preserve">3</w:t>
      </w:r>
      <w:r>
        <w:t>,</w:t>
      </w:r>
    </w:p>
    <w:p>
      <w:pPr>
        <w:pStyle w:val="NormalHanging"/>
      </w:pPr>
      <w:r>
        <w:t>–</w:t>
      </w:r>
      <w:r>
        <w:tab/>
      </w:r>
      <w:r>
        <w:t>wara li kkunsidra r-riżoluzzjoni tiegħu tal-14 ta’ Settembru 2017 dwar it-trasparenza, ir-responsabbiltà u l-integrità fl-istituzzjonijiet tal-UE</w:t>
      </w:r>
      <w:r>
        <w:rPr>
          <w:rStyle w:val="FootnoteReference"/>
        </w:rPr>
        <w:footnoteReference w:customMarkFollows="1" w:id="5"/>
        <w:t xml:space="preserve">4</w:t>
      </w:r>
      <w:r>
        <w:t>,</w:t>
      </w:r>
    </w:p>
    <w:p>
      <w:pPr>
        <w:pStyle w:val="NormalHanging"/>
      </w:pPr>
      <w:r>
        <w:t>–</w:t>
      </w:r>
      <w:r>
        <w:tab/>
      </w:r>
      <w:r>
        <w:t xml:space="preserve">wara li kkunsidra d-Direttiva (UE) 2019/1937 </w:t>
      </w:r>
      <w:r>
        <w:t>tal-Parlament Ewropew</w:t>
      </w:r>
      <w:r>
        <w:t xml:space="preserve"> u tal-Kunsill tat-23 ta’ Ottubru 2019 dwar il-protezzjoni ta’ persuni li jirrapportaw dwar ksur tal-liġi tal-Unjoni</w:t>
      </w:r>
      <w:r>
        <w:rPr>
          <w:rStyle w:val="FootnoteReference"/>
        </w:rPr>
        <w:footnoteReference w:customMarkFollows="1" w:id="6"/>
        <w:t xml:space="preserve">5</w:t>
      </w:r>
      <w:r>
        <w:t>,</w:t>
      </w:r>
    </w:p>
    <w:p>
      <w:pPr>
        <w:pStyle w:val="NormalHanging"/>
      </w:pPr>
      <w:r>
        <w:t>–</w:t>
      </w:r>
      <w:r>
        <w:tab/>
      </w:r>
      <w:r>
        <w:t>wara li kkunsidra r-riżoluzzjoni tiegħu tal-10 ta’ Frar 2021 dwar l-aċċess pubbliku għad-dokumenti</w:t>
      </w:r>
      <w:r>
        <w:rPr>
          <w:rStyle w:val="FootnoteReference"/>
        </w:rPr>
        <w:footnoteReference w:customMarkFollows="1" w:id="7"/>
        <w:t xml:space="preserve">6</w:t>
      </w:r>
      <w:r>
        <w:t>,</w:t>
      </w:r>
    </w:p>
    <w:p>
      <w:pPr>
        <w:pStyle w:val="NormalHanging"/>
      </w:pPr>
      <w:r>
        <w:t>–</w:t>
      </w:r>
      <w:r>
        <w:tab/>
      </w:r>
      <w:r>
        <w:t>wara li kkunsidra r-rapporti u d-deċiżjonijiet tal-Ombudsman Ewropew, b’mod partikolari r-Rapport Speċjali OI/2/2022/OAM</w:t>
      </w:r>
      <w:r>
        <w:rPr>
          <w:rStyle w:val="FootnoteReference"/>
        </w:rPr>
        <w:footnoteReference w:customMarkFollows="1" w:id="8"/>
        <w:t xml:space="preserve">7</w:t>
      </w:r>
      <w:r>
        <w:t xml:space="preserve"> u d-deċiżjoni fil-każ 1316/2021/MIG</w:t>
      </w:r>
      <w:r>
        <w:rPr>
          <w:rStyle w:val="FootnoteReference"/>
        </w:rPr>
        <w:footnoteReference w:customMarkFollows="1" w:id="9"/>
        <w:t xml:space="preserve">8</w:t>
      </w:r>
      <w:r>
        <w:t>,</w:t>
      </w:r>
    </w:p>
    <w:p>
      <w:pPr>
        <w:pStyle w:val="NormalHanging"/>
      </w:pPr>
      <w:r>
        <w:t>–</w:t>
      </w:r>
      <w:r>
        <w:tab/>
      </w:r>
      <w:r>
        <w:t xml:space="preserve">wara li kkunsidra l-ġurisprudenza </w:t>
      </w:r>
      <w:r>
        <w:t xml:space="preserve">tal-Qorti tal-Ġustizzja </w:t>
      </w:r>
      <w:r>
        <w:t xml:space="preserve">tal-Unjoni Ewropea (QĠUE) u </w:t>
      </w:r>
      <w:r>
        <w:t>tal-Qorti Ewropea tad-Drittijiet tal-Bniedem</w:t>
      </w:r>
      <w:r>
        <w:t xml:space="preserve"> (QEDB),</w:t>
      </w:r>
    </w:p>
    <w:p>
      <w:pPr>
        <w:pStyle w:val="NormalHanging"/>
      </w:pPr>
      <w:r>
        <w:t>–</w:t>
      </w:r>
      <w:r>
        <w:tab/>
      </w:r>
      <w:r>
        <w:t xml:space="preserve">wara li kkunsidra s-sentenza tal-QĠUE tal-14 ta’ Mejju 2025 fil-Kawża T-36/23, </w:t>
      </w:r>
      <w:r>
        <w:rPr>
          <w:i/>
        </w:rPr>
        <w:t>Matina Stevi u The New York Times Company</w:t>
      </w:r>
      <w:r>
        <w:t xml:space="preserve"> vs </w:t>
      </w:r>
      <w:r>
        <w:rPr>
          <w:i/>
        </w:rPr>
        <w:t>Il-Kummissjoni</w:t>
      </w:r>
      <w:r>
        <w:rPr>
          <w:rStyle w:val="FootnoteReference"/>
        </w:rPr>
        <w:footnoteReference w:customMarkFollows="1" w:id="10"/>
        <w:t xml:space="preserve">9</w:t>
      </w:r>
      <w:r>
        <w:t>,</w:t>
      </w:r>
    </w:p>
    <w:p>
      <w:pPr>
        <w:pStyle w:val="NormalHanging"/>
      </w:pPr>
      <w:r>
        <w:t>–</w:t>
      </w:r>
      <w:r>
        <w:tab/>
      </w:r>
      <w:r>
        <w:t>wara li kkunsidra r-riżoluzzjoni tiegħu tat-13 ta’ Lulju 2023 dwar l-aċċess pubbliku għad-dokumenti – rapport annwali għas-snin 2019-2021</w:t>
      </w:r>
      <w:r>
        <w:rPr>
          <w:rStyle w:val="FootnoteReference"/>
        </w:rPr>
        <w:footnoteReference w:customMarkFollows="1" w:id="11"/>
        <w:t xml:space="preserve">10</w:t>
      </w:r>
      <w:r>
        <w:t>,</w:t>
      </w:r>
    </w:p>
    <w:p>
      <w:pPr>
        <w:pStyle w:val="NormalHanging"/>
      </w:pPr>
      <w:r>
        <w:t>–</w:t>
      </w:r>
      <w:r>
        <w:tab/>
      </w:r>
      <w:r>
        <w:t>wara li kkunsidra r-riżoluzzjoni tal-Parlament Ewropew tal-14 ta’ Marzu 2024 dwar iż-żmien li tieħu l-Kummissjoni Ewropea biex tittratta t-talbiet ta’ aċċess pubbliku għad-dokumenti</w:t>
      </w:r>
      <w:r>
        <w:rPr>
          <w:rStyle w:val="FootnoteReference"/>
        </w:rPr>
        <w:footnoteReference w:customMarkFollows="1" w:id="12"/>
        <w:t xml:space="preserve">11</w:t>
      </w:r>
    </w:p>
    <w:p>
      <w:pPr>
        <w:pStyle w:val="NormalHanging"/>
      </w:pPr>
      <w:r>
        <w:t>–</w:t>
      </w:r>
      <w:r>
        <w:tab/>
      </w:r>
      <w:r>
        <w:t>wara li kkunsidra l-Artikolu 122(7) u l-Artikolu 149 tar-Regoli ta’ Proċedura tiegħu,</w:t>
      </w:r>
    </w:p>
    <w:p>
      <w:pPr>
        <w:pStyle w:val="NormalHanging"/>
      </w:pPr>
      <w:r>
        <w:t>–</w:t>
      </w:r>
      <w:r>
        <w:tab/>
      </w:r>
      <w:r>
        <w:t>wara li kkunsidra l-Artikolu 55 tar-Regoli ta’ Proċedura tiegħu,</w:t>
      </w:r>
    </w:p>
    <w:p>
      <w:pPr>
        <w:pStyle w:val="NormalHanging"/>
      </w:pPr>
      <w:r>
        <w:t>–</w:t>
      </w:r>
      <w:r>
        <w:tab/>
      </w:r>
      <w:r>
        <w:t>wara li kkunsidra l-opinjoni tal-Kumitat għal-Libertajiet Ċivili, il-Ġustizzja u l-Intern (A10-0000/2025),</w:t>
      </w:r>
    </w:p>
    <w:p>
      <w:pPr>
        <w:pStyle w:val="NormalHanging"/>
      </w:pPr>
      <w:r>
        <w:t>A.</w:t>
      </w:r>
      <w:r>
        <w:tab/>
      </w:r>
      <w:r>
        <w:t>billi t-Trattati tal-UE jiggarantixxu lil kull ċittadin id-dritt għall-parteċipazzjoni demokratika u t-teħid ta’ deċiżjonijiet trasparenti, dritt li jirrikjedi li l-istituzzjonijiet jagħtu aċċess pubbliku għad-dokumenti; billi dan id-dritt fundamentali ta’ aċċess għad-dokumenti, protett mit-Trattati u mill-Karta, jippermetti skrutinju effettiv taċ-ċittadini</w:t>
      </w:r>
      <w:r>
        <w:rPr>
          <w:rStyle w:val="FootnoteReference"/>
        </w:rPr>
        <w:footnoteReference w:customMarkFollows="1" w:id="13"/>
        <w:t xml:space="preserve">12</w:t>
      </w:r>
      <w:r>
        <w:t>; billi l-QĠUE affermat l-aċċess pubbliku għad-dokumenti bħala parti essenzjali mid-demokrazija parteċipattiva;</w:t>
      </w:r>
    </w:p>
    <w:p>
      <w:pPr>
        <w:pStyle w:val="NormalHanging"/>
      </w:pPr>
      <w:r>
        <w:t>B.</w:t>
      </w:r>
      <w:r>
        <w:tab/>
      </w:r>
      <w:r>
        <w:t>billi l-QĠUE saħqet li l-iskrutinju pubbliku tal-informazzjoni leġiżlattiva huwa essenzjali għad-demokrazija u jippermetti liċ-ċittadini jeżerċitaw b’mod effettiv id-drittijiet demokratiċi tagħhom;</w:t>
      </w:r>
    </w:p>
    <w:p>
      <w:pPr>
        <w:pStyle w:val="NormalHanging"/>
      </w:pPr>
      <w:r>
        <w:t>C.</w:t>
      </w:r>
      <w:r>
        <w:tab/>
      </w:r>
      <w:r>
        <w:t>billi ċ-ċittadini jistennew b’mod leġittimu t-trasparenza, l-effiċjenza u r-responsabbiltà mill-awtoritajiet pubbliċi, u l-istituzzjonijiet, il-korpi, l-uffiċċji u l-aġenziji tal-UE għandhom iwieġbu għal dawk l-aspettattivi b’mod ċar u li jinftiehem;</w:t>
      </w:r>
    </w:p>
    <w:p>
      <w:pPr>
        <w:pStyle w:val="NormalHanging"/>
      </w:pPr>
      <w:r>
        <w:t>D.</w:t>
      </w:r>
      <w:r>
        <w:tab/>
      </w:r>
      <w:r>
        <w:t>billi l-aċċess għal informazzjoni affidabbli u preċiża huwa kruċjali għas-salvagwardja kontra l-miżinformazzjoni u għall-ġlieda effettiva kontra t-tixrid tad-diżinformazzjoni;</w:t>
      </w:r>
    </w:p>
    <w:p>
      <w:pPr>
        <w:pStyle w:val="NormalHanging"/>
      </w:pPr>
      <w:r>
        <w:t>E.</w:t>
      </w:r>
      <w:r>
        <w:tab/>
      </w:r>
      <w:r>
        <w:t>billi l-inkjesta strateġika tal-Ombudsman Ewropew deskritta fir-Rapport Speċjali OI/2/2022/OAM żvelat dewmien sistemiku u sinifikanti mill-Kummissjoni, b’mod partikolari fit-trattament tagħha tal-applikazzjonijiet konfermatorji (talbiet mill-applikanti biex tiġi rieżaminata t-tweġiba inizjali tagħha) wara r-rifjuti inizjali li ċ-ċittadini jingħataw aċċess għad-dokumenti;</w:t>
      </w:r>
    </w:p>
    <w:p>
      <w:pPr>
        <w:pStyle w:val="NormalHanging"/>
      </w:pPr>
      <w:r>
        <w:t>F.</w:t>
      </w:r>
      <w:r>
        <w:tab/>
      </w:r>
      <w:r>
        <w:t>billi f’Mejju 2021, ġurnalist talab aċċess għad-dokumenti, inklużi messaġġi testwali bejn il-President tal-Kummissjoni u Pfizer, iżda l-Kummissjoni ddikjarat li ma kellha l-ebda rekord bħal dan abbażi tar-regoli ta’ reġistrazzjoni interna; billi l-Ombudsman Ewropew sabet li dan ir-rispons ma kienx adegwat u rrakkomandat tfittxija mill-ġdid, f’konformità mal-obbligi ta’ aċċess pubbliku skont ir-Regolament (KE) Nru 1049/2001;</w:t>
      </w:r>
    </w:p>
    <w:p>
      <w:pPr>
        <w:pStyle w:val="NormalHanging"/>
      </w:pPr>
      <w:r>
        <w:t>G.</w:t>
      </w:r>
      <w:r>
        <w:tab/>
      </w:r>
      <w:r>
        <w:t xml:space="preserve">billi fil-komunikazzjoni tagħha dwar il-programm ta’ ħidma tagħha għall-2025, il-Kummissjoni esprimiet l-intenzjoni tagħha li tirtira l-proposti </w:t>
      </w:r>
      <w:hyperlink r:id="rId6" w:tgtFrame="https://eur-lex.europa.eu/legal-content/EN/ALL/?uri=CELEX:52011PC0137" w:history="1">
        <w:r>
          <w:rPr>
            <w:rStyle w:val="Hyperlink"/>
          </w:rPr>
          <w:t>COM(2011)0137</w:t>
        </w:r>
      </w:hyperlink>
      <w:r>
        <w:t xml:space="preserve"> u </w:t>
      </w:r>
      <w:hyperlink r:id="rId7" w:tgtFrame="https://eur-lex.europa.eu/legal-content/EN/ALL/?uri=CELEX:52008PC0229" w:history="1">
        <w:r>
          <w:rPr>
            <w:rStyle w:val="Hyperlink"/>
          </w:rPr>
          <w:t>COM(2008)0229</w:t>
        </w:r>
      </w:hyperlink>
      <w:r>
        <w:t xml:space="preserve"> – it-tnejn li huma mmirati biex jemendaw ir-Regolament (KE) Nru 1049/2001 dwar l-aċċess pubbliku għad-dokumenti – filwaqt li ssemmi n-nuqqas ta’ kwalunkwe ftehim prevedibbli, wara snin ta’ staġnar leġiżlattiv mill-2011;</w:t>
      </w:r>
    </w:p>
    <w:p>
      <w:pPr>
        <w:pStyle w:val="Normal12a"/>
      </w:pPr>
      <w:r>
        <w:rPr>
          <w:b/>
          <w:i/>
        </w:rPr>
        <w:t>Rapporti annwali dwar l-aċċess pubbliku għad-dokumenti</w:t>
      </w:r>
    </w:p>
    <w:p>
      <w:pPr>
        <w:pStyle w:val="NormalHanging12a"/>
      </w:pPr>
      <w:r>
        <w:t>1.</w:t>
      </w:r>
      <w:r>
        <w:tab/>
      </w:r>
      <w:r>
        <w:t>Jinnota li fl-2024, il-Kummissjoni emendat il-qafas ta’ trasparenza tagħha billi adottat Regoli ta’ Proċedura riveduti, li jiċċaraw ir-regoli dwar l-aċċess pubbliku għad-dokumenti skont ir-Regolament (KE) Nru 1049/2001;</w:t>
      </w:r>
    </w:p>
    <w:p>
      <w:pPr>
        <w:pStyle w:val="NormalHanging12a"/>
      </w:pPr>
      <w:r>
        <w:t>2.</w:t>
      </w:r>
      <w:r>
        <w:tab/>
      </w:r>
      <w:r>
        <w:t>Josserva li fl-2024, il-Kummissjoni rċeviet 6 938 talbiet għal aċċess inizjali ta’ dokumenti u 641 applikazzjoni konfermatorja, li mmarkaw żieda ta’ 7 % mill-2023</w:t>
      </w:r>
      <w:r>
        <w:rPr>
          <w:rStyle w:val="FootnoteReference"/>
        </w:rPr>
        <w:footnoteReference w:customMarkFollows="1" w:id="14"/>
        <w:t xml:space="preserve">13</w:t>
      </w:r>
      <w:r>
        <w:t>;</w:t>
      </w:r>
    </w:p>
    <w:p>
      <w:pPr>
        <w:pStyle w:val="NormalHanging12a"/>
      </w:pPr>
      <w:r>
        <w:t>3.</w:t>
      </w:r>
      <w:r>
        <w:tab/>
      </w:r>
      <w:r>
        <w:t>Jenfasizza l-fatt li, sal-31 ta’ Diċembru 2024, ir-Reġistru Pubbliku tad-Dokumenti tal-Parlament kien fih 918 803 referenza (żieda minn 898 267 fi tmiem l-2023); jinnota li r-rata ġenerali ta’ rispons pożittiv baqgħet għolja, 91 %, fejn l-applikazzjonijiet jiġu ttrattati fi żmien medju ta’ madwar disat ijiem ta’ xogħol</w:t>
      </w:r>
      <w:r>
        <w:rPr>
          <w:rStyle w:val="FootnoteReference"/>
        </w:rPr>
        <w:footnoteReference w:customMarkFollows="1" w:id="15"/>
        <w:t xml:space="preserve">14</w:t>
      </w:r>
      <w:r>
        <w:t>;</w:t>
      </w:r>
    </w:p>
    <w:p>
      <w:pPr>
        <w:pStyle w:val="Normal12a"/>
      </w:pPr>
      <w:r>
        <w:rPr>
          <w:b/>
          <w:i/>
        </w:rPr>
        <w:t>Żviluppi reċenti</w:t>
      </w:r>
    </w:p>
    <w:p>
      <w:pPr>
        <w:pStyle w:val="NormalHanging12a"/>
      </w:pPr>
      <w:r>
        <w:t>4.</w:t>
      </w:r>
      <w:r>
        <w:tab/>
      </w:r>
      <w:r>
        <w:t>Jisħaq li, anke fejn ċerta informazzjoni tkun teħtieġ tinżamm mistura, jenħtieġ li d-divulgazzjoni parzjali, fejn tibqa’ kemm fattibbli kif ukoll mixtieqa, tibqa’ titqies, fil-kuntest tal-interess pubbliku prevalenti fit-trasparenza, li jinkludi l-prinċipji ta’ governanza tajba, effiċjenza istituzzjonali, responsabbiltà demokratika u involviment ċiviku msaħħaħ fit-tfassil tal-politika;</w:t>
      </w:r>
    </w:p>
    <w:p>
      <w:pPr>
        <w:pStyle w:val="NormalHanging12a"/>
      </w:pPr>
      <w:r>
        <w:t>5.</w:t>
      </w:r>
      <w:r>
        <w:tab/>
      </w:r>
      <w:r>
        <w:t>Jesprimi tħassib dwar il-klassifikazzjoni żejda persistenti u mifruxa tad-dokumenti uffiċjali mill-istituzzjonijiet, il-korpi, l-uffiċċji u l-aġenziji tal-UE; itenni t-talba li ilu jagħmel, kif ippreżentat fir-riżoluzzjonijiet preċedenti tiegħu dwar l-aċċess pubbliku għad-dokumenti, għall-istabbiliment ta’ regoli ċari, konsistenti u legalment vinkolanti li jirregolaw il-klassifikazzjoni u d-deklassifikazzjoni tad-dokumenti;</w:t>
      </w:r>
    </w:p>
    <w:p>
      <w:pPr>
        <w:pStyle w:val="NormalHanging12a"/>
      </w:pPr>
      <w:r>
        <w:t>6.</w:t>
      </w:r>
      <w:r>
        <w:tab/>
      </w:r>
      <w:r>
        <w:t>Jiddeplora n-nuqqas kontinwu ta’ segwitu sinifikanti mill-Kummissjoni u mill-Kunsill b’reazzjoni għal dawn ir-rakkomandazzjonijiet;</w:t>
      </w:r>
    </w:p>
    <w:p>
      <w:pPr>
        <w:pStyle w:val="NormalHanging12a"/>
      </w:pPr>
      <w:r>
        <w:t>7.</w:t>
      </w:r>
      <w:r>
        <w:tab/>
      </w:r>
      <w:r>
        <w:t>Jirrikonoxxi li l-inkjesta tal-Ombudsman Ewropew deskritta fir-Rapport Speċjali OI/2/2022/OAM żvelat xejra ta’ dewmien sistemiku mill-Kummissjoni biex twieġeb għal applikazzjonijiet konfermatorji, u sabet li n-nuqqasijiet strutturali, in-nuqqas ta’ riżorsi u l-komunikazzjoni ineffettiva fl-aħħar mill-aħħar skoraġġixxew lill-individwi milli jeżerċitaw id-dritt ta’ aċċess tagħhom;</w:t>
      </w:r>
    </w:p>
    <w:p>
      <w:pPr>
        <w:pStyle w:val="NormalHanging12a"/>
      </w:pPr>
      <w:r>
        <w:t>8.</w:t>
      </w:r>
      <w:r>
        <w:tab/>
      </w:r>
      <w:r>
        <w:t>Jistieden lill-Kummissjoni tiżgura li l-proposti leġiżlattivi futuri kollha jkunu bbażati fuq data robusta u verifikabbli li turi b’mod ċar il-ħtieġa, il-proporzjonalità u l-effikaċja mistennija tagħhom; iħeġġeġ lill-Kummissjoni, barra minn hekk, tiżgura trasparenza sħiħa fl-għażla tal-partijiet ikkonċernati kkonsultati matul it-tħejjija tal-proposti leġiżlattivi;</w:t>
      </w:r>
    </w:p>
    <w:p>
      <w:pPr>
        <w:pStyle w:val="NormalHanging12a"/>
      </w:pPr>
      <w:r>
        <w:t>9.</w:t>
      </w:r>
      <w:r>
        <w:tab/>
      </w:r>
      <w:r>
        <w:t>Jiddispjaċih li għad hemm nuqqasijiet fit-trasparenza fil-Kunsill; jinnota bi tħassib is-sejbiet dwar ir-rifjut tiegħu li jagħti aċċess għad-dokumenti tat-trilogu; jiddispjaċih li l-analiżijiet reċenti għadhom jenfasizzaw nuqqas ta’ pubblikazzjoni proattiva u prattiki ta’ reġistrazzjoni;</w:t>
      </w:r>
    </w:p>
    <w:p>
      <w:pPr>
        <w:pStyle w:val="NormalHanging12a"/>
      </w:pPr>
      <w:r>
        <w:t>10.</w:t>
      </w:r>
      <w:r>
        <w:tab/>
      </w:r>
      <w:r>
        <w:t xml:space="preserve">Jilqa’ b’sodisfazzjon is-sentenza tal-QĠUE fi </w:t>
      </w:r>
      <w:r>
        <w:rPr>
          <w:i/>
        </w:rPr>
        <w:t>Stevi u The New York Times</w:t>
      </w:r>
      <w:r>
        <w:t xml:space="preserve"> vs </w:t>
      </w:r>
      <w:r>
        <w:rPr>
          <w:i/>
        </w:rPr>
        <w:t>Il-Kummissjoni</w:t>
      </w:r>
      <w:r>
        <w:t xml:space="preserve"> bħala kontribut importanti għal-linja ta’ ġurisprudenza li rawmet prattiki trasparenti fl-istituzzjonijiet, il-korpi, l-uffiċċji u l-aġenziji tal-UE; jinnota li s-sentenza tenfasizza d-dmir li tinżamm dokumentazzjoni b’mod proattiv biex jiġi żgurat l-eżerċizzju effettiv tad-dritt ta’ aċċess; jiddispjaċih, madankollu, li l-QĠUE għażlet li ma terġax tinterpreta r-Regolament (KE) Nru 1049/2001 fid-dawl tal-metodi moderni ta’ komunikazzjoni u tal-obbligi ta’ trasparenza li qed jevolvu;</w:t>
      </w:r>
    </w:p>
    <w:p>
      <w:pPr>
        <w:pStyle w:val="Normal12a"/>
      </w:pPr>
      <w:r>
        <w:rPr>
          <w:b/>
          <w:i/>
        </w:rPr>
        <w:t>Rakkomandazzjonijiet</w:t>
      </w:r>
    </w:p>
    <w:p>
      <w:pPr>
        <w:pStyle w:val="NormalHanging12a"/>
      </w:pPr>
      <w:r>
        <w:t>11.</w:t>
      </w:r>
      <w:r>
        <w:tab/>
      </w:r>
      <w:r>
        <w:t>Jieħu nota tal-adozzjoni tar-regoli interni riveduti tal-Kummissjoni dwar l-aċċess għad-dokumenti, u li tqajmu mistoqsijiet dwar il-kompatibbiltà tagħhom mal-Karta, mat-TUE, mat-TFUE u mar-Regolament (KE) Nru 1049/2001; jenfasizza li l-aċċess għad-dokumenti jikkostitwixxi dritt fundamentali skont id-dritt tal-UE, li huwa essenzjali biex jiġu żgurati t-trasparenza, ir-responsabbiltà demokratika u l-parteċipazzjoni sinifikanti taċ-ċittadini;</w:t>
      </w:r>
      <w:r>
        <w:rPr>
          <w:b/>
        </w:rPr>
        <w:t xml:space="preserve"> </w:t>
      </w:r>
      <w:r>
        <w:t>jistieden lill-Kummissjoni tirrevedi dawn ir-regoli fid-dawl tal-ġurisprudenza rilevanti u, fejn ikun xieraq, tikkjarifikahom jew taġġustahom sabiex jintlaħaq l-ogħla livell ta’ trasparenza;</w:t>
      </w:r>
    </w:p>
    <w:p>
      <w:pPr>
        <w:pStyle w:val="NormalHanging12a"/>
      </w:pPr>
      <w:r>
        <w:t>12.</w:t>
      </w:r>
      <w:r>
        <w:tab/>
      </w:r>
      <w:r>
        <w:t>Jieħu nota tal-irtirar mill-Kummissjoni tal-proposti tagħha tal-2008 u l-2011 għar-reviżjoni tar-Regolament (KE) Nru 1049/2001; jiddispjaċih dwar din id-deċiżjoni li jiġu rtirati wara snin ta’ staġnar mingħajr pjan direzzjonali ċar, skeda ta’ żmien jew konsultazzjoni sinifikanti, u fejn għaldaqstant intilfet opportunità ewlenija biex jiġi mmodernizzat il-qafas eżistenti u antikwat; jistieden lill-Kummissjoni tressaq proposta aġġornata li tillimita l-eċċezzjonijiet għall-każijiet strettament meħtieġa u tistabbilixxi standard ġdid tal-UE għall-ftuħ u l-aċċess pubbliku għad-dokumenti;</w:t>
      </w:r>
    </w:p>
    <w:p>
      <w:pPr>
        <w:pStyle w:val="NormalHanging12a"/>
      </w:pPr>
      <w:r>
        <w:t>13.</w:t>
      </w:r>
      <w:r>
        <w:tab/>
      </w:r>
      <w:r>
        <w:t>Jirrakkomanda li d-dewmien sistemiku fit-trattament tal-applikazzjonijiet konfermatorji jiġi indirizzat b’mod urġenti billi jittejbu l-proċeduri interni, jiġu allokati biżżejjed riżorsi u tiġi żgurata komunikazzjoni f’waqtha u trasparenti mal-applikanti, sabiex jiġu rrispettati l-obbligi legali u jiġu appoġġjati l-fiduċja u l-parteċipazzjoni tal-pubbliku;</w:t>
      </w:r>
    </w:p>
    <w:p>
      <w:pPr>
        <w:pStyle w:val="NormalHanging12a"/>
      </w:pPr>
      <w:r>
        <w:t>14.</w:t>
      </w:r>
      <w:r>
        <w:tab/>
      </w:r>
      <w:r>
        <w:t>Jisħaq li t-trasparenza u l-aċċess għad-dokumenti miżmuma mill-istituzzjonijiet, il-korpi, l-uffiċċji u l-aġenziji tal-UE jridu jkunu r-regola u li l-eċċezzjonijiet għal dik ir-regola jridu jiġu interpretati b’mod strett, filwaqt li jitqies l-interess pubbliku prevalenti fl-iżvelar sabiex ikun jista’ jsir skrutinju pubbliku;</w:t>
      </w:r>
    </w:p>
    <w:p>
      <w:pPr>
        <w:pStyle w:val="NormalHanging12a"/>
      </w:pPr>
      <w:r>
        <w:t>15.</w:t>
      </w:r>
      <w:r>
        <w:tab/>
      </w:r>
      <w:r>
        <w:t>Jissottolinja li nuqqas ta’ għarfien dwar jekk id-dokumenti fil-fatt jeżistux jista’ jimpedixxi liċ-ċittadini milli jeżerċitaw id-dritt tagħhom li jitolbu aċċess; jisħaq li l-fatt li jiġi żgurat li ċ-ċittadini jkunu jistgħu jifhmu, isegwu fid-dettall u jipparteċipaw fil-proċess leġiżlattiv huwa rekwiżit legali skont it-Trattati u l-Karta, u huwa rekwiżit bażiku għall-iskrutinju demokratiku u għad-demokrazija inġenerali;</w:t>
      </w:r>
    </w:p>
    <w:p>
      <w:pPr>
        <w:pStyle w:val="NormalCenter12a"/>
      </w:pPr>
      <w:r>
        <w:t>°</w:t>
      </w:r>
    </w:p>
    <w:p>
      <w:pPr>
        <w:pStyle w:val="NormalCenter12a"/>
      </w:pPr>
      <w:r>
        <w:t>°</w:t>
      </w:r>
      <w:r>
        <w:tab/>
      </w:r>
      <w:r>
        <w:t>°</w:t>
      </w:r>
    </w:p>
    <w:p>
      <w:pPr>
        <w:pStyle w:val="NormalHanging12a"/>
      </w:pPr>
      <w:r>
        <w:t>16.</w:t>
      </w:r>
      <w:r>
        <w:tab/>
      </w:r>
      <w:r>
        <w:t>Jagħti istruzzjonijiet lill-President tiegħu biex tgħaddi din ir-riżoluzzjoni lill-Kunsill u lill-Kummissjoni.</w:t>
      </w:r>
    </w:p>
    <w:p>
      <w:pPr>
        <w:sectPr>
          <w:footerReference w:type="even" r:id="rId8"/>
          <w:footerReference w:type="default" r:id="rId9"/>
          <w:footerReference w:type="first" r:id="rId10"/>
          <w:footnotePr>
            <w:numRestart w:val="eachSect"/>
          </w:footnotePr>
          <w:pgSz w:w="11909" w:h="16834"/>
          <w:pgMar w:top="1134" w:right="1417" w:bottom="1417" w:left="1417" w:header="1134" w:footer="567"/>
          <w:cols w:space="720"/>
          <w:titlePg/>
        </w:sectPr>
      </w:pPr>
    </w:p>
    <w:p>
      <w:pPr>
        <w:pStyle w:val="PageHeading"/>
      </w:pPr>
      <w:bookmarkStart w:id="1" w:name="_Toc256000001"/>
      <w:r>
        <w:t>NOTA SPJEGATTIVA</w:t>
      </w:r>
      <w:bookmarkEnd w:id="1"/>
    </w:p>
    <w:p>
      <w:pPr>
        <w:pStyle w:val="Normal12"/>
      </w:pPr>
      <w:r>
        <w:t>Dan ir-rapport għandu l-għan li jafferma mill-ġdid li l-aċċess għad-dokumenti huwa dritt fundamentali ta’ kull ċittadin skont it-Trattati, il-Karta tad-Drittijiet Fundamentali u l-qafas tal-Unjoni għall-aċċess għad-dokumenti, u li jsaħħaħ kultura ta’ trasparenza li ġġib il-ġustizzja fil-proċessi ta’ politika u fid-diskors pubbliku. Huwa jivvaluta l-iżviluppi reċenti u tidentifika d-dewmien sistematiku, il-klassifikazzjoni żejda, il-pubblikazzjoni proattiva mhux uniformi, u l-inċertezza eżistenti.</w:t>
      </w:r>
    </w:p>
    <w:p>
      <w:pPr>
        <w:pStyle w:val="Normal12"/>
      </w:pPr>
      <w:r>
        <w:t>Fuq dik il-bażi, ir-rapport iressaq approċċ modern u ċċentrat fuq iċ-ċittadin li jagħmel regola mid-divulgazzjoni u eċċezzjoni mis-segretezza. Ir-rapport għandu wkoll l-għan li jiżgura meta jsiru talbiet, jittieħdu deċiżjonijiet f’waqthom u raġunati sew; jiggarantixxi aċċess bikri u effettiv għad-dokumenti leġiżlattivi, tat-trilogi u ta’ ftehimiet internazzjonali; u li jissaħħaħ ir-reġistri proattivi. Ifittex li jiżgura trattament ugwali tal-partijiet ikkonċernati, jippermetti parteċipazzjoni infurmata, u jsaħħaħ ir-responsabbiltà demokratika fl-istituzzjonijiet, il-korpi, l-uffiċċji u l-aġenziji Ewropej.</w:t>
      </w:r>
    </w:p>
    <w:p>
      <w:pPr>
        <w:sectPr>
          <w:footnotePr>
            <w:numRestart w:val="eachSect"/>
          </w:footnotePr>
          <w:type w:val="nextPage"/>
          <w:pgSz w:w="11909" w:h="16834"/>
          <w:pgMar w:top="1134" w:right="1417" w:bottom="1417" w:left="1417" w:header="1134" w:footer="567"/>
          <w:cols w:space="720"/>
        </w:sectPr>
      </w:pPr>
    </w:p>
    <w:p>
      <w:pPr>
        <w:pStyle w:val="PageHeading"/>
      </w:pPr>
      <w:bookmarkStart w:id="2" w:name="_Toc256000002"/>
      <w:r>
        <w:t>ANNESS: DIKJARAZZJONI TAL-KONTRIBUT</w:t>
      </w:r>
      <w:bookmarkEnd w:id="2"/>
    </w:p>
    <w:p>
      <w:pPr>
        <w:pStyle w:val="Normal12a"/>
      </w:pPr>
      <w:r>
        <w:rPr>
          <w:rStyle w:val="HideTWBExt"/>
        </w:rPr>
        <w:t>&lt;FootprintIntro&gt;</w:t>
      </w:r>
      <w:r>
        <w:rPr>
          <w:rStyle w:val="HideTWBExt"/>
        </w:rPr>
        <w:t>&lt;/FootprintIntro&gt;</w:t>
      </w:r>
    </w:p>
    <w:p>
      <w:pPr>
        <w:pStyle w:val="Normal12a"/>
      </w:pPr>
      <w:r>
        <w:t>F’konformità mal-Artikolu 8 tal-Anness I tar-Regoli ta’ Proċedura, ir-rapporteurs tiddikjara li fir-rapport tagħha inkludiet kontribut dwar kwistjonijiet li għandhom x’jaqsmu mas-suġġett tal-fajl li rċeviet, għat-tħejjija tal-abbozz ta’ rapport, mingħand ir-rappreżentanti ta’ gruppi ta’ interess li jaqgħu fil-kamp ta’ applikazzjoni tal-Ftehim Interistituzzjonali dwar Reġistru Obbligatorju ta’ Trasparenza li ġejjin</w:t>
      </w:r>
      <w:r>
        <w:rPr>
          <w:rStyle w:val="FootnoteReference"/>
        </w:rPr>
        <w:footnoteReference w:customMarkFollows="1" w:id="16"/>
        <w:t xml:space="preserve">1</w:t>
      </w:r>
      <w:r>
        <w:t>, jew mingħand ir-rappreżentanti ta’ awtoritajiet pubbliċi ta’ pajjiżi terzi, inklużi l-missjonijiet diplomatiċi u l-ambaxxati tagħhom, li ġejjin: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9080"/>
      </w:tblGrid>
      <w:tr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pPr>
              <w:jc w:val="center"/>
            </w:pPr>
            <w:r>
              <w:rPr>
                <w:b/>
              </w:rPr>
              <w:t>1. Rappreżentanti ta’ gruppi ta’ interess li jaqgħu fil-kamp ta’ applikazzjoni tal-Ftehim Interistituzzjonali dwar Reġistru Obbligatorju ta’ Trasparenza</w:t>
            </w:r>
          </w:p>
        </w:tc>
      </w:tr>
      <w:tr>
        <w:tblPrEx>
          <w:tblW w:w="0" w:type="auto"/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r>
              <w:t>Access Info Europe</w:t>
            </w:r>
          </w:p>
        </w:tc>
      </w:tr>
    </w:tbl>
    <w:p/>
    <w:p>
      <w:pPr>
        <w:pStyle w:val="Normal12a"/>
      </w:pPr>
      <w:r>
        <w:t>Il-lista ta’ hawn fuq hija mfassla taħt ir-responsabbiltà esklużiva tar-rapporteur.</w:t>
      </w:r>
    </w:p>
    <w:p>
      <w:pPr>
        <w:pStyle w:val="Normal12a"/>
      </w:pPr>
      <w:r>
        <w:t>Meta persuni fiżiċi jkunu identifikati fil-lista b’isimhom, bil-funzjoni tagħhom jew bit-tnejn li huma, ir-rapporteur tiddikjara li ppreżentat lill-persuni fiżiċi kkonċernati l-Avviż tal-Parlament Ewropew Nru 484 dwar il-Protezzjoni tad-Data (</w:t>
      </w:r>
      <w:hyperlink r:id="rId11" w:tgtFrame="https://www.europarl.europa.eu/data-protect/index.do" w:history="1">
        <w:r>
          <w:rPr>
            <w:rStyle w:val="Hyperlink"/>
          </w:rPr>
          <w:t>https://www.europarl.europa.eu/data-protect/index.do</w:t>
        </w:r>
      </w:hyperlink>
      <w:r>
        <w:t>), li jistabbilixxi l-kundizzjonijiet applikabbli għall-ipproċessar tad-data personali tagħhom u d-drittijiet marbuta ma’ dak l-ipproċessar.</w:t>
      </w:r>
    </w:p>
    <w:sectPr>
      <w:footnotePr>
        <w:numRestart w:val="eachSect"/>
      </w:footnotePr>
      <w:type w:val="nextPage"/>
      <w:pgSz w:w="11909" w:h="16834"/>
      <w:pgMar w:top="1134" w:right="1417" w:bottom="1417" w:left="1417" w:header="1134" w:footer="567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778.284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9</w:t>
    </w:r>
    <w:r>
      <w:fldChar w:fldCharType="end"/>
    </w:r>
    <w:r>
      <w:tab/>
    </w:r>
    <w:r>
      <w:rPr>
        <w:rStyle w:val="HideTWBExt"/>
      </w:rPr>
      <w:t>&lt;PathFdR&gt;</w:t>
    </w:r>
    <w:r>
      <w:t>PR\1329551MT.docx</w:t>
    </w:r>
    <w:r>
      <w:rPr>
        <w:rStyle w:val="HideTWBExt"/>
      </w:rPr>
      <w:t>&lt;/PathFdR&gt;</w:t>
    </w:r>
  </w:p>
  <w:p>
    <w:pPr>
      <w:pStyle w:val="EPFooter2"/>
    </w:pPr>
    <w:r>
      <w:t>MT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PR\1329551MT.docx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9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9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778.284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MT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PR\1329551MT.docx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778.284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MT</w:t>
    </w:r>
    <w:r>
      <w:tab/>
    </w:r>
    <w:r>
      <w:rPr>
        <w:rStyle w:val="EPFooter2Motto"/>
      </w:rPr>
      <w:t>Magħquda fid-diversità</w:t>
    </w:r>
    <w:r>
      <w:tab/>
    </w:r>
    <w:r>
      <w:t>MT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</w:pPr>
      <w:r>
        <w:rPr>
          <w:vertAlign w:val="superscript"/>
        </w:rPr>
        <w:t>1</w:t>
      </w:r>
      <w:r>
        <w:t xml:space="preserve"> </w:t>
      </w:r>
      <w:r>
        <w:t xml:space="preserve">ĠU L 145, 31.5.2001, p. 43, ELI: </w:t>
      </w:r>
      <w:hyperlink r:id="rId1" w:tgtFrame="http://data.europa.eu/eli/reg/2001/1049/oj" w:history="1">
        <w:r>
          <w:rPr>
            <w:rStyle w:val="Hyperlink"/>
          </w:rPr>
          <w:t>http://data.europa.eu/eli/reg/2001/1049/oj</w:t>
        </w:r>
      </w:hyperlink>
      <w:r>
        <w:t>.</w:t>
      </w:r>
    </w:p>
  </w:footnote>
  <w:footnote w:id="3">
    <w:p>
      <w:pPr>
        <w:pStyle w:val="FootnoteText"/>
      </w:pPr>
      <w:r>
        <w:rPr>
          <w:vertAlign w:val="superscript"/>
        </w:rPr>
        <w:t>2</w:t>
      </w:r>
      <w:r>
        <w:t xml:space="preserve"> </w:t>
      </w:r>
      <w:r>
        <w:t>ĠU C 168 E, 14.6.2013, p. 159.</w:t>
      </w:r>
    </w:p>
  </w:footnote>
  <w:footnote w:id="4">
    <w:p>
      <w:pPr>
        <w:pStyle w:val="FootnoteText"/>
      </w:pPr>
      <w:r>
        <w:rPr>
          <w:vertAlign w:val="superscript"/>
        </w:rPr>
        <w:t>3</w:t>
      </w:r>
      <w:r>
        <w:t xml:space="preserve"> </w:t>
      </w:r>
      <w:r>
        <w:t xml:space="preserve">ĠU L 2024/3080, 05.12.2024, ELI: </w:t>
      </w:r>
      <w:hyperlink r:id="rId2" w:tgtFrame="http://data.europa.eu/eli/dec/2024/3080/oj" w:history="1">
        <w:r>
          <w:rPr>
            <w:rStyle w:val="Hyperlink"/>
          </w:rPr>
          <w:t>http://data.europa.eu/eli/dec/2024/3080/oj</w:t>
        </w:r>
      </w:hyperlink>
      <w:r>
        <w:t>.</w:t>
      </w:r>
    </w:p>
  </w:footnote>
  <w:footnote w:id="5">
    <w:p>
      <w:pPr>
        <w:pStyle w:val="FootnoteText"/>
      </w:pPr>
      <w:r>
        <w:rPr>
          <w:vertAlign w:val="superscript"/>
        </w:rPr>
        <w:t>4</w:t>
      </w:r>
      <w:r>
        <w:t xml:space="preserve"> </w:t>
      </w:r>
      <w:r>
        <w:t>ĠU C 337, 20.9.2018, p. 120.</w:t>
      </w:r>
    </w:p>
  </w:footnote>
  <w:footnote w:id="6">
    <w:p>
      <w:pPr>
        <w:pStyle w:val="FootnoteText"/>
      </w:pPr>
      <w:r>
        <w:rPr>
          <w:vertAlign w:val="superscript"/>
        </w:rPr>
        <w:t>5</w:t>
      </w:r>
      <w:r>
        <w:t xml:space="preserve"> </w:t>
      </w:r>
      <w:r>
        <w:t xml:space="preserve">ĠU L 305, 26.11.2019, p. 17, ELI: </w:t>
      </w:r>
      <w:hyperlink r:id="rId3" w:tgtFrame="http://data.europa.eu/eli/dir/2019/1937/oj" w:history="1">
        <w:r>
          <w:rPr>
            <w:rStyle w:val="Hyperlink"/>
          </w:rPr>
          <w:t>http://data.europa.eu/eli/dir/2019/1937/oj</w:t>
        </w:r>
      </w:hyperlink>
      <w:r>
        <w:t>.</w:t>
      </w:r>
    </w:p>
  </w:footnote>
  <w:footnote w:id="7">
    <w:p>
      <w:pPr>
        <w:pStyle w:val="FootnoteText"/>
      </w:pPr>
      <w:r>
        <w:rPr>
          <w:vertAlign w:val="superscript"/>
        </w:rPr>
        <w:t>6</w:t>
      </w:r>
      <w:r>
        <w:t xml:space="preserve"> </w:t>
      </w:r>
      <w:r>
        <w:t>ĠU C 465, 17.11.2021, p. 54.</w:t>
      </w:r>
    </w:p>
  </w:footnote>
  <w:footnote w:id="8">
    <w:p>
      <w:pPr>
        <w:pStyle w:val="FootnoteText"/>
      </w:pPr>
      <w:r>
        <w:rPr>
          <w:vertAlign w:val="superscript"/>
        </w:rPr>
        <w:t>7</w:t>
      </w:r>
      <w:r>
        <w:t xml:space="preserve"> </w:t>
      </w:r>
      <w:r>
        <w:t>L-Ombudsman Ewropew, “Rapport Speċjali tal-Ombudsman Ewropew fl-inkjesta strateġika tagħha dwar iż-żmien li tieħu l-Kummissjoni Ewropea biex tindirizza talbiet għal aċċess pubbliku għad-dokumenti (OI/2/2022/OAM)”, 21 ta’ Settembru 2023.</w:t>
      </w:r>
    </w:p>
  </w:footnote>
  <w:footnote w:id="9">
    <w:p>
      <w:pPr>
        <w:pStyle w:val="FootnoteText"/>
      </w:pPr>
      <w:r>
        <w:rPr>
          <w:vertAlign w:val="superscript"/>
        </w:rPr>
        <w:t>8</w:t>
      </w:r>
      <w:r>
        <w:t xml:space="preserve"> </w:t>
      </w:r>
      <w:r>
        <w:t>L-Ombudsman Ewropew, “Deċiżjoni dwar ir-rifjut tal-Kummissjoni Ewropea ta’ aċċess pubbliku għal messaġġi testwali li sar skambju tagħhom bejn il-President tal-Kummissjoni u l-Uffiċjal Kap Eżekuttiv ta’ kumpanija farmaċewtika dwar ix-xiri ta’ vaċċin kontra l-COVID-19 (każ 1316/2021/MIG)”, 12 ta’ Lulju 2022.</w:t>
      </w:r>
    </w:p>
  </w:footnote>
  <w:footnote w:id="10">
    <w:p>
      <w:pPr>
        <w:pStyle w:val="FootnoteText"/>
      </w:pPr>
      <w:r>
        <w:rPr>
          <w:vertAlign w:val="superscript"/>
        </w:rPr>
        <w:t>9</w:t>
      </w:r>
      <w:r>
        <w:t xml:space="preserve"> </w:t>
      </w:r>
      <w:r>
        <w:t xml:space="preserve">Is-sentenza tal-Qorti Ġenerali tal-14 ta’ Mejju 2025, </w:t>
      </w:r>
      <w:r>
        <w:rPr>
          <w:i/>
        </w:rPr>
        <w:t>Matina Stevi u The New York Times Company</w:t>
      </w:r>
      <w:r>
        <w:t xml:space="preserve"> vs </w:t>
      </w:r>
      <w:r>
        <w:rPr>
          <w:i/>
        </w:rPr>
        <w:t>Il-Kummissjoni</w:t>
      </w:r>
      <w:r>
        <w:t>, T‑36/23, ECLI:EU:T:2025:483.</w:t>
      </w:r>
    </w:p>
  </w:footnote>
  <w:footnote w:id="11">
    <w:p>
      <w:pPr>
        <w:pStyle w:val="FootnoteText"/>
      </w:pPr>
      <w:r>
        <w:rPr>
          <w:vertAlign w:val="superscript"/>
        </w:rPr>
        <w:t>10</w:t>
      </w:r>
      <w:r>
        <w:t xml:space="preserve"> </w:t>
      </w:r>
      <w:r>
        <w:t xml:space="preserve">ĠU C, C/2024/4014, 17.7.2024, ELI: </w:t>
      </w:r>
      <w:hyperlink r:id="rId4" w:tgtFrame="http://data.europa.eu/eli/C/2024/4014/oj" w:history="1">
        <w:r>
          <w:rPr>
            <w:rStyle w:val="Hyperlink"/>
          </w:rPr>
          <w:t>http://data.europa.eu/eli/C/2024/4014/oj</w:t>
        </w:r>
      </w:hyperlink>
      <w:r>
        <w:t>.</w:t>
      </w:r>
    </w:p>
  </w:footnote>
  <w:footnote w:id="12">
    <w:p>
      <w:pPr>
        <w:pStyle w:val="FootnoteText"/>
      </w:pPr>
      <w:r>
        <w:rPr>
          <w:vertAlign w:val="superscript"/>
        </w:rPr>
        <w:t>11</w:t>
      </w:r>
      <w:r>
        <w:t xml:space="preserve"> </w:t>
      </w:r>
      <w:r>
        <w:t xml:space="preserve">ĠU C, C/2024/6560, 12.11.2024, ELI: </w:t>
      </w:r>
      <w:hyperlink r:id="rId5" w:tgtFrame="http://data.europa.eu/eli/C/2024/6560/oj" w:history="1">
        <w:r>
          <w:rPr>
            <w:rStyle w:val="Hyperlink"/>
          </w:rPr>
          <w:t>http://data.europa.eu/eli/C/2024/6560/oj</w:t>
        </w:r>
      </w:hyperlink>
      <w:r>
        <w:t>.</w:t>
      </w:r>
    </w:p>
  </w:footnote>
  <w:footnote w:id="13">
    <w:p>
      <w:pPr>
        <w:pStyle w:val="FootnoteText"/>
      </w:pPr>
      <w:r>
        <w:rPr>
          <w:vertAlign w:val="superscript"/>
        </w:rPr>
        <w:t>12</w:t>
      </w:r>
      <w:r>
        <w:t xml:space="preserve"> </w:t>
      </w:r>
      <w:r>
        <w:t>L-Artikolu 10(3) tat-TUE, fid-dawl tat-tlettax-il premessa tal-preambolu tiegħu, kif ukoll tal-Artikolu 1(2), tal-Artikolu 9 u tal-Artikolu 15 tiegħu.</w:t>
      </w:r>
    </w:p>
  </w:footnote>
  <w:footnote w:id="14">
    <w:p>
      <w:pPr>
        <w:pStyle w:val="FootnoteText"/>
      </w:pPr>
      <w:r>
        <w:rPr>
          <w:vertAlign w:val="superscript"/>
        </w:rPr>
        <w:t>13</w:t>
      </w:r>
      <w:r>
        <w:t xml:space="preserve"> </w:t>
      </w:r>
      <w:r>
        <w:t>Rapport tal-Kummissjoni tad-19 ta’ Mejju 2025 dwar l-applikazzjoni fl-2024 tar-Regolament (KE) Nru 1049/2001 dwar l-aċċess pubbliku għal dokumenti tal-Parlament Ewropew, tal-Kunsill u tal-Kummissjoni (COM(2025)0239).</w:t>
      </w:r>
    </w:p>
  </w:footnote>
  <w:footnote w:id="15">
    <w:p>
      <w:pPr>
        <w:pStyle w:val="FootnoteText"/>
      </w:pPr>
      <w:r>
        <w:rPr>
          <w:vertAlign w:val="superscript"/>
        </w:rPr>
        <w:t>14</w:t>
      </w:r>
      <w:r>
        <w:t xml:space="preserve"> </w:t>
      </w:r>
      <w:r>
        <w:t>Il-Parlament Ewropew, “Aċċess Pubbliku għad-Dokumenti 2024 – Rapport Annwali tal-Parlament Ewropew”, Direttorat Ġenerali għall-Presidenza, Unità tat-Trasparenza, Mejju 2025.</w:t>
      </w:r>
    </w:p>
  </w:footnote>
  <w:footnote w:id="16">
    <w:p>
      <w:pPr>
        <w:pStyle w:val="FootnoteText"/>
      </w:pPr>
      <w:r>
        <w:rPr>
          <w:vertAlign w:val="superscript"/>
        </w:rPr>
        <w:t>1</w:t>
      </w:r>
      <w:r>
        <w:t xml:space="preserve"> </w:t>
      </w:r>
      <w:r>
        <w:t xml:space="preserve">Il-Ftehim Interistituzzjonali ta’ Mejju 2021 bejn il-Parlament Ewropew, il-Kunsill tal-Unjoni Ewropea u l-Kummissjoni Ewropea dwar Reġistru Obbligatorju ta’ Trasparenza (ĠU L 207, 11.6.2021, p. 1, </w:t>
      </w:r>
      <w:hyperlink r:id="rId6" w:tgtFrame="http://data.europa.eu/eli/agree_interinstit/2021/611/oj" w:history="1">
        <w:r>
          <w:rPr>
            <w:rStyle w:val="Hyperlink"/>
          </w:rPr>
          <w:t>ELI:http://data.europa.eu/eli/agree_interinstit/2021/611/oj</w:t>
        </w:r>
      </w:hyperlink>
      <w:r>
        <w:t>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hybridMultilevel"/>
    <w:tmpl w:val="00000001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footnotePr>
    <w:numRestart w:val="eachSect"/>
    <w:footnote w:id="0"/>
    <w:footnote w:id="1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mt-MT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TOCPage">
    <w:name w:val="TOC Page"/>
    <w:basedOn w:val="Normal"/>
    <w:pPr>
      <w:keepNext/>
      <w:widowControl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pPr>
      <w:keepNext/>
      <w:widowControl/>
      <w:spacing w:after="480"/>
      <w:jc w:val="center"/>
    </w:pPr>
    <w:rPr>
      <w:rFonts w:ascii="Arial" w:eastAsia="Arial" w:hAnsi="Arial" w:cs="Arial"/>
      <w:b/>
    </w:rPr>
  </w:style>
  <w:style w:type="paragraph" w:customStyle="1" w:styleId="EPComma">
    <w:name w:val="EPComma"/>
    <w:basedOn w:val="Normal"/>
    <w:pPr>
      <w:widowControl/>
      <w:spacing w:before="480" w:after="240"/>
    </w:p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paragraph" w:customStyle="1" w:styleId="Normal12a">
    <w:name w:val="Normal12a"/>
    <w:basedOn w:val="Normal"/>
    <w:pPr>
      <w:widowControl/>
      <w:spacing w:after="240"/>
    </w:pPr>
  </w:style>
  <w:style w:type="character" w:customStyle="1" w:styleId="HideTWBInt">
    <w:name w:val="HideTWBInt"/>
    <w:rPr>
      <w:rFonts w:ascii="Arial" w:hAnsi="Arial"/>
      <w:vanish/>
      <w:color w:val="808080"/>
      <w:sz w:val="20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NormalHanging12a">
    <w:name w:val="NormalHanging12a"/>
    <w:basedOn w:val="Normal"/>
    <w:pPr>
      <w:widowControl/>
      <w:overflowPunct/>
      <w:spacing w:after="240"/>
      <w:ind w:left="566" w:hanging="566"/>
    </w:p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hAnsi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hAnsi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CoverNormal12a">
    <w:name w:val="CoverNormal12a"/>
    <w:basedOn w:val="Normal"/>
    <w:pPr>
      <w:widowControl/>
      <w:spacing w:after="240"/>
      <w:ind w:left="1418"/>
    </w:pPr>
  </w:style>
  <w:style w:type="paragraph" w:customStyle="1" w:styleId="LegendSign">
    <w:name w:val="LegendSign"/>
    <w:basedOn w:val="Normal"/>
    <w:pPr>
      <w:widowControl/>
      <w:tabs>
        <w:tab w:val="right" w:pos="454"/>
        <w:tab w:val="left" w:pos="736"/>
      </w:tabs>
      <w:overflowPunct/>
      <w:ind w:left="736" w:hanging="736"/>
    </w:pPr>
    <w:rPr>
      <w:sz w:val="18"/>
    </w:rPr>
  </w:style>
  <w:style w:type="paragraph" w:customStyle="1" w:styleId="LegendStandard">
    <w:name w:val="LegendStandard"/>
    <w:basedOn w:val="LegendSign"/>
    <w:pPr>
      <w:widowControl/>
      <w:ind w:left="0" w:firstLine="0"/>
    </w:pPr>
  </w:style>
  <w:style w:type="paragraph" w:customStyle="1" w:styleId="LegendTitle">
    <w:name w:val="LegendTitle"/>
    <w:basedOn w:val="Normal"/>
    <w:pPr>
      <w:widowControl/>
      <w:spacing w:before="240" w:after="240"/>
    </w:pPr>
    <w:rPr>
      <w:b/>
      <w:i/>
    </w:rPr>
  </w:style>
  <w:style w:type="paragraph" w:styleId="TOC1">
    <w:name w:val="toc 1"/>
    <w:basedOn w:val="Normal12b"/>
    <w:next w:val="Normal12b"/>
    <w:autoRedefine/>
    <w:rsid w:val="00805BCE"/>
    <w:pPr>
      <w:widowControl/>
      <w:spacing w:after="240"/>
    </w:p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Normal12b">
    <w:name w:val="Normal12b"/>
    <w:basedOn w:val="Normal"/>
    <w:pPr>
      <w:widowControl/>
      <w:spacing w:before="240"/>
    </w:pPr>
  </w:style>
  <w:style w:type="paragraph" w:customStyle="1" w:styleId="PMissingStyle">
    <w:name w:val="P_MissingStyle"/>
    <w:basedOn w:val="Normal"/>
    <w:pPr>
      <w:widowControl/>
      <w:spacing w:after="0" w:line="240" w:lineRule="auto"/>
    </w:pPr>
    <w:rPr>
      <w:rFonts w:ascii="Times New Roman" w:eastAsia="Times New Roman" w:hAnsi="Times New Roman" w:cs="Times New Roman"/>
      <w:color w:val="FFFFFF"/>
      <w:sz w:val="24"/>
    </w:rPr>
  </w:style>
  <w:style w:type="character" w:customStyle="1" w:styleId="CMissingStyle">
    <w:name w:val="C_MissingStyle"/>
    <w:rPr>
      <w:color w:val="FFFFFF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Next/>
      <w:widowControl/>
      <w:spacing w:before="240" w:after="240"/>
      <w:jc w:val="center"/>
      <w:outlineLvl w:val="9"/>
    </w:pPr>
    <w:rPr>
      <w:rFonts w:ascii="Arial" w:hAnsi="Arial"/>
      <w:b/>
    </w:rPr>
  </w:style>
  <w:style w:type="paragraph" w:customStyle="1" w:styleId="Normal12">
    <w:name w:val="Normal12"/>
    <w:basedOn w:val="Normal"/>
    <w:pPr>
      <w:widowControl/>
      <w:spacing w:after="24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NormalHanging12a4">
    <w:name w:val="NormalHanging12a4"/>
    <w:basedOn w:val="NormalHanging12a3"/>
    <w:pPr>
      <w:widowControl/>
      <w:ind w:left="2268"/>
    </w:pPr>
  </w:style>
  <w:style w:type="paragraph" w:customStyle="1" w:styleId="NormalHanging12a5">
    <w:name w:val="NormalHanging12a5"/>
    <w:basedOn w:val="NormalHanging12a4"/>
    <w:pPr>
      <w:widowControl/>
      <w:ind w:left="2692"/>
    </w:pPr>
  </w:style>
  <w:style w:type="paragraph" w:customStyle="1" w:styleId="NormalHanging12a6">
    <w:name w:val="NormalHanging12a6"/>
    <w:basedOn w:val="NormalHanging12a5"/>
    <w:pPr>
      <w:widowControl/>
      <w:ind w:left="3118"/>
    </w:pPr>
  </w:style>
  <w:style w:type="paragraph" w:customStyle="1" w:styleId="NormalHanging12a7">
    <w:name w:val="NormalHanging12a7"/>
    <w:basedOn w:val="NormalHanging12a6"/>
    <w:pPr>
      <w:widowControl/>
      <w:ind w:left="3544"/>
    </w:pPr>
  </w:style>
  <w:style w:type="paragraph" w:customStyle="1" w:styleId="NormalHanging12a1">
    <w:name w:val="NormalHanging12a1"/>
    <w:basedOn w:val="Normal"/>
    <w:pPr>
      <w:widowControl/>
      <w:overflowPunct/>
      <w:spacing w:after="240" w:line="240" w:lineRule="auto"/>
      <w:ind w:left="992" w:hanging="424"/>
    </w:pPr>
    <w:rPr>
      <w:rFonts w:ascii="Times New Roman" w:eastAsia="Times New Roman" w:hAnsi="Times New Roman" w:cs="Times New Roman"/>
      <w:sz w:val="24"/>
    </w:rPr>
  </w:style>
  <w:style w:type="paragraph" w:customStyle="1" w:styleId="NormalHanging12a2">
    <w:name w:val="NormalHanging12a2"/>
    <w:basedOn w:val="NormalHanging12a1"/>
    <w:pPr>
      <w:widowControl/>
      <w:ind w:left="1416"/>
    </w:pPr>
  </w:style>
  <w:style w:type="paragraph" w:customStyle="1" w:styleId="NormalHanging12a3">
    <w:name w:val="NormalHanging12a3"/>
    <w:basedOn w:val="NormalHanging12a2"/>
    <w:pPr>
      <w:widowControl/>
      <w:ind w:left="1842"/>
    </w:pPr>
  </w:style>
  <w:style w:type="paragraph" w:customStyle="1" w:styleId="NormalHanging">
    <w:name w:val="NormalHanging"/>
    <w:basedOn w:val="Normal"/>
    <w:pPr>
      <w:widowControl/>
      <w:overflowPunct/>
      <w:spacing w:after="240" w:line="240" w:lineRule="auto"/>
      <w:ind w:left="566" w:hanging="566"/>
    </w:pPr>
    <w:rPr>
      <w:rFonts w:ascii="Times New Roman" w:eastAsia="Times New Roman" w:hAnsi="Times New Roman" w:cs="Times New Roman"/>
      <w:sz w:val="24"/>
    </w:rPr>
  </w:style>
  <w:style w:type="character" w:customStyle="1" w:styleId="FooterChar">
    <w:name w:val="Footer Char"/>
    <w:rPr>
      <w:rFonts w:ascii="Times New Roman" w:eastAsia="Times New Roman" w:hAnsi="Times New Roman" w:cs="Times New Roman"/>
      <w:sz w:val="24"/>
    </w:rPr>
  </w:style>
  <w:style w:type="paragraph" w:customStyle="1" w:styleId="NormalBold12a">
    <w:name w:val="NormalBold12a"/>
    <w:basedOn w:val="Normal"/>
    <w:pPr>
      <w:widowControl/>
      <w:spacing w:after="240"/>
    </w:pPr>
    <w:rPr>
      <w:b/>
    </w:rPr>
  </w:style>
  <w:style w:type="paragraph" w:customStyle="1" w:styleId="NormalCenter12a">
    <w:name w:val="NormalCenter12a"/>
    <w:basedOn w:val="Normal"/>
    <w:pPr>
      <w:widowControl/>
      <w:spacing w:after="240"/>
      <w:jc w:val="center"/>
    </w:pPr>
  </w:style>
  <w:style w:type="paragraph" w:customStyle="1" w:styleId="Normal12BoldUnderline">
    <w:name w:val="Normal12BoldUnderline"/>
    <w:basedOn w:val="Normal"/>
    <w:pPr>
      <w:widowControl/>
      <w:spacing w:before="480"/>
    </w:pPr>
    <w:rPr>
      <w:b/>
      <w:u w:val="single"/>
    </w:rPr>
  </w:style>
  <w:style w:type="paragraph" w:customStyle="1" w:styleId="Normal12Bullet2">
    <w:name w:val="Normal12Bullet2"/>
    <w:basedOn w:val="Normal"/>
    <w:pPr>
      <w:widowControl/>
      <w:numPr>
        <w:numId w:val="2"/>
      </w:numPr>
    </w:pPr>
  </w:style>
  <w:style w:type="paragraph" w:customStyle="1" w:styleId="NormalHangingJustified">
    <w:name w:val="NormalHangingJustified"/>
    <w:basedOn w:val="Normal"/>
    <w:pPr>
      <w:widowControl/>
      <w:overflowPunct/>
      <w:spacing w:after="240"/>
      <w:ind w:left="714" w:hanging="356"/>
      <w:jc w:val="both"/>
    </w:pPr>
  </w:style>
  <w:style w:type="paragraph" w:customStyle="1" w:styleId="NormalCenter">
    <w:name w:val="NormalCenter"/>
    <w:basedOn w:val="Normal"/>
    <w:pPr>
      <w:widowControl/>
      <w:spacing w:after="0" w:line="240" w:lineRule="auto"/>
      <w:jc w:val="center"/>
    </w:pPr>
    <w:rPr>
      <w:rFonts w:ascii="Times New Roman" w:eastAsia="Times New Roman" w:hAnsi="Times New Roman" w:cs="Times New Roman"/>
      <w:sz w:val="24"/>
    </w:rPr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noteText">
    <w:name w:val="footnote text"/>
    <w:basedOn w:val="Normal"/>
    <w:rsid w:val="00805BCE"/>
    <w:rPr>
      <w:sz w:val="20"/>
      <w:szCs w:val="20"/>
    </w:rPr>
  </w:style>
  <w:style w:type="character" w:styleId="Hyperlink">
    <w:name w:val="Hyperlink"/>
    <w:basedOn w:val="DefaultParagraphFont"/>
    <w:rsid w:val="00EF7B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yperlink" Target="https://www.europarl.europa.eu/data-protect/index.do" TargetMode="Externa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hyperlink" Target="https://eur-lex.europa.eu/legal-content/EN/ALL/?uri=CELEX:52011PC0137" TargetMode="External" /><Relationship Id="rId7" Type="http://schemas.openxmlformats.org/officeDocument/2006/relationships/hyperlink" Target="https://eur-lex.europa.eu/legal-content/EN/ALL/?uri=CELEX:52008PC0229" TargetMode="Externa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01/1049/oj" TargetMode="External" /><Relationship Id="rId2" Type="http://schemas.openxmlformats.org/officeDocument/2006/relationships/hyperlink" Target="http://data.europa.eu/eli/dec/2024/3080/oj" TargetMode="External" /><Relationship Id="rId3" Type="http://schemas.openxmlformats.org/officeDocument/2006/relationships/hyperlink" Target="http://data.europa.eu/eli/dir/2019/1937/oj" TargetMode="External" /><Relationship Id="rId4" Type="http://schemas.openxmlformats.org/officeDocument/2006/relationships/hyperlink" Target="http://data.europa.eu/eli/C/2024/4014/oj" TargetMode="External" /><Relationship Id="rId5" Type="http://schemas.openxmlformats.org/officeDocument/2006/relationships/hyperlink" Target="http://data.europa.eu/eli/C/2024/6560/oj" TargetMode="External" /><Relationship Id="rId6" Type="http://schemas.openxmlformats.org/officeDocument/2006/relationships/hyperlink" Target="http://data.europa.eu/eli/agree_interinstit/2021/611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9</Pages>
  <Words>1684</Words>
  <Characters>12736</Characters>
  <Application>Microsoft Office Word</Application>
  <DocSecurity>0</DocSecurity>
  <Lines>1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1329551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.render.id">
    <vt:lpwstr>272412</vt:lpwstr>
  </property>
  <property fmtid="{D5CDD505-2E9C-101B-9397-08002B2CF9AE}" pid="7" name="dmxml.render.traceId">
    <vt:lpwstr>6901cd8133d38fb8fdfc0093ca5596db</vt:lpwstr>
  </property>
  <property fmtid="{D5CDD505-2E9C-101B-9397-08002B2CF9AE}" pid="8" name="FooterPath">
    <vt:lpwstr>PR\1329551MT.doc</vt:lpwstr>
  </property>
  <property fmtid="{D5CDD505-2E9C-101B-9397-08002B2CF9AE}" pid="9" name="PE Number">
    <vt:lpwstr>778.284</vt:lpwstr>
  </property>
  <property fmtid="{D5CDD505-2E9C-101B-9397-08002B2CF9AE}" pid="10" name="UID">
    <vt:lpwstr>eu.europa.europarl-DIN1-2025-0000188647_01.07-mt-01.00_text-xml</vt:lpwstr>
  </property>
</Properties>
</file>