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Komisja Wolności Obywatelskich, Sprawiedliwości i Spraw Wewnętrznych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2025/2137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{15/10/2025}</w:t>
      </w:r>
      <w:r>
        <w:t>15.10.2025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PROJEKT SPRAWOZDANIA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w sprawie publicznego dostępu do dokumentów – sprawozdanie za lata 2022–2024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(2025/2137(INI))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Komisja Wolności Obywatelskich, Sprawiedliwości i Spraw Wewnętrznych</w:t>
      </w:r>
      <w:r>
        <w:rPr>
          <w:rStyle w:val="HideTWBExt"/>
        </w:rPr>
        <w:t>&lt;/Commission&gt;</w:t>
      </w:r>
    </w:p>
    <w:p>
      <w:pPr>
        <w:pStyle w:val="CoverNormal24a"/>
      </w:pPr>
      <w:r>
        <w:t>Sprawozdawczyni</w:t>
      </w:r>
      <w:r>
        <w:t xml:space="preserve">: </w:t>
      </w:r>
      <w:r>
        <w:rPr>
          <w:rStyle w:val="HideTWBExt"/>
        </w:rPr>
        <w:t>&lt;Depute&gt;</w:t>
      </w:r>
      <w:r>
        <w:t>Veronika Cifrová Ostrihoňová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SPIS STREŚCI</w:t>
      </w:r>
    </w:p>
    <w:p>
      <w:pPr>
        <w:pStyle w:val="TOCPage"/>
      </w:pPr>
      <w:r>
        <w:t>Strona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PROJEKT REZOLUCJI PARLAMENTU EUROPEJSKIEGO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UZASADNIENIE</w:t>
      </w:r>
      <w:r>
        <w:tab/>
      </w:r>
      <w:r>
        <w:fldChar w:fldCharType="begin"/>
      </w:r>
      <w:r>
        <w:instrText xml:space="preserve"> PAGEREF _Toc256000001 \h </w:instrText>
      </w:r>
      <w:r>
        <w:fldChar w:fldCharType="separate"/>
      </w:r>
      <w:r>
        <w:t>8</w:t>
      </w:r>
      <w:r>
        <w:fldChar w:fldCharType="end"/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t>ZAŁĄCZNIK: WYKAZ PODMIOTÓW, OD KTÓRYCH SPRAWOZDAWCZYNI OTRZYMAŁA INFORMACJE</w:t>
      </w:r>
      <w:r>
        <w:tab/>
      </w:r>
      <w:r>
        <w:fldChar w:fldCharType="begin"/>
      </w:r>
      <w:r>
        <w:instrText xml:space="preserve"> PAGEREF _Toc256000002 \h </w:instrText>
      </w:r>
      <w:r>
        <w:fldChar w:fldCharType="separate"/>
      </w:r>
      <w:r>
        <w:t>9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PROJEKT REZOLUCJI PARLAMENTU EUROPEJSKIEGO</w:t>
      </w:r>
      <w:bookmarkEnd w:id="0"/>
    </w:p>
    <w:p>
      <w:pPr>
        <w:pStyle w:val="NormalBold"/>
      </w:pPr>
      <w:r>
        <w:t>w sprawie publicznego dostępu do dokumentów – sprawozdanie za lata 2022–2024</w:t>
      </w:r>
    </w:p>
    <w:p>
      <w:pPr>
        <w:pStyle w:val="NormalBold"/>
      </w:pPr>
    </w:p>
    <w:p>
      <w:pPr>
        <w:pStyle w:val="NormalBold12a"/>
      </w:pPr>
      <w:r>
        <w:t>(</w:t>
      </w:r>
      <w:r>
        <w:t>2025/2137(INI)</w:t>
      </w:r>
      <w:r>
        <w:t>)</w:t>
      </w:r>
    </w:p>
    <w:p>
      <w:pPr>
        <w:pStyle w:val="Normal12"/>
      </w:pPr>
      <w:r>
        <w:rPr>
          <w:i/>
        </w:rPr>
        <w:t>Parlament Europejski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Traktat o Unii Europejskiej (TUE), a w szczególności jego art. 1, 9, 10, 11 i 16,</w:t>
      </w:r>
    </w:p>
    <w:p>
      <w:pPr>
        <w:pStyle w:val="NormalHanging"/>
      </w:pPr>
      <w:r>
        <w:t>–</w:t>
      </w:r>
      <w:r>
        <w:tab/>
      </w:r>
      <w:r>
        <w:t>uwzględniając Traktat o funkcjonowaniu Unii Europejskiej (TFUE), a w szczególności jego art. 15,</w:t>
      </w:r>
    </w:p>
    <w:p>
      <w:pPr>
        <w:pStyle w:val="NormalHanging"/>
      </w:pPr>
      <w:r>
        <w:t>–</w:t>
      </w:r>
      <w:r>
        <w:tab/>
      </w:r>
      <w:r>
        <w:t>uwzględniając Kartę praw podstawowych Unii Europejskiej (Karta), a w szczególności jej art. 41 i 42,</w:t>
      </w:r>
    </w:p>
    <w:p>
      <w:pPr>
        <w:pStyle w:val="NormalHanging"/>
      </w:pPr>
      <w:r>
        <w:t>–</w:t>
      </w:r>
      <w:r>
        <w:tab/>
      </w:r>
      <w:r>
        <w:t xml:space="preserve">uwzględniając rozporządzenie (WE) nr 1049/2001 </w:t>
      </w:r>
      <w:r>
        <w:t>Parlamentu Europejskiego</w:t>
      </w:r>
      <w:r>
        <w:t xml:space="preserve"> i Rady z dnia 30 maja 2001 r. w sprawie publicznego dostępu do dokumentów </w:t>
      </w:r>
      <w:r>
        <w:t>Parlamentu Europejskiego</w:t>
      </w:r>
      <w:r>
        <w:t>, Rady i Komisji</w:t>
      </w:r>
      <w:r>
        <w:rPr>
          <w:rStyle w:val="FootnoteReference"/>
        </w:rPr>
        <w:footnoteReference w:customMarkFollows="1" w:id="2"/>
        <w:t xml:space="preserve">1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uwzględniając wniosek Komisji z 30 kwietnia 2008 r. dotyczący rozporządzenia </w:t>
      </w:r>
      <w:r>
        <w:t>Parlamentu Europejskiego</w:t>
      </w:r>
      <w:r>
        <w:t xml:space="preserve"> i Rady w sprawie publicznego dostępu do dokumentów </w:t>
      </w:r>
      <w:r>
        <w:t>Parlamentu Europejskiego</w:t>
      </w:r>
      <w:r>
        <w:t>, Rady i Komisji (COM(2008)0229),</w:t>
      </w:r>
    </w:p>
    <w:p>
      <w:pPr>
        <w:pStyle w:val="NormalHanging"/>
      </w:pPr>
      <w:r>
        <w:t>–</w:t>
      </w:r>
      <w:r>
        <w:tab/>
      </w:r>
      <w:r>
        <w:t xml:space="preserve">uwzględniając wniosek Komisji z 21 marca 2011 r. dotyczący rozporządzenia </w:t>
      </w:r>
      <w:r>
        <w:t>Parlamentu Europejskiego</w:t>
      </w:r>
      <w:r>
        <w:t xml:space="preserve"> i Rady zmieniającego rozporządzenie (WE) nr 1049/2001 w sprawie publicznego dostępu do dokumentów </w:t>
      </w:r>
      <w:r>
        <w:t>Parlamentu Europejskiego</w:t>
      </w:r>
      <w:r>
        <w:t>, Rady i Komisji (COM(2011)0137),</w:t>
      </w:r>
    </w:p>
    <w:p>
      <w:pPr>
        <w:pStyle w:val="NormalHanging"/>
      </w:pPr>
      <w:r>
        <w:t>–</w:t>
      </w:r>
      <w:r>
        <w:tab/>
      </w:r>
      <w:r>
        <w:t xml:space="preserve">uwzględniając swoje stanowisko w pierwszym czytaniu z 15 grudnia 2011 r. dotyczące wniosku w sprawie rozporządzenia </w:t>
      </w:r>
      <w:r>
        <w:t>Parlamentu Europejskiego</w:t>
      </w:r>
      <w:r>
        <w:t xml:space="preserve"> i Rady w sprawie publicznego dostępu do dokumentów </w:t>
      </w:r>
      <w:r>
        <w:t>Parlamentu Europejskiego</w:t>
      </w:r>
      <w:r>
        <w:t>, Rady i Komisji</w:t>
      </w:r>
      <w:r>
        <w:rPr>
          <w:rStyle w:val="FootnoteReference"/>
        </w:rPr>
        <w:footnoteReference w:customMarkFollows="1" w:id="3"/>
        <w:t xml:space="preserve">2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uwzględniając komunikat Komisji z 11 lutego 2025 r. zatytułowany „Program prac Komisji na 2025 r.” (COM(2025)0045) wraz z załącznikami do niego, a także wyrażony w nim zamiar wycofania wniosków COM(2011)0137 i COM(2008)0229 dotyczących zmiany rozporządzenia (WE) nr 1049/2001 w sprawie publicznego dostępu do dokumentów </w:t>
      </w:r>
      <w:r>
        <w:t>Parlamentu Europejskiego</w:t>
      </w:r>
      <w:r>
        <w:t>, Rady i Komisji,</w:t>
      </w:r>
    </w:p>
    <w:p>
      <w:pPr>
        <w:pStyle w:val="NormalHanging"/>
      </w:pPr>
      <w:r>
        <w:t>–</w:t>
      </w:r>
      <w:r>
        <w:tab/>
      </w:r>
      <w:r>
        <w:t>uwzględniając decyzję Komisji (UE) 2024/3080 z dnia 4 grudnia 2024 r. ustanawiającą regulamin wewnętrzny Komisji i zmieniającą decyzję C(2000) 3614</w:t>
      </w:r>
      <w:r>
        <w:rPr>
          <w:rStyle w:val="FootnoteReference"/>
        </w:rPr>
        <w:footnoteReference w:customMarkFollows="1" w:id="4"/>
        <w:t xml:space="preserve">3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swoją rezolucję z 14 września 2017 r. w sprawie rozliczalności, przejrzystości i rzetelności w instytucjach UE</w:t>
      </w:r>
      <w:r>
        <w:rPr>
          <w:rStyle w:val="FootnoteReference"/>
        </w:rPr>
        <w:footnoteReference w:customMarkFollows="1" w:id="5"/>
        <w:t xml:space="preserve">4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uwzględniając dyrektywę </w:t>
      </w:r>
      <w:r>
        <w:t>Parlamentu Europejskiego</w:t>
      </w:r>
      <w:r>
        <w:t xml:space="preserve"> i Rady (UE) 2019/1937 z dnia 23 października 2019 r. w sprawie ochrony osób zgłaszających naruszenia prawa Unii</w:t>
      </w:r>
      <w:r>
        <w:rPr>
          <w:rStyle w:val="FootnoteReference"/>
        </w:rPr>
        <w:footnoteReference w:customMarkFollows="1" w:id="6"/>
        <w:t xml:space="preserve">5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swoją rezolucję z 10 lutego 2021 r. w sprawie publicznego dostępu do dokumentów</w:t>
      </w:r>
      <w:r>
        <w:rPr>
          <w:rStyle w:val="FootnoteReference"/>
        </w:rPr>
        <w:footnoteReference w:customMarkFollows="1" w:id="7"/>
        <w:t xml:space="preserve">6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sprawozdania i decyzje Europejskiego Rzecznika Praw Obywatelskich, w szczególności sprawozdanie specjalne OI/2/2022/OAM</w:t>
      </w:r>
      <w:r>
        <w:rPr>
          <w:rStyle w:val="FootnoteReference"/>
        </w:rPr>
        <w:footnoteReference w:customMarkFollows="1" w:id="8"/>
        <w:t xml:space="preserve">7</w:t>
      </w:r>
      <w:r>
        <w:t xml:space="preserve"> oraz decyzję w sprawie 1316/2021/MIG</w:t>
      </w:r>
      <w:r>
        <w:rPr>
          <w:rStyle w:val="FootnoteReference"/>
        </w:rPr>
        <w:footnoteReference w:customMarkFollows="1" w:id="9"/>
        <w:t xml:space="preserve">8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uwzględniając orzecznictwo </w:t>
      </w:r>
      <w:r>
        <w:t>Trybunału Sprawiedliwości</w:t>
      </w:r>
      <w:r>
        <w:t xml:space="preserve"> Unii Europejskiej (TSUE) oraz </w:t>
      </w:r>
      <w:r>
        <w:t>Europejskiego Trybunału Praw Człowieka</w:t>
      </w:r>
      <w:r>
        <w:t>,</w:t>
      </w:r>
    </w:p>
    <w:p>
      <w:pPr>
        <w:pStyle w:val="NormalHanging"/>
      </w:pPr>
      <w:r>
        <w:t>–</w:t>
      </w:r>
      <w:r>
        <w:tab/>
      </w:r>
      <w:r>
        <w:t xml:space="preserve">uwzględniając wyrok TSUE z 14 maja 2025 r. w sprawie T-36/23 </w:t>
      </w:r>
      <w:r>
        <w:rPr>
          <w:i/>
        </w:rPr>
        <w:t>Stevi i The New York Times</w:t>
      </w:r>
      <w:r>
        <w:t>/</w:t>
      </w:r>
      <w:r>
        <w:rPr>
          <w:i/>
        </w:rPr>
        <w:t>Komisja</w:t>
      </w:r>
      <w:r>
        <w:rPr>
          <w:rStyle w:val="FootnoteReference"/>
        </w:rPr>
        <w:footnoteReference w:customMarkFollows="1" w:id="10"/>
        <w:t xml:space="preserve">9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swoją rezolucję z 13 lipca 2023 r. w sprawie publicznego dostępu do dokumentów – sprawozdanie roczne za lata 2019–2021</w:t>
      </w:r>
      <w:r>
        <w:rPr>
          <w:rStyle w:val="FootnoteReference"/>
        </w:rPr>
        <w:footnoteReference w:customMarkFollows="1" w:id="11"/>
        <w:t xml:space="preserve">10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swoją rezolucję z 14 marca 2024 r. w sprawie czasu rozpatrywania przez Komisję Europejską wniosków o publiczny dostęp do dokumentów</w:t>
      </w:r>
      <w:r>
        <w:rPr>
          <w:rStyle w:val="FootnoteReference"/>
        </w:rPr>
        <w:footnoteReference w:customMarkFollows="1" w:id="12"/>
        <w:t xml:space="preserve">11</w:t>
      </w:r>
      <w:r>
        <w:t>,</w:t>
      </w:r>
    </w:p>
    <w:p>
      <w:pPr>
        <w:pStyle w:val="NormalHanging"/>
      </w:pPr>
      <w:r>
        <w:t>–</w:t>
      </w:r>
      <w:r>
        <w:tab/>
      </w:r>
      <w:r>
        <w:t>uwzględniając art. 122 ust. 7 i art. 149 Regulaminu,</w:t>
      </w:r>
    </w:p>
    <w:p>
      <w:pPr>
        <w:pStyle w:val="NormalHanging"/>
      </w:pPr>
      <w:r>
        <w:t>–</w:t>
      </w:r>
      <w:r>
        <w:tab/>
      </w:r>
      <w:r>
        <w:t>uwzględniając art. 55 Regulaminu,</w:t>
      </w:r>
    </w:p>
    <w:p>
      <w:pPr>
        <w:pStyle w:val="NormalHanging"/>
      </w:pPr>
      <w:r>
        <w:t>–</w:t>
      </w:r>
      <w:r>
        <w:tab/>
      </w:r>
      <w:r>
        <w:t>uwzględniając sprawozdanie Komisji Wolności Obywatelskich, Sprawiedliwości i Spraw Wewnętrznych (A10-0000/2025),</w:t>
      </w:r>
    </w:p>
    <w:p>
      <w:pPr>
        <w:pStyle w:val="NormalHanging"/>
      </w:pPr>
      <w:r>
        <w:t>A.</w:t>
      </w:r>
      <w:r>
        <w:tab/>
      </w:r>
      <w:r>
        <w:t>mając na uwadze, że traktaty UE gwarantują każdemu obywatelowi prawo do demokratycznego uczestnictwa i przejrzystego procesu decyzyjnego, co wymaga od instytucji udzielania publicznego dostępu do dokumentów; mając na uwadze, że to podstawowe prawo dostępu do dokumentów, chronione traktatami i Kartą, umożliwia skuteczną kontrolę obywatelską</w:t>
      </w:r>
      <w:r>
        <w:rPr>
          <w:rStyle w:val="FootnoteReference"/>
        </w:rPr>
        <w:footnoteReference w:customMarkFollows="1" w:id="13"/>
        <w:t xml:space="preserve">12</w:t>
      </w:r>
      <w:r>
        <w:t>; mając na uwadze, że TSUE potwierdził, że publiczny dostęp do dokumentów to kluczowy element demokracji uczestniczącej;</w:t>
      </w:r>
    </w:p>
    <w:p>
      <w:pPr>
        <w:pStyle w:val="NormalHanging"/>
      </w:pPr>
      <w:r>
        <w:t>B.</w:t>
      </w:r>
      <w:r>
        <w:tab/>
      </w:r>
      <w:r>
        <w:t>mając na uwadze, że TSUE podkreślił, że publiczna kontrola informacji ustawodawczych ma zasadnicze znaczenie dla demokracji i umożliwia obywatelom skuteczne korzystanie z przysługujących im praw demokratycznych;</w:t>
      </w:r>
    </w:p>
    <w:p>
      <w:pPr>
        <w:pStyle w:val="NormalHanging"/>
      </w:pPr>
      <w:r>
        <w:t>C.</w:t>
      </w:r>
      <w:r>
        <w:tab/>
      </w:r>
      <w:r>
        <w:t>mając na uwadze, że obywatele zasadnie oczekują od organów publicznych przejrzystości, skuteczności i rozliczalności, a instytucje, organy, urzędy i agencje UE powinny reagować na te oczekiwania w jasny i zrozumiały sposób;</w:t>
      </w:r>
    </w:p>
    <w:p>
      <w:pPr>
        <w:pStyle w:val="NormalHanging"/>
      </w:pPr>
      <w:r>
        <w:t>D.</w:t>
      </w:r>
      <w:r>
        <w:tab/>
      </w:r>
      <w:r>
        <w:t>mając na uwadze, że dostęp do wiarygodnych i dokładnych informacji ma kluczowe znaczenie dla ochrony przed informacjami wprowadzającymi w błąd i dla skutecznego przeciwdziałania rozprzestrzenianiu się dezinformacji;</w:t>
      </w:r>
    </w:p>
    <w:p>
      <w:pPr>
        <w:pStyle w:val="NormalHanging"/>
      </w:pPr>
      <w:r>
        <w:t>E.</w:t>
      </w:r>
      <w:r>
        <w:tab/>
      </w:r>
      <w:r>
        <w:t>mając na uwadze, że dochodzenie strategiczne Europejskiego Rzecznika Praw Obywatelskich przedstawione w sprawozdaniu specjalnym OI/2/2022/OAM ujawniło systemowe i znaczne opóźnienia ze strony Komisji, w szczególności w rozpatrywaniu ponownych wniosków (wniosków ze strony wnioskodawców o przegląd pierwotnej odpowiedzi) w następstwie początkowej odmowy udzielenia obywatelom dostępu do dokumentów;</w:t>
      </w:r>
    </w:p>
    <w:p>
      <w:pPr>
        <w:pStyle w:val="NormalHanging"/>
      </w:pPr>
      <w:r>
        <w:t>F.</w:t>
      </w:r>
      <w:r>
        <w:tab/>
      </w:r>
      <w:r>
        <w:t>mając na uwadze, że w maju 2021 r. dziennikarz zwrócił się o dostęp do dokumentów, w tym wiadomości tekstowych wymienionych między przewodniczącą Komisji a przedsiębiorstwem Pfizer, ale Komisja stwierdziła, że nie przetrzymuje takich zapisów na podstawie wewnętrznych zasad rejestracji; mając na uwadze, że Europejski Rzecznik Praw Obywatelskich uznał tę odpowiedź za nieodpowiednią i zalecił ponowne wyszukiwanie, zgodnie z obowiązkami w zakresie publicznego dostępu wynikającymi z rozporządzenia (WE) nr 1049/2001;</w:t>
      </w:r>
    </w:p>
    <w:p>
      <w:pPr>
        <w:pStyle w:val="NormalHanging"/>
      </w:pPr>
      <w:r>
        <w:t>G.</w:t>
      </w:r>
      <w:r>
        <w:tab/>
      </w:r>
      <w:r>
        <w:t xml:space="preserve">mając na uwadze, że w komunikacie w sprawie programu prac na 2025 r. Komisja wyraziła zamiar wycofania wniosków </w:t>
      </w:r>
      <w:hyperlink r:id="rId6" w:tgtFrame="https://eur-lex.europa.eu/legal-content/EN/ALL/?uri=CELEX:52011PC0137" w:history="1">
        <w:r>
          <w:rPr>
            <w:rStyle w:val="Hyperlink"/>
          </w:rPr>
          <w:t>COM(2011)0137</w:t>
        </w:r>
      </w:hyperlink>
      <w:r>
        <w:t xml:space="preserve"> i </w:t>
      </w:r>
      <w:hyperlink r:id="rId7" w:tgtFrame="https://eur-lex.europa.eu/legal-content/EN/ALL/?uri=CELEX:52008PC0229" w:history="1">
        <w:r>
          <w:rPr>
            <w:rStyle w:val="Hyperlink"/>
          </w:rPr>
          <w:t>COM(2008)0229</w:t>
        </w:r>
      </w:hyperlink>
      <w:r>
        <w:t xml:space="preserve"> – które mają na celu zmianę rozporządzenia (WE) nr 1049/2001 w sprawie publicznego dostępu do dokumentów – powołując się na brak przewidywalnego porozumienia po latach impasu legislacyjnego od 2011 r.;</w:t>
      </w:r>
    </w:p>
    <w:p>
      <w:pPr>
        <w:pStyle w:val="Normal12a"/>
      </w:pPr>
      <w:r>
        <w:rPr>
          <w:b/>
          <w:i/>
        </w:rPr>
        <w:t>Roczne sprawozdania dotyczące publicznego dostępu do dokumentów</w:t>
      </w:r>
    </w:p>
    <w:p>
      <w:pPr>
        <w:pStyle w:val="NormalHanging12a"/>
      </w:pPr>
      <w:r>
        <w:t>1.</w:t>
      </w:r>
      <w:r>
        <w:tab/>
      </w:r>
      <w:r>
        <w:t>zauważa, że w 2024 r. Komisja zmieniła swoje ramy przejrzystości dzięki przyjęciu zmienionego regulaminu wewnętrznego i wyjaśnieniu przepisów dotyczących publicznego dostępu do dokumentów na podstawie rozporządzenia (WE) nr 1049/2001;</w:t>
      </w:r>
    </w:p>
    <w:p>
      <w:pPr>
        <w:pStyle w:val="NormalHanging12a"/>
      </w:pPr>
      <w:r>
        <w:t>2.</w:t>
      </w:r>
      <w:r>
        <w:tab/>
      </w:r>
      <w:r>
        <w:t>zauważa, że w 2024 r. Komisja otrzymała 6938 początkowych wniosków o dostęp do dokumentów i 641 wniosków ponownych, co oznacza wzrost o 7 % w porównaniu z 2023 r.</w:t>
      </w:r>
      <w:r>
        <w:rPr>
          <w:rStyle w:val="FootnoteReference"/>
        </w:rPr>
        <w:footnoteReference w:customMarkFollows="1" w:id="14"/>
        <w:t xml:space="preserve">13</w:t>
      </w:r>
      <w:r>
        <w:t>;</w:t>
      </w:r>
    </w:p>
    <w:p>
      <w:pPr>
        <w:pStyle w:val="NormalHanging12a"/>
      </w:pPr>
      <w:r>
        <w:t>3.</w:t>
      </w:r>
      <w:r>
        <w:tab/>
      </w:r>
      <w:r>
        <w:t>podkreśla, że do 31 grudnia 2024 r. publiczny rejestr dokumentów Parlamentu zawierał 918 803 pozycje (wzrost w porównaniu z 898 267 na koniec 2023 r.); zauważa, że ogólny wskaźnik pozytywnych odpowiedzi pozostał wysoki i wyniósł 91 %, przy czym wnioski rozpatrywane były średnio w ciągu około dziewięciu dni roboczych</w:t>
      </w:r>
      <w:r>
        <w:rPr>
          <w:rStyle w:val="FootnoteReference"/>
        </w:rPr>
        <w:footnoteReference w:customMarkFollows="1" w:id="15"/>
        <w:t xml:space="preserve">14</w:t>
      </w:r>
      <w:r>
        <w:t>;</w:t>
      </w:r>
    </w:p>
    <w:p>
      <w:pPr>
        <w:pStyle w:val="Normal12a"/>
      </w:pPr>
      <w:r>
        <w:rPr>
          <w:b/>
          <w:i/>
        </w:rPr>
        <w:t>Ostatnie zmiany</w:t>
      </w:r>
    </w:p>
    <w:p>
      <w:pPr>
        <w:pStyle w:val="NormalHanging12a"/>
      </w:pPr>
      <w:r>
        <w:t>4.</w:t>
      </w:r>
      <w:r>
        <w:tab/>
      </w:r>
      <w:r>
        <w:t>podkreśla, że nawet jeśli niektóre informacje muszą zostać utajnione, należy rozważyć częściowe ujawnienie, jeżeli pozostaje ono zarówno wykonalne, jak i pożądane, w kontekście nadrzędnego interesu publicznego związanego z przejrzystością, który obejmuje zasady należytego sprawowania rządów, skuteczności instytucjonalnej, demokratycznej rozliczalności i zwiększonego zaangażowania obywatelskiego w kształtowanie polityki;</w:t>
      </w:r>
    </w:p>
    <w:p>
      <w:pPr>
        <w:pStyle w:val="NormalHanging12a"/>
      </w:pPr>
      <w:r>
        <w:t>5.</w:t>
      </w:r>
      <w:r>
        <w:tab/>
      </w:r>
      <w:r>
        <w:t>wyraża zaniepokojenie utrzymującym się i powszechnym zawyżaniem klauzuli tajności dokumentów urzędowych przez instytucje, organy, urzędy i agencje UE; ponawia swój długotrwały apel, zawarty w poprzednich rezolucjach w sprawie publicznego dostępu do dokumentów, o ustanowienie jasnych, spójnych i prawnie wiążących przepisów regulujących utajnianie i odtajnianie dokumentów;</w:t>
      </w:r>
    </w:p>
    <w:p>
      <w:pPr>
        <w:pStyle w:val="NormalHanging12a"/>
      </w:pPr>
      <w:r>
        <w:t>6.</w:t>
      </w:r>
      <w:r>
        <w:tab/>
      </w:r>
      <w:r>
        <w:t>ubolewa nad ciągłym brakiem znaczących działań następczych ze strony Komisji i Rady w odpowiedzi na te zalecenia;</w:t>
      </w:r>
    </w:p>
    <w:p>
      <w:pPr>
        <w:pStyle w:val="NormalHanging12a"/>
      </w:pPr>
      <w:r>
        <w:t>7.</w:t>
      </w:r>
      <w:r>
        <w:tab/>
      </w:r>
      <w:r>
        <w:t>przyznaje, że dochodzenie Europejskiego Rzecznika Praw Obywatelskich przedstawione w sprawozdaniu specjalnym OI/2/2022/OAM ujawniło schemat systemowych opóźnień Komisji w odpowiedzi na ponowne wnioski, i wykazało, że niedociągnięcia strukturalne, niewystarczające zasoby i nieskuteczna komunikacja ostatecznie zniechęciły osoby fizyczne do korzystania z przysługującego im prawa dostępu;</w:t>
      </w:r>
    </w:p>
    <w:p>
      <w:pPr>
        <w:pStyle w:val="NormalHanging12a"/>
      </w:pPr>
      <w:r>
        <w:t>8.</w:t>
      </w:r>
      <w:r>
        <w:tab/>
      </w:r>
      <w:r>
        <w:t>wzywa Komisję do dopilnowania, aby wszystkie przyszłe wnioski ustawodawcze opierały się na solidnych i weryfikowalnych danych, które wyraźnie wykazują ich konieczność, proporcjonalność i oczekiwaną skuteczność; wzywa ponadto Komisję do zapewnienia pełnej przejrzystości w wyborze zainteresowanych stron, z którymi przeprowadzane są konsultacje podczas przygotowywania wniosków ustawodawczych;</w:t>
      </w:r>
    </w:p>
    <w:p>
      <w:pPr>
        <w:pStyle w:val="NormalHanging12a"/>
      </w:pPr>
      <w:r>
        <w:t>9.</w:t>
      </w:r>
      <w:r>
        <w:tab/>
      </w:r>
      <w:r>
        <w:t>ubolewa, że nadal utrzymują się niedociągnięcia w zakresie przejrzystości w Radzie; z zaniepokojeniem odnotowuje ustalenia dotyczące odmowy udzielenia dostępu do dokumentów z rozmów trójstronnych; ubolewa, że ostatnie analizy nadal uwypuklają brak proaktywnych praktyk w zakresie publikacji i rejestracji;</w:t>
      </w:r>
    </w:p>
    <w:p>
      <w:pPr>
        <w:pStyle w:val="NormalHanging12a"/>
      </w:pPr>
      <w:r>
        <w:t>10.</w:t>
      </w:r>
      <w:r>
        <w:tab/>
      </w:r>
      <w:r>
        <w:t xml:space="preserve">z zadowoleniem przyjmuje wyrok TSUE w sprawie </w:t>
      </w:r>
      <w:r>
        <w:rPr>
          <w:i/>
        </w:rPr>
        <w:t>Stevi i The New York Times/Komisja</w:t>
      </w:r>
      <w:r>
        <w:t xml:space="preserve"> jako istotny wkład w linię orzeczniczą, która sprzyja przejrzystości praktyk w instytucjach, organach, urzędach i agencjach UE; zauważa, że w wyroku podkreślono obowiązek proaktywnego przechowywania dokumentacji w celu zapewnienia skutecznego wykonywania prawa dostępu; ubolewa jednak, że TSUE postanowił nie dokonywać ponownej wykładni rozporządzenia (WE) nr 1049/2001 w świetle nowoczesnych metod komunikacji i zmieniających się obowiązków w zakresie przejrzystości;</w:t>
      </w:r>
    </w:p>
    <w:p>
      <w:pPr>
        <w:pStyle w:val="Normal12a"/>
      </w:pPr>
      <w:r>
        <w:rPr>
          <w:b/>
          <w:i/>
        </w:rPr>
        <w:t>Zalecenia</w:t>
      </w:r>
    </w:p>
    <w:p>
      <w:pPr>
        <w:pStyle w:val="NormalHanging12a"/>
      </w:pPr>
      <w:r>
        <w:t>11.</w:t>
      </w:r>
      <w:r>
        <w:tab/>
      </w:r>
      <w:r>
        <w:t>odnotowuje przyjęcie zmienionych przepisów wewnętrznych Komisji dotyczących dostępu do dokumentów oraz fakt, że podniesiono kwestie dotyczące ich zgodności z Kartą, TUE, TFUE i rozporządzeniem (WE) nr 1049/2001; podkreśla, że dostęp do dokumentów stanowi prawo podstawowe na mocy prawa UE, niezbędne do zapewnienia przejrzystości, demokratycznej rozliczalności i znaczącego udziału obywateli;</w:t>
      </w:r>
      <w:r>
        <w:rPr>
          <w:b/>
        </w:rPr>
        <w:t xml:space="preserve"> </w:t>
      </w:r>
      <w:r>
        <w:t>wzywa Komisję do przeprowadzenia przeglądu tych przepisów w świetle odpowiedniego orzecznictwa oraz, w stosownych przypadkach, do ich doprecyzowania lub dostosowania, aby osiągnąć najwyższy poziom przejrzystości;</w:t>
      </w:r>
    </w:p>
    <w:p>
      <w:pPr>
        <w:pStyle w:val="NormalHanging12a"/>
      </w:pPr>
      <w:r>
        <w:t>12.</w:t>
      </w:r>
      <w:r>
        <w:tab/>
      </w:r>
      <w:r>
        <w:t>odnotowuje wycofanie przez Komisję jej wniosków z 2008 r. i 2011 r. dotyczących zmiany rozporządzenia (WE) nr 1049/2001; wyraża ubolewanie z powodu decyzji o ich wycofaniu po latach impasu bez jasnego planu działania, harmonogramu lub konstruktywnych konsultacji, co oznacza, że brakuje kluczowej możliwości modernizacji obowiązujących i przestarzałych ram; wzywa Komisję do przedstawienia zaktualizowanego wniosku, w którym zawęzi się wyjątki do absolutnie niezbędnych przypadków i określi nową normę UE w zakresie otwartości i publicznego dostępu do dokumentów;</w:t>
      </w:r>
    </w:p>
    <w:p>
      <w:pPr>
        <w:pStyle w:val="NormalHanging12a"/>
      </w:pPr>
      <w:r>
        <w:t>13.</w:t>
      </w:r>
      <w:r>
        <w:tab/>
      </w:r>
      <w:r>
        <w:t>zaleca pilne rozwiązanie problemu systemowych opóźnień w rozpatrywaniu ponownych wniosków poprzez poprawę procedur wewnętrznych, przydzielenie wystarczających zasobów oraz zapewnienie terminowej i przejrzystej komunikacji z wnioskodawcami, aby wywiązać się ze zobowiązań prawnych oraz wspierać zaufanie i udział społeczeństwa;</w:t>
      </w:r>
    </w:p>
    <w:p>
      <w:pPr>
        <w:pStyle w:val="NormalHanging12a"/>
      </w:pPr>
      <w:r>
        <w:t>14.</w:t>
      </w:r>
      <w:r>
        <w:tab/>
      </w:r>
      <w:r>
        <w:t>podkreśla, że przejrzystość i dostęp do dokumentów będących w posiadaniu instytucji, organów, urzędów i agencji UE muszą być regułą oraz że wyjątki od tej zasady muszą być interpretowane w sposób ścisły, z uwzględnieniem nadrzędnego interesu publicznego przemawiającego za ujawnieniem, aby umożliwić kontrolę publiczną;</w:t>
      </w:r>
    </w:p>
    <w:p>
      <w:pPr>
        <w:pStyle w:val="NormalHanging12a"/>
      </w:pPr>
      <w:r>
        <w:t>15.</w:t>
      </w:r>
      <w:r>
        <w:tab/>
      </w:r>
      <w:r>
        <w:t>podkreśla, że brak wiedzy na temat tego, czy dokumenty faktycznie istnieją, może utrudniać obywatelom korzystanie z przysługującego im prawa do występowania o ich udostępnienie; podkreśla, że zadbanie o to, aby obywatele byli w stanie zrozumieć i dokładnie śledzić postępy oraz uczestniczyć w stanowieniu prawa, jest wymogiem prawnym na mocy traktatów i Karty, a także podstawowym wymogiem demokratycznej kontroli i samej demokracji;</w:t>
      </w:r>
    </w:p>
    <w:p>
      <w:pPr>
        <w:pStyle w:val="NormalCenter12a"/>
      </w:pPr>
      <w:r>
        <w:t>°</w:t>
      </w:r>
    </w:p>
    <w:p>
      <w:pPr>
        <w:pStyle w:val="NormalCenter12a"/>
      </w:pPr>
      <w:r>
        <w:t>°</w:t>
      </w:r>
      <w:r>
        <w:tab/>
      </w:r>
      <w:r>
        <w:t>°</w:t>
      </w:r>
    </w:p>
    <w:p>
      <w:pPr>
        <w:pStyle w:val="NormalHanging12a"/>
      </w:pPr>
      <w:r>
        <w:t>16.</w:t>
      </w:r>
      <w:r>
        <w:tab/>
      </w:r>
      <w:r>
        <w:t>zobowiązuje swoją przewodniczącą do przekazania niniejszej rezolucji Radzie i Komisji.</w:t>
      </w:r>
    </w:p>
    <w:p>
      <w:pPr>
        <w:sectPr>
          <w:footerReference w:type="even" r:id="rId8"/>
          <w:footerReference w:type="default" r:id="rId9"/>
          <w:footerReference w:type="first" r:id="rId10"/>
          <w:footnotePr>
            <w:numRestart w:val="eachSect"/>
          </w:footnotePr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"/>
      </w:pPr>
      <w:bookmarkStart w:id="1" w:name="_Toc256000001"/>
      <w:r>
        <w:t>UZASADNIENIE</w:t>
      </w:r>
      <w:bookmarkEnd w:id="1"/>
    </w:p>
    <w:p>
      <w:pPr>
        <w:pStyle w:val="Normal12"/>
      </w:pPr>
      <w:r>
        <w:t>Celem niniejszego sprawozdania jest potwierdzenie, że dostęp do dokumentów jest podstawowym prawem każdego obywatela na mocy traktatów, Karty praw podstawowych i unijnych ram dostępu do dokumentów, a także wzmocnienie kultury przejrzystości, która zapewnia sprawiedliwość procesów politycznych i dyskursu publicznego. Oceniono w nim ostatnie zmiany i zidentyfikowano istniejące niedociągnięcia – opóźnienia systemowe, zawyżanie klauzuli tajności, nierównomierną proaktywną publikację i niepewność.</w:t>
      </w:r>
    </w:p>
    <w:p>
      <w:pPr>
        <w:pStyle w:val="Normal12"/>
      </w:pPr>
      <w:r>
        <w:t>Na tej podstawie w sprawozdaniu zastosowano skoncentrowane na obywatelu nowoczesne podejście, zgodnie z którym ujawnianie informacji jest regułą, a ich utajnianie – wyjątkiem. Sprawozdanie ma ponadto na celu zapewnienie terminowych i dobrze uzasadnionych decyzji w sprawie wniosków, zagwarantowanie szybkiego i skutecznego dostępu do dokumentów ustawodawczych, dokumentów dotyczących rozmów trójstronnych i umów międzynarodowych oraz wzmocnienie proaktywnych rejestrów. Jego celem jest zapewnienie równego traktowania zainteresowanych stron, umożliwienie świadomego uczestnictwa i wzmocnienie demokratycznej rozliczalności we wszystkich instytucjach, organach, urzędach i agencjach europejskich.</w:t>
      </w:r>
    </w:p>
    <w:p>
      <w:pPr>
        <w:sectPr>
          <w:footnotePr>
            <w:numRestart w:val="eachSect"/>
          </w:footnote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"/>
      </w:pPr>
      <w:bookmarkStart w:id="2" w:name="_Toc256000002"/>
      <w:r>
        <w:t>ZAŁĄCZNIK: WYKAZ PODMIOTÓW, OD KTÓRYCH SPRAWOZDAWCZYNI OTRZYMAŁA INFORMACJE</w:t>
      </w:r>
      <w:bookmarkEnd w:id="2"/>
    </w:p>
    <w:p>
      <w:pPr>
        <w:pStyle w:val="Normal12a"/>
      </w:pPr>
      <w:r>
        <w:rPr>
          <w:rStyle w:val="HideTWBExt"/>
        </w:rPr>
        <w:t>&lt;FootprintIntro&gt;</w:t>
      </w:r>
      <w:r>
        <w:rPr>
          <w:rStyle w:val="HideTWBExt"/>
        </w:rPr>
        <w:t>&lt;/FootprintIntro&gt;</w:t>
      </w:r>
    </w:p>
    <w:p>
      <w:pPr>
        <w:pStyle w:val="Normal12a"/>
      </w:pPr>
      <w:r>
        <w:t>Zgodnie z art. 8 załącznika I do Regulaminu sprawozdawczyni oświadcza, że ujęła w swoim sprawozdaniu informacje dotyczące kwestii związanych z tematem, które otrzymała podczas sporządzania projektu sprawozdania od następujących przedstawicieli grup interesu objętych zakresem porozumienia międzyinstytucjonalnego w sprawie obowiązkowego rejestru służącego przejrzystości</w:t>
      </w:r>
      <w:r>
        <w:rPr>
          <w:rStyle w:val="FootnoteReference"/>
        </w:rPr>
        <w:footnoteReference w:customMarkFollows="1" w:id="16"/>
        <w:t xml:space="preserve">1</w:t>
      </w:r>
      <w:r>
        <w:t xml:space="preserve"> lub od następujących przedstawicieli organów publicznych państw trzecich, w tym ich misji dyplomatycznych i ambasad: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908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pPr>
              <w:jc w:val="center"/>
            </w:pPr>
            <w:r>
              <w:rPr>
                <w:b/>
              </w:rPr>
              <w:t>1. Przedstawiciele grup interesu objęci zakresem porozumienia międzyinstytucjonalnego w sprawie obowiązkowego rejestru służącego przejrzystości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Access Info Europe</w:t>
            </w:r>
          </w:p>
        </w:tc>
      </w:tr>
    </w:tbl>
    <w:p/>
    <w:p>
      <w:pPr>
        <w:pStyle w:val="Normal12a"/>
      </w:pPr>
      <w:r>
        <w:t>Powyższy wykaz został sporządzony na wyłączną odpowiedzialność sprawozdawczyni.</w:t>
      </w:r>
    </w:p>
    <w:p>
      <w:pPr>
        <w:pStyle w:val="Normal12a"/>
      </w:pPr>
      <w:r>
        <w:t>Gdy osoby fizyczne są wymienione w wykazie z imienia i nazwiska, zidentyfikowane poprzez swoją funkcję lub wymienione z imienia i nazwiska wraz z podaniem ich funkcji, sprawozdawczyni oświadcza, że przedstawiła tym osobom fizycznym Oświadczenie o ochronie prywatności w Parlamencie Europejskim nr 484 (</w:t>
      </w:r>
      <w:hyperlink r:id="rId11" w:tgtFrame="https://www.europarl.europa.eu/data-protect/index.do" w:history="1">
        <w:r>
          <w:rPr>
            <w:rStyle w:val="Hyperlink"/>
          </w:rPr>
          <w:t>https://www.europarl.europa.eu/data-protect/index.do</w:t>
        </w:r>
      </w:hyperlink>
      <w:r>
        <w:t>), w którym określono warunki mające zastosowanie do przetwarzania danych osobowych tych osób oraz prawa związane z takim przetwarzaniem.</w:t>
      </w:r>
    </w:p>
    <w:sectPr>
      <w:footnotePr>
        <w:numRestart w:val="eachSect"/>
      </w:footnote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778.284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9</w:t>
    </w:r>
    <w:r>
      <w:fldChar w:fldCharType="end"/>
    </w:r>
    <w:r>
      <w:tab/>
    </w:r>
    <w:r>
      <w:rPr>
        <w:rStyle w:val="HideTWBExt"/>
      </w:rPr>
      <w:t>&lt;PathFdR&gt;</w:t>
    </w:r>
    <w:r>
      <w:t>PR\1329551PL.docx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PR\1329551PL.docx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9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778.284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PR\1329551PL.docx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778.284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Dz.U. L 145 z 31.5.2001, s. 43, ELI: </w:t>
      </w:r>
      <w:hyperlink r:id="rId1" w:tgtFrame="http://data.europa.eu/eli/reg/2001/1049/oj" w:history="1">
        <w:r>
          <w:rPr>
            <w:rStyle w:val="Hyperlink"/>
          </w:rPr>
          <w:t>http://data.europa.eu/eli/reg/2001/1049/oj</w:t>
        </w:r>
      </w:hyperlink>
      <w:r>
        <w:t>.</w:t>
      </w:r>
    </w:p>
  </w:footnote>
  <w:footnote w:id="3">
    <w:p>
      <w:pPr>
        <w:pStyle w:val="FootnoteText"/>
      </w:pPr>
      <w:r>
        <w:rPr>
          <w:vertAlign w:val="superscript"/>
        </w:rPr>
        <w:t>2</w:t>
      </w:r>
      <w:r>
        <w:t xml:space="preserve"> </w:t>
      </w:r>
      <w:r>
        <w:t>Dz.U. C 168 E z 14.6.2013, s. 159.</w:t>
      </w:r>
    </w:p>
  </w:footnote>
  <w:footnote w:id="4">
    <w:p>
      <w:pPr>
        <w:pStyle w:val="FootnoteText"/>
      </w:pPr>
      <w:r>
        <w:rPr>
          <w:vertAlign w:val="superscript"/>
        </w:rPr>
        <w:t>3</w:t>
      </w:r>
      <w:r>
        <w:t xml:space="preserve"> </w:t>
      </w:r>
      <w:r>
        <w:t xml:space="preserve">Dz.U. L, 2024/3080, 5.12.2024, ELI: </w:t>
      </w:r>
      <w:hyperlink r:id="rId2" w:tgtFrame="http://data.europa.eu/eli/dec/2024/3080/oj" w:history="1">
        <w:r>
          <w:rPr>
            <w:rStyle w:val="Hyperlink"/>
          </w:rPr>
          <w:t>http://data.europa.eu/eli/dec/2024/3080/oj</w:t>
        </w:r>
      </w:hyperlink>
      <w:r>
        <w:t>.</w:t>
      </w:r>
    </w:p>
  </w:footnote>
  <w:footnote w:id="5">
    <w:p>
      <w:pPr>
        <w:pStyle w:val="FootnoteText"/>
      </w:pPr>
      <w:r>
        <w:rPr>
          <w:vertAlign w:val="superscript"/>
        </w:rPr>
        <w:t>4</w:t>
      </w:r>
      <w:r>
        <w:t xml:space="preserve"> </w:t>
      </w:r>
      <w:r>
        <w:t>Dz.U. C 337 z 20.9.2018, s. 120.</w:t>
      </w:r>
    </w:p>
  </w:footnote>
  <w:footnote w:id="6">
    <w:p>
      <w:pPr>
        <w:pStyle w:val="FootnoteText"/>
      </w:pPr>
      <w:r>
        <w:rPr>
          <w:vertAlign w:val="superscript"/>
        </w:rPr>
        <w:t>5</w:t>
      </w:r>
      <w:r>
        <w:t xml:space="preserve"> </w:t>
      </w:r>
      <w:r>
        <w:t xml:space="preserve">Dz.U. L 305 z 26.11.2019, s. 17, ELI: </w:t>
      </w:r>
      <w:hyperlink r:id="rId3" w:tgtFrame="http://data.europa.eu/eli/dir/2019/1937/oj" w:history="1">
        <w:r>
          <w:rPr>
            <w:rStyle w:val="Hyperlink"/>
          </w:rPr>
          <w:t>http://data.europa.eu/eli/dir/2019/1937/oj</w:t>
        </w:r>
      </w:hyperlink>
      <w:r>
        <w:t>.</w:t>
      </w:r>
    </w:p>
  </w:footnote>
  <w:footnote w:id="7">
    <w:p>
      <w:pPr>
        <w:pStyle w:val="FootnoteText"/>
      </w:pPr>
      <w:r>
        <w:rPr>
          <w:vertAlign w:val="superscript"/>
        </w:rPr>
        <w:t>6</w:t>
      </w:r>
      <w:r>
        <w:t xml:space="preserve"> </w:t>
      </w:r>
      <w:r>
        <w:t>Dz.U. C 465 z 17.11.2021, s. 54.</w:t>
      </w:r>
    </w:p>
  </w:footnote>
  <w:footnote w:id="8">
    <w:p>
      <w:pPr>
        <w:pStyle w:val="FootnoteText"/>
      </w:pPr>
      <w:r>
        <w:rPr>
          <w:vertAlign w:val="superscript"/>
        </w:rPr>
        <w:t>7</w:t>
      </w:r>
      <w:r>
        <w:t xml:space="preserve"> </w:t>
      </w:r>
      <w:r>
        <w:t>Europejski Rzecznik Praw Obywatelskich, sprawozdanie specjalne z dochodzenia strategicznego dotyczącego czasu rozpatrywania przez Komisję Europejską wniosków o publiczny dostęp do dokumentów (OI/2/2022/OAM), 21 września 2023 r.</w:t>
      </w:r>
    </w:p>
  </w:footnote>
  <w:footnote w:id="9">
    <w:p>
      <w:pPr>
        <w:pStyle w:val="FootnoteText"/>
      </w:pPr>
      <w:r>
        <w:rPr>
          <w:vertAlign w:val="superscript"/>
        </w:rPr>
        <w:t>8</w:t>
      </w:r>
      <w:r>
        <w:t xml:space="preserve"> </w:t>
      </w:r>
      <w:r>
        <w:t>Europejski Rzecznik Praw Obywatelskich, „Decyzja w sprawie odmowy przez Komisję Europejską publicznego dostępu do wiadomości tekstowych wymienianych między przewodniczącą Komisji a dyrektorem generalnym koncernu farmaceutycznego na temat zakupu szczepionek przeciwko COVID-19” (sprawa 1316/2021/MIG), 12 lipca 2022 r.</w:t>
      </w:r>
    </w:p>
  </w:footnote>
  <w:footnote w:id="10">
    <w:p>
      <w:pPr>
        <w:pStyle w:val="FootnoteText"/>
      </w:pPr>
      <w:r>
        <w:rPr>
          <w:vertAlign w:val="superscript"/>
        </w:rPr>
        <w:t>9</w:t>
      </w:r>
      <w:r>
        <w:t xml:space="preserve"> </w:t>
      </w:r>
      <w:r>
        <w:t xml:space="preserve">Wyrok Sądu z dnia 14 maja 2025 r., </w:t>
      </w:r>
      <w:r>
        <w:rPr>
          <w:i/>
        </w:rPr>
        <w:t>Stevi i The New York Times</w:t>
      </w:r>
      <w:r>
        <w:t>/</w:t>
      </w:r>
      <w:r>
        <w:rPr>
          <w:i/>
        </w:rPr>
        <w:t>Komisja</w:t>
      </w:r>
      <w:r>
        <w:t>, T‑36/23, ECLI:EU:T:2025:483.</w:t>
      </w:r>
    </w:p>
  </w:footnote>
  <w:footnote w:id="11">
    <w:p>
      <w:pPr>
        <w:pStyle w:val="FootnoteText"/>
      </w:pPr>
      <w:r>
        <w:rPr>
          <w:vertAlign w:val="superscript"/>
        </w:rPr>
        <w:t>10</w:t>
      </w:r>
      <w:r>
        <w:t xml:space="preserve"> </w:t>
      </w:r>
      <w:r>
        <w:t xml:space="preserve">Dz.U. C, C/2024/4014, 17.7.2024, ELI: </w:t>
      </w:r>
      <w:hyperlink r:id="rId4" w:tgtFrame="http://data.europa.eu/eli/C/2024/4014/oj" w:history="1">
        <w:r>
          <w:rPr>
            <w:rStyle w:val="Hyperlink"/>
          </w:rPr>
          <w:t>http://data.europa.eu/eli/C/2024/4014/oj</w:t>
        </w:r>
      </w:hyperlink>
      <w:r>
        <w:t>.</w:t>
      </w:r>
    </w:p>
  </w:footnote>
  <w:footnote w:id="12">
    <w:p>
      <w:pPr>
        <w:pStyle w:val="FootnoteText"/>
      </w:pPr>
      <w:r>
        <w:rPr>
          <w:vertAlign w:val="superscript"/>
        </w:rPr>
        <w:t>11</w:t>
      </w:r>
      <w:r>
        <w:t xml:space="preserve"> </w:t>
      </w:r>
      <w:r>
        <w:t xml:space="preserve">Dz.U. C, C/2024/6560, 12.11.2024, ELI: </w:t>
      </w:r>
      <w:hyperlink r:id="rId5" w:tgtFrame="http://data.europa.eu/eli/C/2024/6560/oj" w:history="1">
        <w:r>
          <w:rPr>
            <w:rStyle w:val="Hyperlink"/>
          </w:rPr>
          <w:t>http://data.europa.eu/eli/C/2024/6560/oj</w:t>
        </w:r>
      </w:hyperlink>
      <w:r>
        <w:t>.</w:t>
      </w:r>
    </w:p>
  </w:footnote>
  <w:footnote w:id="13">
    <w:p>
      <w:pPr>
        <w:pStyle w:val="FootnoteText"/>
      </w:pPr>
      <w:r>
        <w:rPr>
          <w:vertAlign w:val="superscript"/>
        </w:rPr>
        <w:t>12</w:t>
      </w:r>
      <w:r>
        <w:t xml:space="preserve"> </w:t>
      </w:r>
      <w:r>
        <w:t>Art. 10 ust. 3 TUE w świetle jego motywu 13 oraz art. 1 ust. 2 i art. 9 TUE oraz art. 15 TFUE.</w:t>
      </w:r>
    </w:p>
  </w:footnote>
  <w:footnote w:id="14">
    <w:p>
      <w:pPr>
        <w:pStyle w:val="FootnoteText"/>
      </w:pPr>
      <w:r>
        <w:rPr>
          <w:vertAlign w:val="superscript"/>
        </w:rPr>
        <w:t>13</w:t>
      </w:r>
      <w:r>
        <w:t xml:space="preserve"> </w:t>
      </w:r>
      <w:r>
        <w:t>Sprawozdanie Komisji z dnia 19 maja 2025 r. na temat stosowania w 2024 r. rozporządzenia (WE) nr 1049/2001 w sprawie publicznego dostępu do dokumentów Parlamentu Europejskiego, Rady i Komisji (COM(2025)0239).</w:t>
      </w:r>
    </w:p>
  </w:footnote>
  <w:footnote w:id="15">
    <w:p>
      <w:pPr>
        <w:pStyle w:val="FootnoteText"/>
      </w:pPr>
      <w:r>
        <w:rPr>
          <w:vertAlign w:val="superscript"/>
        </w:rPr>
        <w:t>14</w:t>
      </w:r>
      <w:r>
        <w:t xml:space="preserve"> </w:t>
      </w:r>
      <w:r>
        <w:t>Parlament Europejski, „Publiczny dostęp do dokumentów 2024 – sprawozdanie roczne Parlamentu Europejskiego”, Dyrekcja Generalna ds. Urzędu Przewodniczącego, Dział ds. Przejrzystości, maj 2025 r.</w:t>
      </w:r>
    </w:p>
  </w:footnote>
  <w:footnote w:id="16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 xml:space="preserve">Porozumienie międzyinstytucjonalne z maja 2021 r. pomiędzy Parlamentem Europejskim, Radą Unii Europejskiej i Komisją Europejską w sprawie obowiązkowego rejestru służącego przejrzystości (Dz.U. L 207 z 11.6.2021, s. 1., ELI: </w:t>
      </w:r>
      <w:hyperlink r:id="rId6" w:tgtFrame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3.xml" /><Relationship Id="rId11" Type="http://schemas.openxmlformats.org/officeDocument/2006/relationships/hyperlink" Target="https://www.europarl.europa.eu/data-protect/index.do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hyperlink" Target="https://eur-lex.europa.eu/legal-content/EN/ALL/?uri=CELEX:52011PC0137" TargetMode="External" /><Relationship Id="rId7" Type="http://schemas.openxmlformats.org/officeDocument/2006/relationships/hyperlink" Target="https://eur-lex.europa.eu/legal-content/EN/ALL/?uri=CELEX:52008PC0229" TargetMode="Externa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01/1049/oj" TargetMode="External" /><Relationship Id="rId2" Type="http://schemas.openxmlformats.org/officeDocument/2006/relationships/hyperlink" Target="http://data.europa.eu/eli/dec/2024/3080/oj" TargetMode="External" /><Relationship Id="rId3" Type="http://schemas.openxmlformats.org/officeDocument/2006/relationships/hyperlink" Target="http://data.europa.eu/eli/dir/2019/1937/oj" TargetMode="External" /><Relationship Id="rId4" Type="http://schemas.openxmlformats.org/officeDocument/2006/relationships/hyperlink" Target="http://data.europa.eu/eli/C/2024/4014/oj" TargetMode="External" /><Relationship Id="rId5" Type="http://schemas.openxmlformats.org/officeDocument/2006/relationships/hyperlink" Target="http://data.europa.eu/eli/C/2024/6560/oj" TargetMode="External" /><Relationship Id="rId6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9</Pages>
  <Words>1796</Words>
  <Characters>12367</Characters>
  <Application>Microsoft Office Word</Application>
  <DocSecurity>0</DocSecurity>
  <Lines>1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1329551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273142</vt:lpwstr>
  </property>
  <property fmtid="{D5CDD505-2E9C-101B-9397-08002B2CF9AE}" pid="7" name="dmxml.render.traceId">
    <vt:lpwstr>69021cb79dc79127f37803b63860519d</vt:lpwstr>
  </property>
  <property fmtid="{D5CDD505-2E9C-101B-9397-08002B2CF9AE}" pid="8" name="FooterPath">
    <vt:lpwstr>PR\1329551PL.doc</vt:lpwstr>
  </property>
  <property fmtid="{D5CDD505-2E9C-101B-9397-08002B2CF9AE}" pid="9" name="PE Number">
    <vt:lpwstr>778.284</vt:lpwstr>
  </property>
  <property fmtid="{D5CDD505-2E9C-101B-9397-08002B2CF9AE}" pid="10" name="UID">
    <vt:lpwstr>eu.europa.europarl-DIN1-2025-0000188647_01.07-pl-01.00_text-xml</vt:lpwstr>
  </property>
</Properties>
</file>