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2A789D" w14:paraId="717305B8" w14:textId="77777777" w:rsidTr="00C85D0F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14:paraId="76D91252" w14:textId="77777777" w:rsidR="00C93A60" w:rsidRPr="009F47ED" w:rsidRDefault="00431E8C" w:rsidP="00C85D0F">
            <w:pPr>
              <w:pStyle w:val="EPName"/>
            </w:pPr>
            <w:r>
              <w:t>Parlament Ewropew</w:t>
            </w:r>
          </w:p>
          <w:p w14:paraId="00A0C784" w14:textId="77777777" w:rsidR="00C93A60" w:rsidRPr="009F47ED" w:rsidRDefault="00431E8C" w:rsidP="009F47ED">
            <w:pPr>
              <w:pStyle w:val="EPTerm"/>
            </w:pPr>
            <w:r>
              <w:t>2019-2024</w:t>
            </w:r>
          </w:p>
        </w:tc>
        <w:tc>
          <w:tcPr>
            <w:tcW w:w="2268" w:type="dxa"/>
            <w:shd w:val="clear" w:color="auto" w:fill="auto"/>
          </w:tcPr>
          <w:p w14:paraId="3312C096" w14:textId="77777777" w:rsidR="00C93A60" w:rsidRPr="009F47ED" w:rsidRDefault="00431E8C" w:rsidP="00C85D0F">
            <w:pPr>
              <w:pStyle w:val="EPLogo"/>
            </w:pPr>
            <w:r w:rsidRPr="009F47ED">
              <w:rPr>
                <w:noProof/>
                <w:lang w:eastAsia="mt-MT"/>
              </w:rPr>
              <w:drawing>
                <wp:inline distT="0" distB="0" distL="0" distR="0" wp14:anchorId="5397CA2F" wp14:editId="01345DC5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4AF5745" w14:textId="77777777" w:rsidR="00E3537C" w:rsidRPr="009F47ED" w:rsidRDefault="00E3537C" w:rsidP="00E3537C">
      <w:pPr>
        <w:pStyle w:val="LineTop"/>
      </w:pPr>
    </w:p>
    <w:p w14:paraId="35B3D832" w14:textId="77777777" w:rsidR="00E3537C" w:rsidRPr="009F47ED" w:rsidRDefault="00431E8C" w:rsidP="00E3537C">
      <w:pPr>
        <w:pStyle w:val="EPBody"/>
      </w:pPr>
      <w:r>
        <w:rPr>
          <w:rStyle w:val="HideTWBExt"/>
          <w:i w:val="0"/>
        </w:rPr>
        <w:t>&lt;Commission&gt;</w:t>
      </w:r>
      <w:r>
        <w:rPr>
          <w:rStyle w:val="HideTWBInt"/>
          <w:color w:val="auto"/>
        </w:rPr>
        <w:t>{LIBE}</w:t>
      </w:r>
      <w:r>
        <w:t>Kumitat għal-Libertajiet Ċivili, il-Ġustizzja u l-Intern</w:t>
      </w:r>
      <w:r>
        <w:rPr>
          <w:rStyle w:val="HideTWBExt"/>
          <w:i w:val="0"/>
        </w:rPr>
        <w:t>&lt;/Commission&gt;</w:t>
      </w:r>
    </w:p>
    <w:p w14:paraId="4F79BFBE" w14:textId="77777777" w:rsidR="00E3537C" w:rsidRPr="009F47ED" w:rsidRDefault="00E3537C" w:rsidP="00E3537C">
      <w:pPr>
        <w:pStyle w:val="LineBottom"/>
      </w:pPr>
    </w:p>
    <w:p w14:paraId="0CBDC41A" w14:textId="77777777" w:rsidR="009F47ED" w:rsidRPr="009F47ED" w:rsidRDefault="00431E8C" w:rsidP="009F47ED">
      <w:pPr>
        <w:pStyle w:val="CoverReference"/>
      </w:pPr>
      <w:r>
        <w:rPr>
          <w:rStyle w:val="HideTWBExt"/>
          <w:b w:val="0"/>
        </w:rPr>
        <w:t>&lt;RefProc&gt;</w:t>
      </w:r>
      <w:r>
        <w:t>2025//2239</w:t>
      </w:r>
      <w:r>
        <w:rPr>
          <w:rStyle w:val="HideTWBExt"/>
          <w:b w:val="0"/>
        </w:rPr>
        <w:t>&lt;/RefProc&gt;&lt;RefTypeProc&gt;</w:t>
      </w:r>
      <w:r>
        <w:t>(INI)</w:t>
      </w:r>
      <w:r>
        <w:rPr>
          <w:rStyle w:val="HideTWBExt"/>
          <w:b w:val="0"/>
        </w:rPr>
        <w:t>&lt;/RefTypeProc&gt;</w:t>
      </w:r>
    </w:p>
    <w:p w14:paraId="6718D862" w14:textId="77777777" w:rsidR="009F47ED" w:rsidRPr="009F47ED" w:rsidRDefault="00431E8C" w:rsidP="009F47ED">
      <w:pPr>
        <w:pStyle w:val="CoverDate"/>
      </w:pPr>
      <w:r>
        <w:rPr>
          <w:rStyle w:val="HideTWBExt"/>
        </w:rPr>
        <w:t>&lt;Date&gt;</w:t>
      </w:r>
      <w:r>
        <w:rPr>
          <w:rStyle w:val="HideTWBInt"/>
          <w:color w:val="auto"/>
        </w:rPr>
        <w:t>{17/11/2025}</w:t>
      </w:r>
      <w:r>
        <w:t>17.11.2025</w:t>
      </w:r>
      <w:r>
        <w:rPr>
          <w:rStyle w:val="HideTWBExt"/>
        </w:rPr>
        <w:t>&lt;/Date&gt;</w:t>
      </w:r>
    </w:p>
    <w:p w14:paraId="3F32179F" w14:textId="77777777" w:rsidR="00100069" w:rsidRPr="009F47ED" w:rsidRDefault="00431E8C">
      <w:pPr>
        <w:pStyle w:val="CoverDocType24a"/>
      </w:pPr>
      <w:r>
        <w:rPr>
          <w:rStyle w:val="HideTWBExt"/>
          <w:b w:val="0"/>
        </w:rPr>
        <w:t>&lt;TitreType&gt;</w:t>
      </w:r>
      <w:r>
        <w:t>ABBOZZ TA’ RAPPORT</w:t>
      </w:r>
      <w:r>
        <w:rPr>
          <w:rStyle w:val="HideTWBExt"/>
          <w:b w:val="0"/>
        </w:rPr>
        <w:t>&lt;/TitreType&gt;</w:t>
      </w:r>
    </w:p>
    <w:p w14:paraId="7FC0F770" w14:textId="77777777" w:rsidR="009F47ED" w:rsidRPr="009F47ED" w:rsidRDefault="00431E8C" w:rsidP="009F47ED">
      <w:pPr>
        <w:pStyle w:val="CoverNormal"/>
      </w:pPr>
      <w:r>
        <w:rPr>
          <w:rStyle w:val="HideTWBExt"/>
        </w:rPr>
        <w:t>&lt;Titre&gt;</w:t>
      </w:r>
      <w:r>
        <w:t>dwar ir-rapport tal-Kummissjoni dwar l-Istat tad-Dritt tal-2025</w:t>
      </w:r>
      <w:r>
        <w:rPr>
          <w:rStyle w:val="HideTWBExt"/>
        </w:rPr>
        <w:t>&lt;/Titre&gt;</w:t>
      </w:r>
    </w:p>
    <w:p w14:paraId="28E18B3C" w14:textId="77777777" w:rsidR="009F47ED" w:rsidRPr="009F47ED" w:rsidRDefault="00431E8C" w:rsidP="009F47ED">
      <w:pPr>
        <w:pStyle w:val="CoverNormal24a"/>
      </w:pPr>
      <w:r>
        <w:rPr>
          <w:rStyle w:val="HideTWBExt"/>
        </w:rPr>
        <w:t>&lt;DocRef&gt;</w:t>
      </w:r>
      <w:r>
        <w:t>(2025/2239(INI))</w:t>
      </w:r>
      <w:r>
        <w:rPr>
          <w:rStyle w:val="HideTWBExt"/>
        </w:rPr>
        <w:t>&lt;/DocRef&gt;</w:t>
      </w:r>
    </w:p>
    <w:p w14:paraId="6FA746E6" w14:textId="77777777" w:rsidR="00100069" w:rsidRPr="009F47ED" w:rsidRDefault="00431E8C">
      <w:pPr>
        <w:pStyle w:val="CoverNormal24a"/>
      </w:pPr>
      <w:r>
        <w:rPr>
          <w:rStyle w:val="HideTWBExt"/>
        </w:rPr>
        <w:t>&lt;Commission&gt;</w:t>
      </w:r>
      <w:r>
        <w:rPr>
          <w:rStyle w:val="HideTWBInt"/>
          <w:color w:val="auto"/>
        </w:rPr>
        <w:t>{LIBE}</w:t>
      </w:r>
      <w:r>
        <w:t>Kumitat għal-Libertajiet Ċivili, il-Ġustizzja u l-Intern</w:t>
      </w:r>
      <w:r>
        <w:rPr>
          <w:rStyle w:val="HideTWBExt"/>
        </w:rPr>
        <w:t>&lt;/Commission&gt;</w:t>
      </w:r>
    </w:p>
    <w:p w14:paraId="7F57D80B" w14:textId="77777777" w:rsidR="009F47ED" w:rsidRPr="009F47ED" w:rsidRDefault="00431E8C" w:rsidP="009F47ED">
      <w:pPr>
        <w:pStyle w:val="CoverNormal24a"/>
      </w:pPr>
      <w:r>
        <w:t xml:space="preserve">Rapporteur: </w:t>
      </w:r>
      <w:r>
        <w:rPr>
          <w:rStyle w:val="HideTWBExt"/>
        </w:rPr>
        <w:t>&lt;Depute&gt;</w:t>
      </w:r>
      <w:r>
        <w:t>Konstantinos Arvanitis</w:t>
      </w:r>
      <w:r>
        <w:rPr>
          <w:rStyle w:val="HideTWBExt"/>
        </w:rPr>
        <w:t>&lt;/Depute&gt;</w:t>
      </w:r>
    </w:p>
    <w:p w14:paraId="68080CD0" w14:textId="77777777" w:rsidR="00E155CA" w:rsidRPr="009F47ED" w:rsidRDefault="00E155CA" w:rsidP="00E155CA">
      <w:pPr>
        <w:pStyle w:val="CoverNormal"/>
      </w:pPr>
      <w:bookmarkStart w:id="0" w:name="DocEPLastPosition"/>
      <w:bookmarkEnd w:id="0"/>
    </w:p>
    <w:p w14:paraId="17E07A48" w14:textId="77777777" w:rsidR="00100069" w:rsidRPr="009F47ED" w:rsidRDefault="00431E8C" w:rsidP="002544DF">
      <w:pPr>
        <w:widowControl/>
        <w:tabs>
          <w:tab w:val="center" w:pos="4677"/>
        </w:tabs>
      </w:pPr>
      <w:r>
        <w:br w:type="page"/>
      </w:r>
      <w:r>
        <w:lastRenderedPageBreak/>
        <w:t>PR_INI</w:t>
      </w:r>
    </w:p>
    <w:p w14:paraId="19BFD328" w14:textId="77777777" w:rsidR="00100069" w:rsidRPr="009F47ED" w:rsidRDefault="00431E8C">
      <w:pPr>
        <w:pStyle w:val="TOCHeading"/>
      </w:pPr>
      <w:r>
        <w:t>WERREJ</w:t>
      </w:r>
    </w:p>
    <w:p w14:paraId="6F146571" w14:textId="77777777" w:rsidR="00100069" w:rsidRPr="009F47ED" w:rsidRDefault="00431E8C">
      <w:pPr>
        <w:pStyle w:val="TOCPage"/>
      </w:pPr>
      <w:r>
        <w:t>Paġna</w:t>
      </w:r>
    </w:p>
    <w:p w14:paraId="43405072" w14:textId="72188E79" w:rsidR="00431E8C" w:rsidRDefault="00431E8C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kern w:val="2"/>
          <w:szCs w:val="24"/>
          <w:lang w:val="en-GB"/>
          <w14:ligatures w14:val="standardContextual"/>
        </w:rPr>
      </w:pPr>
      <w:r w:rsidRPr="004A3D6D">
        <w:rPr>
          <w:b/>
        </w:rPr>
        <w:fldChar w:fldCharType="begin"/>
      </w:r>
      <w:r w:rsidRPr="004A3D6D">
        <w:rPr>
          <w:b/>
        </w:rPr>
        <w:instrText xml:space="preserve"> TOC \t "PageHeading;1" </w:instrText>
      </w:r>
      <w:r w:rsidRPr="004A3D6D">
        <w:rPr>
          <w:b/>
        </w:rPr>
        <w:fldChar w:fldCharType="separate"/>
      </w:r>
      <w:r>
        <w:rPr>
          <w:noProof/>
        </w:rPr>
        <w:t>MOZZJONI GĦAL RIŻOLUZZJONI TAL-PARLAMENT EWROPEW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_Toc215480686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14:paraId="155AF13F" w14:textId="38BA7A9D" w:rsidR="00431E8C" w:rsidRDefault="00431E8C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kern w:val="2"/>
          <w:szCs w:val="24"/>
          <w:lang w:val="en-GB"/>
          <w14:ligatures w14:val="standardContextual"/>
        </w:rPr>
      </w:pPr>
      <w:r>
        <w:rPr>
          <w:noProof/>
        </w:rPr>
        <w:t>NOTA SPJEGATTIVA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_Toc215480687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14:paraId="06AB934C" w14:textId="5CE5AA78" w:rsidR="00100069" w:rsidRPr="009F47ED" w:rsidRDefault="00431E8C" w:rsidP="00431E8C">
      <w:pPr>
        <w:pStyle w:val="PageHeading"/>
      </w:pPr>
      <w:r w:rsidRPr="004A3D6D">
        <w:rPr>
          <w:b w:val="0"/>
        </w:rPr>
        <w:fldChar w:fldCharType="end"/>
      </w:r>
      <w:r>
        <w:br w:type="page"/>
      </w:r>
      <w:bookmarkStart w:id="1" w:name="_Toc215480686"/>
      <w:r>
        <w:t>MOZZJONI GĦAL RIŻOLUZZJONI TAL-PARLAMENT EWROPEW</w:t>
      </w:r>
      <w:bookmarkEnd w:id="1"/>
    </w:p>
    <w:p w14:paraId="7F3E8A5F" w14:textId="77777777" w:rsidR="009F47ED" w:rsidRPr="009F47ED" w:rsidRDefault="00431E8C" w:rsidP="009F47ED">
      <w:pPr>
        <w:pStyle w:val="NormalBold"/>
      </w:pPr>
      <w:r>
        <w:t>dwar ir-rapport tal-Kummissjoni dwar l-Istat tad-Dritt tal-2025</w:t>
      </w:r>
    </w:p>
    <w:p w14:paraId="1D4F4E75" w14:textId="77777777" w:rsidR="009F47ED" w:rsidRPr="009F47ED" w:rsidRDefault="00431E8C" w:rsidP="009F47ED">
      <w:pPr>
        <w:pStyle w:val="NormalBold"/>
      </w:pPr>
      <w:r>
        <w:t>(2025/2239(INI))</w:t>
      </w:r>
    </w:p>
    <w:p w14:paraId="0681A05F" w14:textId="77777777" w:rsidR="009F47ED" w:rsidRPr="009F47ED" w:rsidRDefault="00431E8C" w:rsidP="009F47ED">
      <w:pPr>
        <w:pStyle w:val="EPComma"/>
      </w:pPr>
      <w:r>
        <w:rPr>
          <w:i/>
        </w:rPr>
        <w:t>Il-Parlament Ewropew</w:t>
      </w:r>
      <w:r>
        <w:t>,</w:t>
      </w:r>
    </w:p>
    <w:p w14:paraId="35F20307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t-Trattat dwar l-Unjoni Ewropea (TUE), b’mod partikolari l-Artikolu 2, l-Artikolu 3(1), l-Artikolu 3(3), it-tieni subparagrafu, l-Artikolu 4(3) u l-Artikoli 5, 6, 7, 11, 19 u 49 tiegħu,</w:t>
      </w:r>
    </w:p>
    <w:p w14:paraId="206AE4F5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t-Trattat dwar il-Funzjonament tal-Unjoni Ewropea (TFUE), b’mod partikolari l-artikoli tiegħu rigward ir-rispett u l-protezzjoni u l-promozzjoni tad-demokrazija, l-istat tad-dritt u d-drittijiet fundamentali fl-Unjoni, inklużi l-Artikoli 70, 258, 259, 260, 263, 265 u 267,</w:t>
      </w:r>
    </w:p>
    <w:p w14:paraId="3FDE546F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l-Karta tad-Drittijiet Fundamentali tal-Unjoni Ewropea (il-Karta),</w:t>
      </w:r>
    </w:p>
    <w:p w14:paraId="4F5A0076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l-ġurisprudenza tal-Qorti tal-Ġustizzja tal-Unjoni Ewropea (QĠUE),</w:t>
      </w:r>
    </w:p>
    <w:p w14:paraId="4AD09C69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l-Komunikazzjoni tal-Kummissjoni tat-8 ta’ Lulju 2025 bit-titolu “Rapport dwar l-Istat tad-Dritt tal-2025 – Is-sitwazzjoni tal-istat tad-dritt fl-Unjoni Ewropea” (COM(2025)0900), u l-anness tagħha li fih rakkomandazzjonijiet għall-Istati Membri,</w:t>
      </w:r>
    </w:p>
    <w:p w14:paraId="400D576A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r-Regolament (UE, Euratom) 2020/2092 tal-Parlament Ewropew u tal-Kunsill tas-16 ta’ Diċembru 2020 dwar reġim ġenerali ta’ kundizzjonalità għall-protezzjoni tal-baġit tal-Unjoni</w:t>
      </w:r>
      <w:r>
        <w:rPr>
          <w:vertAlign w:val="superscript"/>
        </w:rPr>
        <w:footnoteReference w:id="1"/>
      </w:r>
      <w:r>
        <w:t xml:space="preserve"> (ir-Regolament dwar il-Kundizzjonalità tal-Istat tad-Dritt),</w:t>
      </w:r>
    </w:p>
    <w:p w14:paraId="5ADF4D3B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r-Regolament (UE) 2021/1060 tal-Parlament Ewropew u tal-Kunsill tal-24 ta’ Ġunju 2021 li jistipula dispożizzjonijiet komuni dwar il-Fond Ewropew għall-Iżvilupp Reġjonali, il-Fond Soċjali Ewropew Plus, il-Fond ta’ Koeżjoni, il-Fond għal Tranżizzjoni Ġusta u l-Fond Ewropew għall-Affarijiet Marittimi, is-Sajd u l-Akkwakultura u r-regoli finanzjarji għalihom u għall-Fond għall-Ażil, il-Migrazzjoni u l-Integrazzjoni, il-Fond għas-Sigurtà Interna u l-Istrument għall-Appoġġ Finanzjarju għall-Ġes</w:t>
      </w:r>
      <w:r>
        <w:t>tjoni tal-Fruntieri u l-Politika dwar il-Viżi</w:t>
      </w:r>
      <w:r>
        <w:rPr>
          <w:vertAlign w:val="superscript"/>
        </w:rPr>
        <w:footnoteReference w:id="2"/>
      </w:r>
      <w:r>
        <w:t xml:space="preserve"> (ir-Regolament dwar id-Dispożizzjonijiet Komuni),</w:t>
      </w:r>
    </w:p>
    <w:p w14:paraId="43A2B477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r-Regolament (UE, Euratom) 2024/2509 tal-Parlament Ewropew u tal-Kunsill tat-23 ta’ Settembru 2024 dwar ir-regoli finanzjarji applikabbli għall-baġit ġenerali tal-Unjoni</w:t>
      </w:r>
      <w:r>
        <w:rPr>
          <w:vertAlign w:val="superscript"/>
        </w:rPr>
        <w:footnoteReference w:id="3"/>
      </w:r>
      <w:r>
        <w:t xml:space="preserve"> (Regolament Finanzjarju), u b’mod partikolari l-Artikolu 6(3) tiegħu,</w:t>
      </w:r>
    </w:p>
    <w:p w14:paraId="53F1FF83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r-Regolament (UE) 2021/692 tal-Parlament Ewropew u tal-Kunsill tat-28 ta’ April 2021 li jistabbilixxi l-Programm dwar iċ-Ċittadini, l-Ugwaljanza, id-Drittijiet u l-Valuri u li jħassar ir-Regolament (UE) Nru 1381/2013 tal-Parlament Ewropew u tal-Kunsill u r-Regolament tal-Kunsill (UE) Nru 390/2014</w:t>
      </w:r>
      <w:r>
        <w:rPr>
          <w:vertAlign w:val="superscript"/>
        </w:rPr>
        <w:footnoteReference w:id="4"/>
      </w:r>
      <w:r>
        <w:t>,</w:t>
      </w:r>
    </w:p>
    <w:p w14:paraId="05E42CF8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l-pakkett ta’ proposti tal-Kummissjoni għal Qafas Finanzjarju Pluriennali 2028-2034,</w:t>
      </w:r>
    </w:p>
    <w:p w14:paraId="1D9DDA8C" w14:textId="77777777" w:rsidR="009F47ED" w:rsidRPr="009F47ED" w:rsidRDefault="00431E8C" w:rsidP="009F47ED">
      <w:pPr>
        <w:pStyle w:val="NormalHanging12a"/>
      </w:pPr>
      <w:r>
        <w:t>–</w:t>
      </w:r>
      <w:r>
        <w:tab/>
        <w:t xml:space="preserve">wara li </w:t>
      </w:r>
      <w:r>
        <w:t>kkunsidra l-istrumenti tan-NU dwar il-protezzjoni tad-drittijiet tal-bniedem u tal-libertajiet fundamentali, bħad-Dikjarazzjoni Universali tad-Drittijiet tal-Bniedem, il-Patt Internazzjonali dwar id-Drittijiet Ċivili u Politiċi (ICCPR), il-Konvenzjoni Internazzjonali dwar l-Eliminazzjoni tal-Forom Kollha ta’ Diskriminazzjoni Razzjali (CERD), il-Konvenzjoni dwar l-Eliminazzjoni ta’ Kull Forma ta’ Diskriminazzjoni kontra n-Nisa (CEDAW) u l-Konvenzjoni dwar id-Drittijiet ta’ Persuni b’Diżabilità (CRPD), id-Dik</w:t>
      </w:r>
      <w:r>
        <w:t>jarazzjoni dwar id-Drittijiet tal-Persuni li jagħmlu parti minn Minoranzi Nazzjonali, Etniċi, Reliġjużi u Lingwistiċi, ir-Rakkomandazzjonijiet tal-Forum tan-NU dwar il-Kwistjonijiet tal-Minoranzi, u r-rakkomandazzjonijiet u r-rapporti tal-Eżami Perjodiku Universali tan-NU, kif ukoll il-ġurisprudenza tal-korpi tat-trattati tan-NU u l-proċeduri speċjali tal-Kunsill tad-Drittijiet tal-Bniedem tan-NU,</w:t>
      </w:r>
    </w:p>
    <w:p w14:paraId="4BD5E607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l-Konvenzjoni Ewropea dwar id-Drittijiet tal-Bniedem (KEDB), il-Karta Soċjali Ewropea, il-ġurisprudenza tal-Qorti Ewropea tad-Drittijiet tal-Bniedem (QEDB) u l-Kumitat Ewropew tad-Drittijiet Soċjali, u l-konvenzjonijiet, ir-rakkomandazzjonijiet, ir-riżoluzzjonijiet, l-opinjonijiet u r-rapporti tal-Assemblea Parlamentari, tal-Kumitat tal-Ministri, tal-Kummissarju għad-Drittijiet tal-Bniedem, tal-Kummissjoni Ewropea kontra r-Razziżmu u l-Intolleranza, tal-Kumitat ta’ Tmexxija dwar il-Ġlieda</w:t>
      </w:r>
      <w:r>
        <w:t xml:space="preserve"> kontra d-Diskriminazzjoni u dwar id-Diversità u l-Inklużjoni, tal-Kummissjoni ta’ Venezja u ta’ korpi oħra tal-Kunsill tal-Ewropa,</w:t>
      </w:r>
    </w:p>
    <w:p w14:paraId="67E68B15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l-Konvenzjoni tal-Kunsill tal-Ewropa dwar il-prevenzjoni u l-ġlieda kontra l-vjolenza kontra n-nisa u l-vjolenza domestika,</w:t>
      </w:r>
    </w:p>
    <w:p w14:paraId="12729E17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l-Karta Ewropea għal-Lingwi Reġjonali jew Minoritarji u l-Konvenzjoni Qafas għall-Ħarsien tal-Minoranzi Nazzjonali tal-Kunsill tal-Ewropa,</w:t>
      </w:r>
    </w:p>
    <w:p w14:paraId="52279CB0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l-memorandum ta’ qbil bejn il-Kunsill tal-Ewropa u l-Unjoni Ewropea tat-23 ta’ Mejju 2007 u l-konklużjonijiet tal-Kunsill tas-17 ta’ Diċembru 2024 dwar il-prijoritajiet tal-UE għall-kooperazzjoni mal-Kunsill tal-Ewropa fl-2025-2026,</w:t>
      </w:r>
    </w:p>
    <w:p w14:paraId="54B2FEF4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l-proposta tal-Kummissjoni tal-20 ta’ Diċembru 2017 għal deċiżjoni tal-Kunsill dwar id-determinazzjoni ta’ riskju ċar ta’ ksur gravi tal-istat tad-dritt mir-Repubblika tal-Polonja (COM(2017)0835), maħruġa f’konformità mal-Artikolu 7(1) tat-TUE,</w:t>
      </w:r>
    </w:p>
    <w:p w14:paraId="71EBA982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r-riżoluzzjoni tiegħu tal-25 ta’ Ottubru 2016 li tinkludi rakkomandazzjonijiet lill-Kummissjoni dwar l-istabbiliment ta’ mekkaniżmu tal-UE dwar id-demokrazija, l-istat tad-dritt u d-drittijiet fundamentali</w:t>
      </w:r>
      <w:r>
        <w:rPr>
          <w:vertAlign w:val="superscript"/>
        </w:rPr>
        <w:footnoteReference w:id="5"/>
      </w:r>
      <w:r>
        <w:t>,</w:t>
      </w:r>
    </w:p>
    <w:p w14:paraId="78D2DC61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r-riżoluzzjoni tiegħu tas-7 ta’ Frar 2018 dwar il-protezzjoni u n-nondiskriminazzjoni fir-rigward tal-minoranzi fl-Istati Membri tal-UE</w:t>
      </w:r>
      <w:r>
        <w:rPr>
          <w:vertAlign w:val="superscript"/>
        </w:rPr>
        <w:footnoteReference w:id="6"/>
      </w:r>
      <w:r>
        <w:t>,</w:t>
      </w:r>
    </w:p>
    <w:p w14:paraId="4C5D74B1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r-riżoluzzjoni tiegħu tal-1 ta’ Marzu 2018 dwar id-deċiżjoni tal-Kummissjoni biex jiġi attivat l-Artikolu 7(1) tat-TUE minħabba s-sitwazzjoni fil-Polonja</w:t>
      </w:r>
      <w:r>
        <w:rPr>
          <w:vertAlign w:val="superscript"/>
        </w:rPr>
        <w:footnoteReference w:id="7"/>
      </w:r>
      <w:r>
        <w:t>,</w:t>
      </w:r>
    </w:p>
    <w:p w14:paraId="38528317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r-riżoluzzjoni tiegħu tad-19 ta’ April 2018 dwar il-ħtieġa li jiġi stabbilit Strument għall-Valuri Ewropej biex jiġu appoġġati l-organizzazzjonijiet tas-soċjetà ċivili li jippromwovu l-valuri fundamentali fl-Unjoni Ewropea fil-livell lokali u nazzjonali</w:t>
      </w:r>
      <w:r>
        <w:rPr>
          <w:vertAlign w:val="superscript"/>
        </w:rPr>
        <w:footnoteReference w:id="8"/>
      </w:r>
      <w:r>
        <w:t>,</w:t>
      </w:r>
    </w:p>
    <w:p w14:paraId="507BEC8F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r-riżoluzzjoni tiegħu tat-12 ta’ Settembru 2018 dwar proposta li titlob lill-Kunsill jiddetermina, skont l-Artikolu 7(1) tat-TUE, l-eżistenza ta’ riskju ċar ta’ ksur serju mill-Ungerija tal-valuri li fuqhom hija bbażata l-Unjoni</w:t>
      </w:r>
      <w:r>
        <w:rPr>
          <w:vertAlign w:val="superscript"/>
        </w:rPr>
        <w:footnoteReference w:id="9"/>
      </w:r>
      <w:r>
        <w:t>,</w:t>
      </w:r>
    </w:p>
    <w:p w14:paraId="3D2F16AC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r-riżoluzzjoni tiegħu tat-13 ta’ Novembru 2018 dwar standards minimi għall-minoranzi fl-UE</w:t>
      </w:r>
      <w:r>
        <w:rPr>
          <w:vertAlign w:val="superscript"/>
        </w:rPr>
        <w:footnoteReference w:id="10"/>
      </w:r>
      <w:r>
        <w:t>,</w:t>
      </w:r>
    </w:p>
    <w:p w14:paraId="52858D77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r-riżoluzzjoni tiegħu tal-14 ta’ Novembru 2018 dwar il-ħtieġa ta’ mekkaniżmu komprensiv tal-UE għall-protezzjoni tad-demokrazija, l-istat tad-dritt u d-drittijiet fundamentali</w:t>
      </w:r>
      <w:r>
        <w:rPr>
          <w:vertAlign w:val="superscript"/>
        </w:rPr>
        <w:footnoteReference w:id="11"/>
      </w:r>
      <w:r>
        <w:t>,</w:t>
      </w:r>
    </w:p>
    <w:p w14:paraId="6890E4EC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r-riżoluzzjoni tiegħu tas-7 ta’ Ottubru 2020 dwar l-istabbiliment ta’ Mekkaniżmu tal-UE dwar id-Demokrazija, l-Istat tad-Dritt u d-Drittijiet Fundamentali</w:t>
      </w:r>
      <w:r>
        <w:rPr>
          <w:vertAlign w:val="superscript"/>
        </w:rPr>
        <w:footnoteReference w:id="12"/>
      </w:r>
      <w:r>
        <w:t>,</w:t>
      </w:r>
    </w:p>
    <w:p w14:paraId="19AB11A5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r-riżoluzzjoni tiegħu tat-8 ta’ Ottubru 2020 dwar l-istat tad-dritt u d-drittijiet fundamentali fil-Bulgarija</w:t>
      </w:r>
      <w:r>
        <w:rPr>
          <w:vertAlign w:val="superscript"/>
        </w:rPr>
        <w:footnoteReference w:id="13"/>
      </w:r>
      <w:r>
        <w:t>,</w:t>
      </w:r>
    </w:p>
    <w:p w14:paraId="52D0AD99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r-riżoluzzjoni tiegħu tat-13 ta’ Novembru 2020 dwar l-impatt tal-miżuri tal-COVID-19 fuq id-demokrazija, l-istat tad-dritt u d-drittijiet fundamentali</w:t>
      </w:r>
      <w:r>
        <w:rPr>
          <w:vertAlign w:val="superscript"/>
        </w:rPr>
        <w:footnoteReference w:id="14"/>
      </w:r>
      <w:r>
        <w:t>,</w:t>
      </w:r>
    </w:p>
    <w:p w14:paraId="2AA0AB70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r-riżoluzzjoni tiegħu tas-17 ta’ Diċembru 2020 dwar l-Inizjattiva taċ-Ċittadini Ewropej “Minority SafePack –</w:t>
      </w:r>
      <w:r>
        <w:tab/>
        <w:t>miljun firma għad-diversità fl-Ewropa”</w:t>
      </w:r>
      <w:r>
        <w:rPr>
          <w:vertAlign w:val="superscript"/>
        </w:rPr>
        <w:footnoteReference w:id="15"/>
      </w:r>
      <w:r>
        <w:t>,</w:t>
      </w:r>
    </w:p>
    <w:p w14:paraId="70DDADE5" w14:textId="77777777" w:rsidR="009F47ED" w:rsidRPr="009F47ED" w:rsidRDefault="00431E8C" w:rsidP="009F47ED">
      <w:pPr>
        <w:pStyle w:val="NormalHanging12a"/>
      </w:pPr>
      <w:r>
        <w:t>–</w:t>
      </w:r>
      <w:r>
        <w:tab/>
        <w:t xml:space="preserve">wara li kkunsidra r-riżoluzzjoni tiegħu tal-10 ta’ Ġunju 2021 dwar is-sitwazzjoni tal-Istat tad-Dritt fl-Unjoni Ewropea u l-applikazzjoni </w:t>
      </w:r>
      <w:r>
        <w:t>tar-Regolament 2020/2092 (UE, Euratom) dwar il-Kundizzjonalità</w:t>
      </w:r>
      <w:r>
        <w:rPr>
          <w:vertAlign w:val="superscript"/>
        </w:rPr>
        <w:footnoteReference w:id="16"/>
      </w:r>
      <w:r>
        <w:t>,</w:t>
      </w:r>
    </w:p>
    <w:p w14:paraId="03650B9A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r-riżoluzzjoni tiegħu tal-24 ta’ Ġunju 2021 dwar ir-Rapport tal-2020 tal-Kummissjoni dwar l-Istat tad-Dritt</w:t>
      </w:r>
      <w:r>
        <w:rPr>
          <w:vertAlign w:val="superscript"/>
        </w:rPr>
        <w:footnoteReference w:id="17"/>
      </w:r>
      <w:r>
        <w:t>,</w:t>
      </w:r>
    </w:p>
    <w:p w14:paraId="567ACB84" w14:textId="77777777" w:rsidR="009F47ED" w:rsidRPr="009F47ED" w:rsidRDefault="00431E8C" w:rsidP="009F47ED">
      <w:pPr>
        <w:pStyle w:val="NormalHanging12a"/>
      </w:pPr>
      <w:r>
        <w:t>–</w:t>
      </w:r>
      <w:r>
        <w:tab/>
        <w:t xml:space="preserve">wara li kkunsidra r-riżoluzzjoni tiegħu tat-8 ta’ </w:t>
      </w:r>
      <w:r>
        <w:t>Lulju 2021 dwar it-tfassil ta’ linji gwida għall-applikazzjoni tar-reġim ġenerali ta’ kundizzjonalità għall-protezzjoni tal-baġit tal-Unjoni</w:t>
      </w:r>
      <w:r>
        <w:rPr>
          <w:vertAlign w:val="superscript"/>
        </w:rPr>
        <w:footnoteReference w:id="18"/>
      </w:r>
      <w:r>
        <w:t>,</w:t>
      </w:r>
    </w:p>
    <w:p w14:paraId="3FDE661D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r-riżoluzzjoni tiegħu tas-16 ta’ Settembru 2021 li tinkludi rakkomandazzjonijiet lill-Kummissjoni dwar l-identifikazzjoni ta’ vjolenza abbażi tal-ġeneru bħala qasam ġdid ta’ kriminalità elenkat fl-Artikolu 83(1) tat-TFUE</w:t>
      </w:r>
      <w:r>
        <w:rPr>
          <w:vertAlign w:val="superscript"/>
        </w:rPr>
        <w:footnoteReference w:id="19"/>
      </w:r>
      <w:r>
        <w:t>,</w:t>
      </w:r>
    </w:p>
    <w:p w14:paraId="5200343C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r-riżoluzzjoni tiegħu tal-11 ta’ Novembru 2021 bit-titolu “dwar it-tisħiħ tad-demokrazija u tal-libertà u l-pluraliżmu tal-midja fl-UE: l-użu indebitu ta’ azzjonijiet fl-ambitu tad-dritt ċivili u kriminali biex jissikktu l-ġurnalisti, l-NGOs u s-soċjetà ċivili”</w:t>
      </w:r>
      <w:r>
        <w:rPr>
          <w:vertAlign w:val="superscript"/>
        </w:rPr>
        <w:footnoteReference w:id="20"/>
      </w:r>
      <w:r>
        <w:t>,</w:t>
      </w:r>
    </w:p>
    <w:p w14:paraId="6CE0C97F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r-riżoluzzjoni tiegħu tal-15 ta’ Diċembru 2021 dwar l-evalwazzjoni tal-miżuri ta’ prevenzjoni biex jiġu evitati l-korruzzjoni, l-infiq irregolari u l-użu ħażin tal-fondi tal-UE u nazzjonali f’każ ta’ fondi ta’ emerġenza u oqsma ta’ nfiq relatati mal-kriżi</w:t>
      </w:r>
      <w:r>
        <w:rPr>
          <w:vertAlign w:val="superscript"/>
        </w:rPr>
        <w:footnoteReference w:id="21"/>
      </w:r>
      <w:r>
        <w:t>,</w:t>
      </w:r>
    </w:p>
    <w:p w14:paraId="069EF5F7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r-riżoluzzjoni tiegħu tat-8 ta’ Marzu 2022 dwar l-ispazju jiċkien tas-soċjetà ċivili fl-Ewropa</w:t>
      </w:r>
      <w:r>
        <w:rPr>
          <w:vertAlign w:val="superscript"/>
        </w:rPr>
        <w:footnoteReference w:id="22"/>
      </w:r>
      <w:r>
        <w:t>,</w:t>
      </w:r>
    </w:p>
    <w:p w14:paraId="1B4EBCB4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r-riżoluzzjoni tiegħu tal-10 ta’ Marzu 2022 dwar l-istat tad-dritt u l-konsegwenzi tad-deċiżjoni tal-QĠUE</w:t>
      </w:r>
      <w:r>
        <w:rPr>
          <w:vertAlign w:val="superscript"/>
        </w:rPr>
        <w:footnoteReference w:id="23"/>
      </w:r>
      <w:r>
        <w:t>,</w:t>
      </w:r>
    </w:p>
    <w:p w14:paraId="36AA132B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r-riżoluzzjoni tiegħu tal-11 ta’ Marzu 2021 dwar il-proklamazzjoni tal-UE bħala Żona ta’ Libertà LGBTIQ</w:t>
      </w:r>
      <w:r>
        <w:rPr>
          <w:vertAlign w:val="superscript"/>
        </w:rPr>
        <w:footnoteReference w:id="24"/>
      </w:r>
      <w:r>
        <w:t>,</w:t>
      </w:r>
    </w:p>
    <w:p w14:paraId="35AE20EE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r-riżoluzzjoni tiegħu tad-19 ta’ Mejju 2022 dwar ir-Rapport tal-Kummissjoni dwar l-Istat tad-Dritt tal-2021</w:t>
      </w:r>
      <w:r>
        <w:rPr>
          <w:vertAlign w:val="superscript"/>
        </w:rPr>
        <w:footnoteReference w:id="25"/>
      </w:r>
      <w:r>
        <w:t>,</w:t>
      </w:r>
    </w:p>
    <w:p w14:paraId="743208CC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r-riżoluzzjoni tiegħu tad-9 ta’ Ġunju 2022 dwar l-istat tad-dritt u l-approvazzjoni potenzjali tal-Pjan Nazzjonali ta’ Rkupru (RRF) tal-Polonja</w:t>
      </w:r>
      <w:r>
        <w:rPr>
          <w:vertAlign w:val="superscript"/>
        </w:rPr>
        <w:footnoteReference w:id="26"/>
      </w:r>
      <w:r>
        <w:t>,</w:t>
      </w:r>
    </w:p>
    <w:p w14:paraId="3E887F1C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r-riżoluzzjoni tiegħu tal-15 ta’ Settembru 2022 dwar is-sitwazzjoni tad-drittijiet fundamentali fl-Unjoni Ewropea fl-2020 u l-2021</w:t>
      </w:r>
      <w:r>
        <w:rPr>
          <w:vertAlign w:val="superscript"/>
        </w:rPr>
        <w:footnoteReference w:id="27"/>
      </w:r>
      <w:r>
        <w:t>,</w:t>
      </w:r>
    </w:p>
    <w:p w14:paraId="15811889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r-riżoluzzjoni tiegħu tal-15 ta’ Settembru 2022 dwar il-proposta għal deċiżjoni tal-Kunsill li tiddetermina, skont l-Artikolu 7(1) tat-Trattat dwar l-Unjoni Ewropea, l-eżistenza ta’ riskju ċar ta’ ksur serju mill-Ungerija tal-valuri li fuqhom hija bbażata l-Unjoni</w:t>
      </w:r>
      <w:r>
        <w:rPr>
          <w:vertAlign w:val="superscript"/>
        </w:rPr>
        <w:footnoteReference w:id="28"/>
      </w:r>
      <w:r>
        <w:t>,</w:t>
      </w:r>
    </w:p>
    <w:p w14:paraId="1496FE90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r-riżoluzzjoni tiegħu tal-20 ta’ Ottubru 2022 dwar l-Istat tad-Dritt f’Malta, ħames snin wara l-assassinju ta’ Daphne Caruana Galizia</w:t>
      </w:r>
      <w:r>
        <w:rPr>
          <w:vertAlign w:val="superscript"/>
        </w:rPr>
        <w:footnoteReference w:id="29"/>
      </w:r>
      <w:r>
        <w:t>,</w:t>
      </w:r>
    </w:p>
    <w:p w14:paraId="7FB09607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r-riżoluzzjoni tiegħu tal-20 ta’ Ottubru 2022 dwar iż-żieda fir-reati ta’ mibegħda kontra persuni LGBTIQ+ fl-Ewropa kollha fid-dawl tal-qtil omofobiku reċenti fis-Slovakkja</w:t>
      </w:r>
      <w:r>
        <w:rPr>
          <w:vertAlign w:val="superscript"/>
        </w:rPr>
        <w:footnoteReference w:id="30"/>
      </w:r>
      <w:r>
        <w:t>,</w:t>
      </w:r>
    </w:p>
    <w:p w14:paraId="347881D4" w14:textId="77777777" w:rsidR="009F47ED" w:rsidRPr="009F47ED" w:rsidRDefault="00431E8C" w:rsidP="009F47ED">
      <w:pPr>
        <w:pStyle w:val="NormalHanging12a"/>
      </w:pPr>
      <w:r>
        <w:t>–</w:t>
      </w:r>
      <w:r>
        <w:tab/>
        <w:t xml:space="preserve">wara li kkunsidra r-riżoluzzjoni tiegħu tal-10 ta’ Novembru 2022 dwar il-ġustizzja razzjali, in-nondiskriminazzjoni u l-ġlieda kontra </w:t>
      </w:r>
      <w:r>
        <w:t>r-razziżmu fl-UE</w:t>
      </w:r>
      <w:r>
        <w:rPr>
          <w:vertAlign w:val="superscript"/>
        </w:rPr>
        <w:footnoteReference w:id="31"/>
      </w:r>
      <w:r>
        <w:t>,</w:t>
      </w:r>
    </w:p>
    <w:p w14:paraId="0E198274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r-riżoluzzjoni tiegħu tal-24 ta’ Novembru 2022 dwar il-valutazzjoni tal-konformità tal-Ungerija mal-kundizzjonijiet tal-istat tad-dritt skont ir-Regolament dwar il-Kundizzjonalità u s-sitwazzjoni attwali tal-RRP Ungeriż</w:t>
      </w:r>
      <w:r>
        <w:rPr>
          <w:vertAlign w:val="superscript"/>
        </w:rPr>
        <w:footnoteReference w:id="32"/>
      </w:r>
      <w:r>
        <w:t>,</w:t>
      </w:r>
    </w:p>
    <w:p w14:paraId="03AE46DB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r-riżoluzzjoni tiegħu tat-30 ta’ Marzu 2023 dwar ir-Rapport tal-2022 dwar l-Istat tad-Dritt – is-sitwazzjoni tal-istat tad-dritt fl-Unjoni Ewropea</w:t>
      </w:r>
      <w:r>
        <w:rPr>
          <w:vertAlign w:val="superscript"/>
        </w:rPr>
        <w:footnoteReference w:id="33"/>
      </w:r>
      <w:r>
        <w:t>,</w:t>
      </w:r>
    </w:p>
    <w:p w14:paraId="4FE0E133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r-riżoluzzjoni tiegħu tat-18 ta’ April 2023 dwar ir-relazzjonijiet istituzzjonali bejn l-UE u l-Kunsill tal-Ewropa</w:t>
      </w:r>
      <w:r>
        <w:rPr>
          <w:vertAlign w:val="superscript"/>
        </w:rPr>
        <w:footnoteReference w:id="34"/>
      </w:r>
      <w:r>
        <w:t>,</w:t>
      </w:r>
    </w:p>
    <w:p w14:paraId="012C50BA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r-riżoluzzjoni tiegħu tas-7 ta’ Frar 2024 dwar l-istat tad-dritt u l-libertà tal-media fil-Greċja</w:t>
      </w:r>
      <w:r>
        <w:rPr>
          <w:vertAlign w:val="superscript"/>
        </w:rPr>
        <w:footnoteReference w:id="35"/>
      </w:r>
      <w:r>
        <w:t>,</w:t>
      </w:r>
    </w:p>
    <w:p w14:paraId="1C2191F7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r-riżoluzzjoni tiegħu tat-28 ta’ Frar 2024 bit-titolu “Ir-Rapport tal-Kummissjoni tal-2023 dwar l-Istat tad-Dritt”</w:t>
      </w:r>
      <w:r>
        <w:rPr>
          <w:vertAlign w:val="superscript"/>
        </w:rPr>
        <w:footnoteReference w:id="36"/>
      </w:r>
      <w:r>
        <w:t>,</w:t>
      </w:r>
    </w:p>
    <w:p w14:paraId="4EE97285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r-riżoluzzjoni tiegħu tad-29 ta’ Frar 2024 dwar l-approfondiment tal-integrazzjoni tal-UE fid-dawl tat-tkabbir futur</w:t>
      </w:r>
      <w:r>
        <w:rPr>
          <w:vertAlign w:val="superscript"/>
        </w:rPr>
        <w:footnoteReference w:id="37"/>
      </w:r>
      <w:r>
        <w:t>,</w:t>
      </w:r>
    </w:p>
    <w:p w14:paraId="6CDB29B9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r-riżoluzzjoni tiegħu tal-1 ta’ Ġunju 2023 dwar il-ksur tal-Istat tad-Dritt u tad-drittijiet fundamentali fl-Ungerija u l-fondi ffriżati tal-UE</w:t>
      </w:r>
      <w:r>
        <w:rPr>
          <w:vertAlign w:val="superscript"/>
        </w:rPr>
        <w:footnoteReference w:id="38"/>
      </w:r>
      <w:r>
        <w:t>,</w:t>
      </w:r>
    </w:p>
    <w:p w14:paraId="2EDC98CB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r-rapport tal-Kumitat ta’ Inkjesta għall-investigazzjoni tal-użu ta’ Pegasus u ta’ software ta’ spjunaġġ għas-sorveljanza ekwivalenti (PEGA) u r-rakkomandazzjoni tiegħu tal-15 ta’ Ġunju 2023 lill-Kunsill Ewropew u lill-Kummissjoni wara l-investigazzjoni ta’ allegati kontravvenzjonijiet u amministrazzjoni ħażina fl-applikazzjoni tad-dritt tal-Unjoni fir-rigward tal-użu tal-Pegasus u ta’ software ta’ spjunaġġ għas-sorveljanza ekwivalenti</w:t>
      </w:r>
      <w:r>
        <w:rPr>
          <w:vertAlign w:val="superscript"/>
        </w:rPr>
        <w:footnoteReference w:id="39"/>
      </w:r>
      <w:r>
        <w:t>,</w:t>
      </w:r>
    </w:p>
    <w:p w14:paraId="5FDE5D84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r-riżoluzzjoni tiegħu tal-11 ta’ Lulju 2023 dwar il-liġi elettorali, il-kumitat investigattiv u l-istat tad-dritt fil-Polonja</w:t>
      </w:r>
      <w:r>
        <w:rPr>
          <w:vertAlign w:val="superscript"/>
        </w:rPr>
        <w:footnoteReference w:id="40"/>
      </w:r>
      <w:r>
        <w:t>,</w:t>
      </w:r>
    </w:p>
    <w:p w14:paraId="70B66C83" w14:textId="77777777" w:rsidR="009F47ED" w:rsidRPr="009F47ED" w:rsidRDefault="00431E8C" w:rsidP="009F47ED">
      <w:pPr>
        <w:pStyle w:val="NormalHanging12a"/>
      </w:pPr>
      <w:r>
        <w:t>–</w:t>
      </w:r>
      <w:r>
        <w:tab/>
        <w:t xml:space="preserve">wara li kkunsidra </w:t>
      </w:r>
      <w:r>
        <w:t>r-riżoluzzjoni tiegħu tad-19 ta’ Ottubru 2023 dwar l-Istat tad-Dritt f’Malta: 6 snin wara l-assassinju ta’ Daphne Caruana Galizia u l-ħtieġa li l-ġurnalisti jiġu protetti</w:t>
      </w:r>
      <w:r>
        <w:rPr>
          <w:vertAlign w:val="superscript"/>
        </w:rPr>
        <w:footnoteReference w:id="41"/>
      </w:r>
      <w:r>
        <w:t>,</w:t>
      </w:r>
    </w:p>
    <w:p w14:paraId="216DDC72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l-komunikazzjoni konġunta tal-Kummissjoni u tar-Rappreżentant Għoli tal-Unjoni għall-Affarijiet Barranin u l-Politika ta’ Sigurtà tas-6 ta’ Diċembru 2023 bit-titolu “Ma hemmx post għall-mibegħda: Ewropa magħquda kontra l-mibegħda” (JOIN(2023)0051),</w:t>
      </w:r>
    </w:p>
    <w:p w14:paraId="0EAEC8D3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r-riżoluzzjoni tiegħu tat-18 ta’ Jannar 2024 dwar is-sitwazzjoni tad-drittijiet fundamentali fl-UE fl-2022 u l-2023</w:t>
      </w:r>
      <w:r>
        <w:rPr>
          <w:vertAlign w:val="superscript"/>
        </w:rPr>
        <w:footnoteReference w:id="42"/>
      </w:r>
      <w:r>
        <w:t>,</w:t>
      </w:r>
    </w:p>
    <w:p w14:paraId="625AFE19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r-riżoluzzjoni tiegħu tat-18 ta’ Jannar 2024 dwar l-estensjoni tal-lista ta’ reati fl-UE għad-diskors ta’ mibegħda u r-reati ta’ mibegħda</w:t>
      </w:r>
      <w:r>
        <w:rPr>
          <w:vertAlign w:val="superscript"/>
        </w:rPr>
        <w:footnoteReference w:id="43"/>
      </w:r>
      <w:r>
        <w:t>,</w:t>
      </w:r>
    </w:p>
    <w:p w14:paraId="57D2EECE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r-riżoluzzjoni tiegħu tal-24 ta’ April 2024 dwar is-seduti ta’ smigħ li għaddejjin skont l-Artikolu 7(1) tat-TUE rigward l-Ungerija biex jissaħħaħ l-istat tad-dritt u l-implikazzjonijiet baġitarji tiegħu</w:t>
      </w:r>
      <w:r>
        <w:rPr>
          <w:vertAlign w:val="superscript"/>
        </w:rPr>
        <w:footnoteReference w:id="44"/>
      </w:r>
      <w:r>
        <w:t>,</w:t>
      </w:r>
    </w:p>
    <w:p w14:paraId="522039FD" w14:textId="77777777" w:rsidR="009F47ED" w:rsidRPr="009F47ED" w:rsidRDefault="00431E8C" w:rsidP="009F47ED">
      <w:pPr>
        <w:pStyle w:val="NormalHanging12a"/>
      </w:pPr>
      <w:r>
        <w:t>–</w:t>
      </w:r>
      <w:r>
        <w:tab/>
        <w:t xml:space="preserve">wara li kkunsidra l-konklużjoni </w:t>
      </w:r>
      <w:r>
        <w:t>tal-proċedura tal-Artikolu 7(1) tat-TUE fir-rigward tal-Polonja, kif imħabbar mill-Kummissjoni fid-29 ta’ Mejju 2024, wara l-passi meħuda mill-Polonja biex terġa’ tiġi rrispettata l-konformità mal-istandards tal-UE fejn jidħol l-istat tad-dritt,</w:t>
      </w:r>
    </w:p>
    <w:p w14:paraId="395D80FE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r-Riżoluzzjoni 2262 (2019) tal-24 ta’ Jannar 2019 tal-Assemblea Parlamentari tal-Kunsill tal-Ewropa dwar il-promozzjoni tad-drittijiet ta’ persuni li jagħmlu parti minn minoranzi nazzjonali,</w:t>
      </w:r>
    </w:p>
    <w:p w14:paraId="532A6132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r-rapporti speċjali tal-Qorti Ewropea tal-Awdituri tas-17 ta’ Diċembru 2024 dwar l-Infurzar tad-Dritt tal-UE (28/2024), tat-22 ta’ Frar 2024 dwar l-Istat tad-Dritt fl-UE (03/2024), u tal-10 ta’ Jannar 2022 dwar l-appoġġ mogħti mill-UE għall-istat tad-dritt fil-Balkani tal-Punent (01/2022), ir-rapport analitiku tagħha tat-28 ta’ Frar 2024 dwar ir-rappurtar mill-Kummissjoni dwar l-istat tad-dritt (02/2024), u r-rapport speċjali dwar it-Trasparenza tal-finanzjament li jingħata mill-UE lill-N</w:t>
      </w:r>
      <w:r>
        <w:t>GOs (11/2025) u r-rakkomandazzjonijiet rispettivi tagħhom,</w:t>
      </w:r>
    </w:p>
    <w:p w14:paraId="1BDF9B99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l-Linji Gwida Politiċi għall-Kummissjoni Ewropea li jmiss 2024-2029, ippreżentati lill-Parlament fit-18 ta’ Lulju 2024 minn Ursula von der Leyen, li dak iż-żmien kienet kandidata għal President tal-Kummissjoni, id-diskors tal-President tal-Kummissjoni dwar l-Istat tal-Unjoni tal-10 ta’ Settembru 2025 fil-Parlament Ewropew u għall-komunikazzjoni tal-Kummissjoni tal-21 ta’ Ottubru 2025 bit-titolu “Programm ta’ ħidma tal-Kummissjoni 2026” (COM(2025)0870),</w:t>
      </w:r>
    </w:p>
    <w:p w14:paraId="6C610DA7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l-istħarriġiet tal-Ewrobarometru tal-2025 dwar il-korruzzjoni, li juru li l-korruzzjoni għadha ta’ tħassib serju għaċ-ċittadini u għan-negozji fl-UE,</w:t>
      </w:r>
    </w:p>
    <w:p w14:paraId="6255AE09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r-rapporti ta’ feedback, ir-rapporti ta’ missjoni, il-mistoqsijiet bil-miktub u t-tweġibiet tal-Grupp ta’ Monitoraġġ tad-Demokrazija, l-Istat tad-Dritt u d-Drittijiet Fundamentali (DRFMG) tiegħu</w:t>
      </w:r>
      <w:r>
        <w:rPr>
          <w:vertAlign w:val="superscript"/>
        </w:rPr>
        <w:footnoteReference w:id="45"/>
      </w:r>
      <w:r>
        <w:t>,</w:t>
      </w:r>
    </w:p>
    <w:p w14:paraId="0C027E8B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l-komunikazzjoni tal-Kummissjoni tat-8 ta’ Ottubru 2025 bit-titolu “Unjoni tal-Ugwaljanza: Strateġija dwar l-Ugwaljanza tal-LGBTIQ+ 2026-2030”,</w:t>
      </w:r>
    </w:p>
    <w:p w14:paraId="56BD43DB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l-komunikazzjoni tal-Kummissjoni tal-4 ta’ Novembru 2025 bit-titolu “Komunikazzjoni dwar il-politika tat-tkabbir tal-UE” (COM(2025)0690) u d-dokumenti ta’ ħidma tal-persunal li jakkumpanjawha (il-Pakkett tat-Tkabbir tal-4 ta’ Novembru 2025),</w:t>
      </w:r>
    </w:p>
    <w:p w14:paraId="35E10C97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l-komunikazzjoni konġunta tal-Kummissjoni u tar-Rappreżentant Għoli tal-Unjoni għall-Affarijiet Barranin u l-Politika ta’ Sigurtà tat-12 ta’ Novembru 2025 bit-titolu “It-Tarka Ewropea għad-Demokrazija: It-Tisħiħ ta’ Demokraziji b’Saħħithom u Reżiljenti”, (JOIN(2025)0791) u l-komunikazzjoni tal-Kummissjoni tat-12 ta’ Novembru 2025 bit-titolu “Strateġija tal-UE għas-Soċjetà Ċivili” (COM(2025)0790),</w:t>
      </w:r>
    </w:p>
    <w:p w14:paraId="15ACC324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l-Artikolu 55 tar-Regoli ta’ Proċedura tiegħu,</w:t>
      </w:r>
    </w:p>
    <w:p w14:paraId="1FC6FE18" w14:textId="77777777" w:rsidR="009F47ED" w:rsidRPr="009F47ED" w:rsidRDefault="00431E8C" w:rsidP="009F47ED">
      <w:pPr>
        <w:pStyle w:val="NormalHanging12a"/>
      </w:pPr>
      <w:r>
        <w:t>–</w:t>
      </w:r>
      <w:r>
        <w:tab/>
        <w:t>wara li kkunsidra l-opinjonijiet tal-Kumitat għall-Affarijiet Legali u tal-Kumitat għall-Baġits u l-opinjoni tas-Sottokumitat għad-Drittijiet tal-Bniedem,</w:t>
      </w:r>
    </w:p>
    <w:p w14:paraId="300E932B" w14:textId="77777777" w:rsidR="009F47ED" w:rsidRPr="009F47ED" w:rsidRDefault="00431E8C" w:rsidP="009F47ED">
      <w:pPr>
        <w:pStyle w:val="NormalHanging12a"/>
      </w:pPr>
      <w:r>
        <w:t>–</w:t>
      </w:r>
      <w:r>
        <w:tab/>
      </w:r>
      <w:bookmarkStart w:id="2" w:name="_Hlk214535015"/>
      <w:r>
        <w:t>wara li kkunsidra r-rapport tal-Kumitat għal-Libertajiet Ċivili, il-Ġustizzja u l-Intern (A10</w:t>
      </w:r>
      <w:r>
        <w:noBreakHyphen/>
        <w:t>0000/2025),</w:t>
      </w:r>
      <w:bookmarkEnd w:id="2"/>
    </w:p>
    <w:p w14:paraId="3A30B828" w14:textId="77777777" w:rsidR="009F47ED" w:rsidRPr="009F47ED" w:rsidRDefault="00431E8C" w:rsidP="009F47ED">
      <w:pPr>
        <w:pStyle w:val="NormalHanging12a"/>
      </w:pPr>
      <w:r>
        <w:t>A.</w:t>
      </w:r>
      <w:r>
        <w:tab/>
        <w:t>billi l-UE hija bbażata fuq il-valuri tar-rispett għad-dinjità tal-bniedem, il-libertà, id-demokrazija, l-ugwaljanza, l-istat tad-dritt u r-rispett għad-drittijiet tal-bniedem, inklużi d-drittijiet ta’ persuni li jagħmlu parti minn minoranzi, kif stipulati fl-Artikolu 2 tat-TUE u kif riflessi fil-Karta u minquxa fit-trattati internazzjonali dwar id-drittijiet tal-bniedem; billi l-Karta hija parti mil-liġi primarja tal-UE; billi dawn il-valuri huma kondiviżi mill-Istati Membri kollha u għandhom jiġu appoġġj</w:t>
      </w:r>
      <w:r>
        <w:t>ati u promossi attivament mill-UE u minn kull Stat Membru b’mod individwali fil-politiki kollha tagħhom, kemm internament kif ukoll esternament b’mod konsistenti; billi kwalunkwe mminar ta’ dawn il-valuri joħloq theddida sistemika għad-drittijiet u l-libertajiet tal-persuni li jgħixu fl-UE;</w:t>
      </w:r>
    </w:p>
    <w:p w14:paraId="7A15A0B5" w14:textId="77777777" w:rsidR="009F47ED" w:rsidRPr="009F47ED" w:rsidRDefault="00431E8C" w:rsidP="009F47ED">
      <w:pPr>
        <w:pStyle w:val="NormalHanging12a"/>
      </w:pPr>
      <w:r>
        <w:t>B.</w:t>
      </w:r>
      <w:r>
        <w:tab/>
        <w:t>billi l-UE ma tistax tinjora d-dimensjonijiet soċjali u tad-drittijiet fundamentali li fuqhom inbniet; billi n-nuqqasijiet persistenti fil-protezzjoni tad-drittijiet ekonomiċi u soċjali jridu jitqiesu bħala parti integrali mit-theddida sistemika għall-valuri tal-Artikolu 2 tat-TUE;</w:t>
      </w:r>
    </w:p>
    <w:p w14:paraId="2AC33937" w14:textId="77777777" w:rsidR="009F47ED" w:rsidRPr="009F47ED" w:rsidRDefault="00431E8C" w:rsidP="009F47ED">
      <w:pPr>
        <w:pStyle w:val="NormalHanging12a"/>
      </w:pPr>
      <w:r>
        <w:t>C.</w:t>
      </w:r>
      <w:r>
        <w:tab/>
        <w:t>billi fl-2025 l-UE ffaċċjat sfidi serji u multidimensjonali fl-Istati Membri tagħha fir-rigward tal-protezzjoni tal-istat tad-dritt, tad-demokrazija u tad-drittijiet fundamentali, li huma kollha intrinsikament konnessi;</w:t>
      </w:r>
    </w:p>
    <w:p w14:paraId="1E76B764" w14:textId="77777777" w:rsidR="009F47ED" w:rsidRPr="009F47ED" w:rsidRDefault="00431E8C" w:rsidP="009F47ED">
      <w:pPr>
        <w:pStyle w:val="NormalHanging12a"/>
      </w:pPr>
      <w:r>
        <w:t>D.</w:t>
      </w:r>
      <w:r>
        <w:tab/>
        <w:t>billi l-programm ta’ ħidma tal-Kummissjoni għall-2026 jissottolinja l-ħtieġa ta’ ċiklu annwali integrat tal-istat tad-dritt b’pass komuni, bi stadji importanti ċari u bil-kontribut attiv tal-istituzzjonijiet kollha tal-UE; billi r-rispett għall-istat tad-dritt jibqa’ imperattiv biex jiġu ssalvagwardjati l-fondi kollha tal-UE;</w:t>
      </w:r>
    </w:p>
    <w:p w14:paraId="4B664AF3" w14:textId="77777777" w:rsidR="009F47ED" w:rsidRPr="009F47ED" w:rsidRDefault="00431E8C" w:rsidP="009F47ED">
      <w:pPr>
        <w:pStyle w:val="NormalHanging12a"/>
      </w:pPr>
      <w:r>
        <w:t>E.</w:t>
      </w:r>
      <w:r>
        <w:tab/>
        <w:t>billi r-rapport annwali tal-Kummissjoni dwar l-istat tad-dritt għandu jkopri wkoll l-istituzzjonijiet, il-korpi u l-organi tal-UE, sabiex jipprovdi valutazzjoni trasparenti tal-konformità tagħhom mal-istandards tal-istat tad-dritt;</w:t>
      </w:r>
    </w:p>
    <w:p w14:paraId="2E561B07" w14:textId="77777777" w:rsidR="009F47ED" w:rsidRPr="009F47ED" w:rsidRDefault="00431E8C" w:rsidP="009F47ED">
      <w:pPr>
        <w:pStyle w:val="NormalHanging12a"/>
        <w:rPr>
          <w:b/>
          <w:i/>
          <w:iCs/>
        </w:rPr>
      </w:pPr>
      <w:r>
        <w:rPr>
          <w:b/>
          <w:i/>
        </w:rPr>
        <w:t>Sistemi tal-ġustizzja</w:t>
      </w:r>
    </w:p>
    <w:p w14:paraId="3857B1B6" w14:textId="77777777" w:rsidR="009F47ED" w:rsidRPr="009F47ED" w:rsidRDefault="00431E8C" w:rsidP="009F47ED">
      <w:pPr>
        <w:pStyle w:val="NormalHanging12a"/>
      </w:pPr>
      <w:r>
        <w:t>1.</w:t>
      </w:r>
      <w:r>
        <w:tab/>
        <w:t>Jistieden lill-Istati Membri jieħdu l-miżuri meħtieġa biex jiżguraw li s-sistemi ġudizzjarji jkunu indipendenti u li jkun hemm aċċess għal għajnuna legali mingħajr ħlas, biex b’hekk jiggarantixxu l-aċċess ugwali għall-ġustizzja għal kulħadd, u jtenni l-ħtieġa ta’ azzjonijiet konkreti biex jittejjeb l-aċċess, speċifikament għall-gruppi emarġinati u vulnerabbli;</w:t>
      </w:r>
    </w:p>
    <w:p w14:paraId="1749689D" w14:textId="77777777" w:rsidR="009F47ED" w:rsidRPr="009F47ED" w:rsidRDefault="00431E8C" w:rsidP="009F47ED">
      <w:pPr>
        <w:pStyle w:val="NormalHanging12a"/>
      </w:pPr>
      <w:r>
        <w:t>2.</w:t>
      </w:r>
      <w:r>
        <w:tab/>
        <w:t>Jistieden lill-Istati Membri jimplimentaw fil-pront is-sentenzi pendenti tal-QĠUE u tal-QEDB u jissuġġerixxi li tiġi stabbilita unità ta’ monitoraġġ biex timmonitorja l-implimentazzjoni tas-sentenzi tal-QĠUE u tal-QEDB relatati mad-demokrazija, l-istat tad-dritt u d-drittijiet fundamentali fil-pajjiżi tal-UE, u jintegraw bis-sħiħ is-sejbiet tal-unità ta’ monitoraġġ fir-rapport annwali dwar l-istat tad-dritt;</w:t>
      </w:r>
    </w:p>
    <w:p w14:paraId="763F0C2C" w14:textId="77777777" w:rsidR="009F47ED" w:rsidRPr="009F47ED" w:rsidRDefault="00431E8C" w:rsidP="009F47ED">
      <w:pPr>
        <w:pStyle w:val="NormalHanging12a"/>
      </w:pPr>
      <w:r>
        <w:t>3.</w:t>
      </w:r>
      <w:r>
        <w:tab/>
        <w:t>Jissottolinja r-rabta ċara bejn ir-rigress tal-istat tad-dritt u l-ksur serju tad-drittijiet fundamentali u tal-minoranzi, inkluż l-użu eċċessiv tal-forza mill-infurzar tal-liġi, in-nuqqas ta’ proċess ġust għad-detenuti, l-inċitament politiku jew istituzzjonali għall-mibegħda, is-setgħat ta’ sorveljanza sproporzjonati, u l-miżuri restrittivi mmirati lejn l-organizzazzjonijiet tas-soċjetà ċivili; jemmen bis-sħiħ li l-Kummissjoni għandha tivvaluta sa liema punt l-Istati Membri jindirizzaw dawn il-kwistjoniji</w:t>
      </w:r>
      <w:r>
        <w:t>et sabiex tiżgura sistema ġudizzjarja aċċessibbli, effettiva u imparzjali;</w:t>
      </w:r>
    </w:p>
    <w:p w14:paraId="6BC2FC94" w14:textId="77777777" w:rsidR="009F47ED" w:rsidRPr="009F47ED" w:rsidRDefault="00431E8C" w:rsidP="009F47ED">
      <w:pPr>
        <w:pStyle w:val="NormalHanging12a"/>
      </w:pPr>
      <w:r>
        <w:t>4.</w:t>
      </w:r>
      <w:r>
        <w:tab/>
        <w:t>Jistieden lill-Kummissjoni tindirizza l-kundizzjonijiet fil-ħabsijiet bħala punt ta’ tħassib li għandu x’jaqsam mal-istat tad-dritt, fid-dawl ta’ affollament eċċessiv mifrux, kundizzjonijiet tal-għajxien inadegwati u rati ta’ suwiċidju li qed jiżdiedu, li jimminaw id-drittijiet fundamentali tad-detenuti fis-sistemi penitenzjarji tal-Istati Membri;</w:t>
      </w:r>
    </w:p>
    <w:p w14:paraId="326098B3" w14:textId="77777777" w:rsidR="009F47ED" w:rsidRPr="009F47ED" w:rsidRDefault="00431E8C" w:rsidP="009F47ED">
      <w:pPr>
        <w:pStyle w:val="NormalHanging12a"/>
        <w:rPr>
          <w:b/>
        </w:rPr>
      </w:pPr>
      <w:r>
        <w:rPr>
          <w:b/>
          <w:i/>
        </w:rPr>
        <w:t>Qafas kontra l-korruzzjoni</w:t>
      </w:r>
    </w:p>
    <w:p w14:paraId="3ECEEA43" w14:textId="77777777" w:rsidR="009F47ED" w:rsidRPr="009F47ED" w:rsidRDefault="00431E8C" w:rsidP="009F47ED">
      <w:pPr>
        <w:pStyle w:val="NormalHanging12a"/>
      </w:pPr>
      <w:r>
        <w:t>5.</w:t>
      </w:r>
      <w:r>
        <w:tab/>
        <w:t>Itenni li l-korruzzjoni hija theddida serja għad-demokrazija, għall-istat tad-dritt u għat-trattament ġust taċ-ċittadini kollha;</w:t>
      </w:r>
    </w:p>
    <w:p w14:paraId="22FDE103" w14:textId="77777777" w:rsidR="009F47ED" w:rsidRPr="009F47ED" w:rsidRDefault="00431E8C" w:rsidP="009F47ED">
      <w:pPr>
        <w:pStyle w:val="NormalHanging12a"/>
      </w:pPr>
      <w:r>
        <w:t>6.</w:t>
      </w:r>
      <w:r>
        <w:tab/>
        <w:t>Jistieden lill-Istati Membri, lill-pajjiżi kandidati u lill-pajjiżi kandidati potenzjali, kif ukoll lill-istituzzjonijiet, il-korpi, u l-organi tal-UE, isaħħu l-miżuri preventivi kontra l-korruzzjoni, inklużi l-ġestjoni trasparenti tal-fondi tal-UE, il-kodiċijiet ta’ kondotta għall-uffiċjali pubbliċi, id-dikjarazzjonijiet obbligatorji tal-assi, ir-regoli dwar il-kunflitt ta’ interess, is-sistemi ta’ twissija bikrija u l-limitazzjonijiet fuq il-prattiki ta’ revolving door;</w:t>
      </w:r>
    </w:p>
    <w:p w14:paraId="00ADED4F" w14:textId="77777777" w:rsidR="009F47ED" w:rsidRPr="009F47ED" w:rsidRDefault="00431E8C" w:rsidP="009F47ED">
      <w:pPr>
        <w:pStyle w:val="NormalHanging12a"/>
      </w:pPr>
      <w:r>
        <w:t>7.</w:t>
      </w:r>
      <w:r>
        <w:tab/>
        <w:t>Jistieden lill-Istati Membri jiggarantixxu l-indipendenza u l-imparzjalità tal-bordijiet tad-dixxiplina, tas-servizzi tal-prosekuzzjoni, tal-aġenziji kontra l-korruzzjoni u tal-ġudikatura, u li dawn jiġu allokati ammont adegwat ta’ riżorsi;</w:t>
      </w:r>
    </w:p>
    <w:p w14:paraId="2B75B289" w14:textId="77777777" w:rsidR="009F47ED" w:rsidRPr="009F47ED" w:rsidRDefault="00431E8C" w:rsidP="009F47ED">
      <w:pPr>
        <w:pStyle w:val="NormalHanging12a"/>
      </w:pPr>
      <w:r>
        <w:t>8.</w:t>
      </w:r>
      <w:r>
        <w:tab/>
        <w:t>Jisħaq li l-istat tad-dritt jirrikjedi li l-uffiċjali pubbliċi jaġixxu b’mod trasparenti u fl-interess pubbliku, mingħajr abbuż tal-poter jew teħid ta’ deċiżjonijiet b’mod arbitrarju; jistieden lill-Istati Membri jippromwovu kultura ta’ integrità permezz ta’ taħriġ regolari kontra l-korruzzjoni għall-uffiċjali pubbliċi, l-infurzar tal-liġi u l-ġudikatura, u billi jinvolvu b’mod attiv lis-soċjetà ċivili fil-monitoraġġ tal-azzjonijiet tal-gvern;</w:t>
      </w:r>
    </w:p>
    <w:p w14:paraId="5D4F0C82" w14:textId="77777777" w:rsidR="009F47ED" w:rsidRPr="009F47ED" w:rsidRDefault="00431E8C" w:rsidP="009F47ED">
      <w:pPr>
        <w:pStyle w:val="NormalHanging12a"/>
      </w:pPr>
      <w:r>
        <w:t>9.</w:t>
      </w:r>
      <w:r>
        <w:tab/>
        <w:t>Iħeġġeġ lill-Istati Membri jiżguraw li jitwettqu investigazzjonijiet fil-pront, bir-reqqa u imparzjali ta’ każijiet ta’ korruzzjoni, bi prijorità partikolari mogħtija lil każijiet li jinvolvu uffiċjali ta’ livell għoli, sabiex jiġi ssalvagwardjat l-istat tad-dritt, tinżamm il-fiduċja pubblika u jiġi żgurat l-obbligu ta’ rendikont fil-livelli kollha tal-gvern;</w:t>
      </w:r>
    </w:p>
    <w:p w14:paraId="3C9FBB4B" w14:textId="77777777" w:rsidR="009F47ED" w:rsidRPr="009F47ED" w:rsidRDefault="00431E8C" w:rsidP="009F47ED">
      <w:pPr>
        <w:pStyle w:val="NormalHanging12a"/>
      </w:pPr>
      <w:r>
        <w:t>10.</w:t>
      </w:r>
      <w:r>
        <w:tab/>
        <w:t xml:space="preserve">Jistieden lill-Istati Membri </w:t>
      </w:r>
      <w:r>
        <w:t>jipproteġu lill-whistleblowers u lill-ġurnalisti li jirrapportaw dwar il-korruzzjoni jew dwar il-ġestjoni ħażina tal-fondi tal-UE, billi jiżguraw li jkun hemm mezzi ta’ rapportar kunfidenzjali, rimedji effettivi kontra r-ritaljazzjoni, u l-protezzjoni tal-ġurnaliżmu investigattiv u tal-libertà tal-espressjoni;</w:t>
      </w:r>
    </w:p>
    <w:p w14:paraId="56E10928" w14:textId="77777777" w:rsidR="009F47ED" w:rsidRPr="009F47ED" w:rsidRDefault="00431E8C" w:rsidP="009F47ED">
      <w:pPr>
        <w:pStyle w:val="NormalHanging12a"/>
        <w:rPr>
          <w:b/>
        </w:rPr>
      </w:pPr>
      <w:r>
        <w:rPr>
          <w:b/>
          <w:i/>
        </w:rPr>
        <w:t>Il-protezzjoni tal-ġurnalisti, u l-pluraliżmu u l-libertà tal-media</w:t>
      </w:r>
    </w:p>
    <w:p w14:paraId="1229265D" w14:textId="77777777" w:rsidR="009F47ED" w:rsidRPr="009F47ED" w:rsidRDefault="00431E8C" w:rsidP="009F47ED">
      <w:pPr>
        <w:pStyle w:val="NormalHanging12a"/>
      </w:pPr>
      <w:r>
        <w:t>11.</w:t>
      </w:r>
      <w:r>
        <w:tab/>
        <w:t>Jemmen bis-sħiħ li l-assassinazzjoni tal-ġurnalisti investigattivi tikkostitwixxi attakk dirett fuq l-istat tad-dritt, peress li mhux biss jimmina l-kapaċità taċ-ċittadini u tal-istituzzjonijiet li jżommu lil dawk fil-poter responsabbli għal għemilhom, iżda tirrappreżenta wkoll waħda mill-aktar forom estremi ta’ ċensura, li toħloq theddida diretta għal-libertà tal-espressjoni u għall-funzjonament tal-istituzzjonijiet demokratiċi;</w:t>
      </w:r>
    </w:p>
    <w:p w14:paraId="4FB187AA" w14:textId="77777777" w:rsidR="009F47ED" w:rsidRPr="009F47ED" w:rsidRDefault="00431E8C" w:rsidP="009F47ED">
      <w:pPr>
        <w:pStyle w:val="NormalHanging12a"/>
      </w:pPr>
      <w:r>
        <w:t>12.</w:t>
      </w:r>
      <w:r>
        <w:tab/>
        <w:t>Jikkundanna bis-sħiħ is-sorveljanza tal-ġurnalisti, b’mod partikolari permezz ta’ software ta’ spjunaġġ; jibqa’ diżappuntat bir-rifjut tal-Kummissjoni li timplimenta r-rakkomandazzjonijiet kollha tal-Kumitat ta’ Inkjesta tal-Parlament dwar l-użu tal-Pegasus u ta’ software ta’ spjunaġġ ekwivalenti, u jqis dan bħala nuqqas ta’ aġir;</w:t>
      </w:r>
    </w:p>
    <w:p w14:paraId="68AE6257" w14:textId="77777777" w:rsidR="009F47ED" w:rsidRPr="009F47ED" w:rsidRDefault="00431E8C" w:rsidP="009F47ED">
      <w:pPr>
        <w:pStyle w:val="NormalHanging12a"/>
      </w:pPr>
      <w:r>
        <w:t>13.</w:t>
      </w:r>
      <w:r>
        <w:tab/>
        <w:t>Jibqa’ mħasseb ħafna li s-sjieda tal-media, kemm jekk f’idejn pubbliċi kif ukoll jekk f’idejn privati, għadha kkonċentrata ħafna f’ħafna Stati Membri, li joħloq riskju għad-diversità tal-informazzjoni u tal-fehmiet; jistieden lill-Istati Membri jadottaw oqfsa leġiżlattivi biex jipprevjenu l-konċentrazzjoni orizzontali, jiżguraw it-trasparenza tas-sjieda u tal-maniġment, u jiggarantixxu li jkun hemm sorveljanza indipendenti u mekkaniżmi ta’ konformità biex jissalvagwardjaw l-indipendenza editorjali u ġurnal</w:t>
      </w:r>
      <w:r>
        <w:t>istika u r-rwol tal-media bħala għassies pubbliku;</w:t>
      </w:r>
    </w:p>
    <w:p w14:paraId="04FF9ECB" w14:textId="77777777" w:rsidR="009F47ED" w:rsidRPr="009F47ED" w:rsidRDefault="00431E8C" w:rsidP="009F47ED">
      <w:pPr>
        <w:pStyle w:val="NormalHanging12a"/>
      </w:pPr>
      <w:r>
        <w:t>14.</w:t>
      </w:r>
      <w:r>
        <w:tab/>
        <w:t xml:space="preserve">Jistieden lill-Istati Membri u lill-pajjiżi kandidati </w:t>
      </w:r>
      <w:r>
        <w:t>jiżguraw il-protezzjoni tal-ġurnalisti u ta’ professjonisti oħra tal-media fl-UE f’konformità mar-rakkomandazzjonijiet tal-Kummissjoni 2021/1534</w:t>
      </w:r>
      <w:r>
        <w:rPr>
          <w:rStyle w:val="FootnoteReference"/>
        </w:rPr>
        <w:footnoteReference w:id="46"/>
      </w:r>
      <w:r>
        <w:t xml:space="preserve"> u 2022/758</w:t>
      </w:r>
      <w:r>
        <w:rPr>
          <w:rStyle w:val="FootnoteReference"/>
        </w:rPr>
        <w:footnoteReference w:id="47"/>
      </w:r>
      <w:r>
        <w:t>;</w:t>
      </w:r>
      <w:bookmarkStart w:id="3" w:name="_Hlk212396285"/>
    </w:p>
    <w:p w14:paraId="5D7B7689" w14:textId="77777777" w:rsidR="009F47ED" w:rsidRPr="009F47ED" w:rsidRDefault="00431E8C" w:rsidP="009F47ED">
      <w:pPr>
        <w:pStyle w:val="NormalHanging12a"/>
      </w:pPr>
      <w:r>
        <w:t>15.</w:t>
      </w:r>
      <w:r>
        <w:tab/>
        <w:t>Jistieden lill-Istati Membri jimplimentaw bis-sħiħ id-Direttiva kontra s-SLAPP</w:t>
      </w:r>
      <w:r>
        <w:rPr>
          <w:rStyle w:val="FootnoteReference"/>
        </w:rPr>
        <w:footnoteReference w:id="48"/>
      </w:r>
      <w:r>
        <w:t>;</w:t>
      </w:r>
      <w:bookmarkEnd w:id="3"/>
    </w:p>
    <w:p w14:paraId="647F46BA" w14:textId="77777777" w:rsidR="009F47ED" w:rsidRPr="009F47ED" w:rsidRDefault="00431E8C" w:rsidP="009F47ED">
      <w:pPr>
        <w:pStyle w:val="NormalHanging12a"/>
      </w:pPr>
      <w:r>
        <w:t>16.</w:t>
      </w:r>
      <w:r>
        <w:tab/>
        <w:t>Jistieden lill-Kummissjoni tivvaluta jekk is-sanzjonijiet tal-UE biex jiġġieldu d-diżinformazzjoni jikkonformawx mar-rekwiżit tal-proporzjonalità skont id-dritt tal-UE u mal-Artikolu 11 tal-Karta; jemmen bis-sħiħ li d-dritt li wieħed jinstema’ jrid jiġi ggarantit qabel ma tali miżuri jiġu applikati mill-Kunsill, speċjalment fejn id-drittijiet taċ-ċittadini tal-UE, b’mod partikolari l-ġurnalisti, jirriskjaw li jiġu mminati;</w:t>
      </w:r>
    </w:p>
    <w:p w14:paraId="01C92910" w14:textId="77777777" w:rsidR="009F47ED" w:rsidRPr="009F47ED" w:rsidRDefault="00431E8C" w:rsidP="009F47ED">
      <w:pPr>
        <w:pStyle w:val="NormalHanging12a"/>
        <w:rPr>
          <w:b/>
          <w:i/>
          <w:iCs/>
        </w:rPr>
      </w:pPr>
      <w:r>
        <w:rPr>
          <w:b/>
          <w:i/>
        </w:rPr>
        <w:t>Spazju tas-soċjetà ċivili</w:t>
      </w:r>
    </w:p>
    <w:p w14:paraId="1D38F5F9" w14:textId="77777777" w:rsidR="009F47ED" w:rsidRPr="009F47ED" w:rsidRDefault="00431E8C" w:rsidP="009F47ED">
      <w:pPr>
        <w:pStyle w:val="NormalHanging12a"/>
      </w:pPr>
      <w:r>
        <w:t>17.</w:t>
      </w:r>
      <w:r>
        <w:tab/>
        <w:t>Jenfasizza r-rwol kruċjali tal-organizzazzjonijiet ta’ bażi u tal-komunità, tat-trade unions, tal-gruppi attivisti, tad-difensuri tad-drittijiet tal-bniedem u tal-organizzazzjonijiet mhux governattivi (NGOs) fil-promozzjoni u d-difiża tad-demokrazija, l-ugwaljanza, l-istat tad-dritt u d-drittijiet fundamentali, u biex jiżguraw l-obbligu ta’ rendikont għall-azzjonijiet statali u privati;</w:t>
      </w:r>
    </w:p>
    <w:p w14:paraId="2D411CEA" w14:textId="77777777" w:rsidR="009F47ED" w:rsidRPr="009F47ED" w:rsidRDefault="00431E8C" w:rsidP="009F47ED">
      <w:pPr>
        <w:pStyle w:val="NormalHanging12a"/>
      </w:pPr>
      <w:r>
        <w:t>18.</w:t>
      </w:r>
      <w:r>
        <w:tab/>
        <w:t>Jikkundanna l-attakk bla preċedent u intensifikat fuq l-ispazju ċiviku madwar l-UE, b’restrizzjonijiet notevoli fuq l-ispazju għas-soċjetà ċivili u d-dritt għal għaqda paċifika li qed jiġu osservati f’diversi Stati Membri; jemmen bis-sħiħ li x-xejra globali lejn rigress demokratiku u l-erożjoni tal-istat tad-dritt, kif ukoll it-titolizzazzjoni tal-aġendi, intensifikaw ir-restrizzjonijiet fuq id-dritt għal għaqda paċifika; iħeġġeġ lill-Istati Membri joħolqu ambjent sikur u abilitanti li jiggarantixxi l-libe</w:t>
      </w:r>
      <w:r>
        <w:t>rtà ta’ għaqda;</w:t>
      </w:r>
    </w:p>
    <w:p w14:paraId="35FF041E" w14:textId="77777777" w:rsidR="009F47ED" w:rsidRPr="009F47ED" w:rsidRDefault="00431E8C" w:rsidP="009F47ED">
      <w:pPr>
        <w:pStyle w:val="NormalHanging12a"/>
      </w:pPr>
      <w:r>
        <w:t>19.</w:t>
      </w:r>
      <w:r>
        <w:tab/>
        <w:t>Jistieden lill-Istati Membri u lill-Kummissjoni jtejbu l-ambjent legali għas-soċjetà ċivili billi jiżguraw li kwalunkwe miżura li tirrestrinġi d-dritt tal-assoċjazzjonijiet biex wieħed ifittex, jiżgura u juża riżorsi, inklużi riżorsi barranin, trid issegwi wieħed mill-għanijiet leġittimi skont l-Artikolu 11(2) tal-KEDB;</w:t>
      </w:r>
    </w:p>
    <w:p w14:paraId="134DB4D7" w14:textId="77777777" w:rsidR="009F47ED" w:rsidRPr="009F47ED" w:rsidRDefault="00431E8C" w:rsidP="009F47ED">
      <w:pPr>
        <w:pStyle w:val="NormalHanging12a"/>
      </w:pPr>
      <w:r>
        <w:t>20.</w:t>
      </w:r>
      <w:r>
        <w:tab/>
        <w:t>Huwa mħasseb dwar ir-restrizzjonijiet legali u finanzjarji li qed jiżdiedu, il-kampanji ta’ malafama, u l-kriminalizzazzjoni tal-organizzazzjonijiet tas-soċjetà ċivili u tad-difensuri tad-drittijiet tal-bniedem; jisħaq li r-rekwiżiti ta’ rappurtar għall-NGOs ma għandhomx jaqbżu dawk li huma strettament meħtieġa u proporzjonati mal-għanijiet speċifiċi segwiti;</w:t>
      </w:r>
    </w:p>
    <w:p w14:paraId="271F4997" w14:textId="77777777" w:rsidR="009F47ED" w:rsidRPr="009F47ED" w:rsidRDefault="00431E8C" w:rsidP="009F47ED">
      <w:pPr>
        <w:pStyle w:val="NormalHanging12a"/>
      </w:pPr>
      <w:r>
        <w:t>21.</w:t>
      </w:r>
      <w:r>
        <w:tab/>
        <w:t>Jistieden lill-Istati Membri u lill-Kummissjoni jiżguraw l-allokazzjoni ta’ riżorsi finanzjarji adegwati għall-organizzazzjonijiet tas-soċjetà ċivili u għad-difensuri tad-drittijiet tal-bniedem; jistieden lill-Istati Membri jipprovdu protezzjoni effettiva għad-difensuri tad-drittijiet tal-bniedem, inklużi mekkaniżmi ta’ rispons rapidu għat-theddid;</w:t>
      </w:r>
    </w:p>
    <w:p w14:paraId="7656E325" w14:textId="77777777" w:rsidR="009F47ED" w:rsidRPr="009F47ED" w:rsidRDefault="00431E8C" w:rsidP="009F47ED">
      <w:pPr>
        <w:pStyle w:val="NormalHanging12a"/>
        <w:rPr>
          <w:b/>
          <w:i/>
          <w:iCs/>
        </w:rPr>
      </w:pPr>
      <w:r>
        <w:rPr>
          <w:b/>
          <w:i/>
        </w:rPr>
        <w:t>Drittijiet fundamentali</w:t>
      </w:r>
    </w:p>
    <w:p w14:paraId="7E54F29B" w14:textId="77777777" w:rsidR="009F47ED" w:rsidRPr="009F47ED" w:rsidRDefault="00431E8C" w:rsidP="009F47ED">
      <w:pPr>
        <w:pStyle w:val="NormalHanging12a"/>
      </w:pPr>
      <w:r>
        <w:t>22.</w:t>
      </w:r>
      <w:r>
        <w:tab/>
        <w:t>Jilqa’ l-istrateġija dwar l-ugwaljanza tal-LGBTIQ+ 2026-2030 u jħeġġeġ lill-Kummissjoni tippreżenta proposta għall-projbizzjoni vinkolanti fl-UE tal-prattiki ta’ konverżjoni fl-Istati Membri kollha;</w:t>
      </w:r>
    </w:p>
    <w:p w14:paraId="1BEC215E" w14:textId="77777777" w:rsidR="009F47ED" w:rsidRPr="009F47ED" w:rsidRDefault="00431E8C" w:rsidP="009F47ED">
      <w:pPr>
        <w:pStyle w:val="NormalHanging12a"/>
      </w:pPr>
      <w:r>
        <w:t>23.</w:t>
      </w:r>
      <w:r>
        <w:tab/>
        <w:t>Huwa mħasseb ħafna dwar il-miżuri diskriminatorji introdotti f’xi Stati Membri bl-iskuża tal-ġlieda kontra l-“propaganda LGBTIQ” u l-“ideoloġija tal-ġeneru”; jisħaq li l-Kummissjoni trid taġixxi malajr u b’mod deċiżiv meta l-Istati Membri jevitaw id-dritt tal-UE, b’mod partikolari l-Karta;</w:t>
      </w:r>
    </w:p>
    <w:p w14:paraId="4CC8CCC5" w14:textId="77777777" w:rsidR="009F47ED" w:rsidRPr="009F47ED" w:rsidRDefault="00431E8C" w:rsidP="009F47ED">
      <w:pPr>
        <w:pStyle w:val="NormalHanging12a"/>
      </w:pPr>
      <w:r>
        <w:t>24.</w:t>
      </w:r>
      <w:r>
        <w:tab/>
        <w:t>Jistieden lill-Istati Membri kollha jipproteġu d-drittijiet tal-LGBTIQ+ f’konformità mad-dritt tal-UE, mal-Karta, u mal-ġurisprudenza tal-QĠUE u tal-QEDB; ifakkar li f’diversi Stati Membri għadhom jippersistu ostakli legali għar-rikonoxximent ta’ sħubijiet jew ta’ paternità bejn persuni tal-istess sess minn pajjiżi differenti, u li dan jikser il-prinċipji tal-moviment liberu u tan-nondiskriminazzjoni;</w:t>
      </w:r>
    </w:p>
    <w:p w14:paraId="4E646F31" w14:textId="77777777" w:rsidR="009F47ED" w:rsidRPr="009F47ED" w:rsidRDefault="00431E8C" w:rsidP="009F47ED">
      <w:pPr>
        <w:pStyle w:val="NormalHanging12a"/>
      </w:pPr>
      <w:r>
        <w:t>25.</w:t>
      </w:r>
      <w:r>
        <w:tab/>
        <w:t>Huwa mħasseb ħafna dwar iż-żieda fil-livelli ta’ razziżmu u ksenofobija madwar l-UE; jikkundanna l-inċidenti ta’ reati ta’ mibegħda u d-diskors ta’ mibegħda mmotivati mir-razziżmu, mill-ksenofobija jew mill-intolleranza reliġjuża, jew minn preġudizzju kontra d-diżabbiltà, l-orjentazzjoni sesswali, l-identità tal-ġeneru jew l-istatus ta’ minoranza ta’ persuna; jistieden lill-Kummissjoni u lill-Istati Membri jadottaw u jimplimentaw miżuri effettivi biex jiġġieldu l-forom kollha ta’ razziżmu, bl-inklużjoni sħ</w:t>
      </w:r>
      <w:r>
        <w:t>iħa tas-soċjetà ċivili u bil-kontribut tal-partijiet ikkonċernati rilevanti, bħall-Aġenzija tal-UE għad-Drittijiet Fundamentali;</w:t>
      </w:r>
    </w:p>
    <w:p w14:paraId="7E0A8B88" w14:textId="77777777" w:rsidR="009F47ED" w:rsidRPr="009F47ED" w:rsidRDefault="00431E8C" w:rsidP="009F47ED">
      <w:pPr>
        <w:pStyle w:val="NormalHanging12a"/>
      </w:pPr>
      <w:r>
        <w:t>26.</w:t>
      </w:r>
      <w:r>
        <w:tab/>
        <w:t>Jikkundanna l-fatt li wħud mill-Istati Membri adottaw liġijiet, politiki u prattiki li jimminaw il-protezzjoni effettiva tad-drittijiet fundamentali tar-rifuġjati, tal-persuni li jfittxu l-ażil u tal-migranti, fuq l-art u fuq il-baħar; jistieden lill-Kummissjoni u lill-Istati Membri jpoġġu d-drittijiet fundamentali tal-migranti, tal-persuni li jfittxu l-ażil u tar-rifuġjati, kif ukoll il-prinċipju tal-kondiviżjoni tar-responsabbiltà, fil-qofol tal-politiki tagħhom dwar il-migrazzjoni u l-ażil, biex jiżgura</w:t>
      </w:r>
      <w:r>
        <w:t>w li d-drittijiet tal-persuni għall-ażil u għall-protezzjoni internazzjonali jiġu rispettati;</w:t>
      </w:r>
    </w:p>
    <w:p w14:paraId="7597CD59" w14:textId="77777777" w:rsidR="009F47ED" w:rsidRPr="009F47ED" w:rsidRDefault="00431E8C" w:rsidP="009F47ED">
      <w:pPr>
        <w:pStyle w:val="NormalHanging12a"/>
      </w:pPr>
      <w:r>
        <w:t>27.</w:t>
      </w:r>
      <w:r>
        <w:tab/>
        <w:t>Jilqa’ d-deċiżjoni tal-Kummissjoni li żżomm il-proposta tagħha għal direttiva dwar it-trattament ugwali</w:t>
      </w:r>
      <w:r>
        <w:rPr>
          <w:rStyle w:val="FootnoteReference"/>
        </w:rPr>
        <w:footnoteReference w:id="49"/>
      </w:r>
      <w:r>
        <w:t xml:space="preserve"> u jħeġġeġ lill-Kunsill jiffinalizzaha u jadottaha mingħajr aktar dewmien;</w:t>
      </w:r>
    </w:p>
    <w:p w14:paraId="5BADD3BB" w14:textId="77777777" w:rsidR="009F47ED" w:rsidRPr="009F47ED" w:rsidRDefault="00431E8C" w:rsidP="009F47ED">
      <w:pPr>
        <w:pStyle w:val="NormalHanging12a"/>
      </w:pPr>
      <w:r>
        <w:t>28.</w:t>
      </w:r>
      <w:r>
        <w:tab/>
        <w:t>Jistieden lill-Kummissjoni u lill-Istati Membri jieħdu azzjoni effettiva kontra l-vjolenza abbażi tal-ġeneru, li għandha tiżdied mal-lista ta’ “reati tal-UE”, u jitlob proposta leġiżlattiva tal-UE dwar il-ġlieda kontra l-istupru kif definit min-nuqqas ta’ kunsens;</w:t>
      </w:r>
    </w:p>
    <w:p w14:paraId="36A08546" w14:textId="77777777" w:rsidR="009F47ED" w:rsidRPr="009F47ED" w:rsidRDefault="00431E8C" w:rsidP="009F47ED">
      <w:pPr>
        <w:pStyle w:val="NormalHanging12a"/>
      </w:pPr>
      <w:r>
        <w:t>29.</w:t>
      </w:r>
      <w:r>
        <w:tab/>
        <w:t>Itenni t-talba tiegħu li l-aċċess għal abort sikur u legali jiġi minqux fil-Karta;</w:t>
      </w:r>
    </w:p>
    <w:p w14:paraId="4725AE30" w14:textId="77777777" w:rsidR="009F47ED" w:rsidRPr="009F47ED" w:rsidRDefault="00431E8C" w:rsidP="009F47ED">
      <w:pPr>
        <w:pStyle w:val="NormalHanging12a"/>
        <w:rPr>
          <w:b/>
          <w:i/>
          <w:iCs/>
        </w:rPr>
      </w:pPr>
      <w:r>
        <w:rPr>
          <w:b/>
          <w:i/>
        </w:rPr>
        <w:t>L-istat tad-dritt u l-baġit tal-UE</w:t>
      </w:r>
    </w:p>
    <w:p w14:paraId="0B984686" w14:textId="77777777" w:rsidR="009F47ED" w:rsidRPr="009F47ED" w:rsidRDefault="00431E8C" w:rsidP="009F47ED">
      <w:pPr>
        <w:pStyle w:val="NormalHanging12a"/>
      </w:pPr>
      <w:r>
        <w:t>30.</w:t>
      </w:r>
      <w:r>
        <w:tab/>
        <w:t>Huwa mħasseb ħafna dwar il-ksur tad-drittijiet fundamentali ffaċilitat mill-użu tal-fondi tal-UE jew marbut miegħu f’xi Stati Membri, b’mod partikolari fl-oqsma tal-akkomodazzjoni u tas-segregazzjoni fl-edukazzjoni, tal-kundizzjonijiet ta’ akkoljenza għal dawk li jfittxu l-ażil, tal-istituzzjonalizzazzjoni tal-persuni b’diżabilità u tat-tfal, u ta’ ċerti inizjattivi ta’ riġenerazzjoni urbana; jistieden lill-Kummissjoni tinkludi rakkomandazzjonijiet li jindirizzaw dan il-ksur fir-rapport annwali tagħha dwar</w:t>
      </w:r>
      <w:r>
        <w:t xml:space="preserve"> l-istat tad-dritt; jipproponi li jiġi allokat sehem speċifiku tal-fondi tal-UE għall-monitoraġġ indipendenti tal-azzjonijiet iffinanzjati mill-UE, inklużi valutazzjonijiet tal-impatti legali u fuq id-drittijiet fundamentali tagħhom, kif ukoll għar-riċerka legali, il-litigazzjoni strateġika u l-evalwazzjoni indipendenti ta’ ksur potenzjali, b’involviment qawwi tal-organizzazzjonijiet tas-soċjetà ċivili;</w:t>
      </w:r>
    </w:p>
    <w:p w14:paraId="6BD64969" w14:textId="77777777" w:rsidR="009F47ED" w:rsidRPr="009F47ED" w:rsidRDefault="00431E8C" w:rsidP="009F47ED">
      <w:pPr>
        <w:pStyle w:val="NormalHanging12a"/>
      </w:pPr>
      <w:r>
        <w:t>31.</w:t>
      </w:r>
      <w:r>
        <w:tab/>
        <w:t xml:space="preserve">Jinsisti li l-miżuri meħtieġa </w:t>
      </w:r>
      <w:r>
        <w:t>għar-rilaxx tal-finanzjament tal-UE, kif definiti mid-deċiżjonijiet rilevanti meħuda skont ir-Regolament dwar Dispożizzjonijiet Komuni, ir-Regolament dwar il-Faċilità għall-Irkupru u r-Reżiljenza</w:t>
      </w:r>
      <w:r>
        <w:rPr>
          <w:rStyle w:val="FootnoteReference"/>
        </w:rPr>
        <w:footnoteReference w:id="50"/>
      </w:r>
      <w:r>
        <w:t xml:space="preserve"> u r-Regolament dwar il-Kundizzjonalità tal-Istat tad-Dritt, iridu jiġu vvalutati b’mod koerenti bħala pakkett integrali, u li l-ebda pagament ma għandu jsir sakemm jippersistu n-nuqqasijiet; jemmen li l-Kummissjoni għandha tieħu azzjoni ulterjuri skont ir-Regolament dwar il-Kundizzjonalità tal-Istat tad-Dritt fir-rigward ta’ ksur ieħor tal-istat tad-dritt, bħal dak relatat mal-ġudikatura;</w:t>
      </w:r>
    </w:p>
    <w:p w14:paraId="16CB2CF8" w14:textId="77777777" w:rsidR="009F47ED" w:rsidRPr="009F47ED" w:rsidRDefault="00431E8C" w:rsidP="009F47ED">
      <w:pPr>
        <w:pStyle w:val="NormalHanging12a"/>
      </w:pPr>
      <w:r>
        <w:t>32.</w:t>
      </w:r>
      <w:r>
        <w:tab/>
        <w:t>Jilqa’ s-suġġeriment fil-proposta tal-Kummissjoni għall-qafas finanzjarju pluriennali 2028-2034 li kważi nofs il-fondi jsiru kundizzjonali fuq il-konformità mal-istat tad-dritt u mal-Karta qabel l-approvazzjoni tagħhom;</w:t>
      </w:r>
    </w:p>
    <w:p w14:paraId="0B88E842" w14:textId="77777777" w:rsidR="009F47ED" w:rsidRPr="009F47ED" w:rsidRDefault="00431E8C" w:rsidP="009F47ED">
      <w:pPr>
        <w:pStyle w:val="NormalHanging12a"/>
        <w:rPr>
          <w:b/>
          <w:i/>
          <w:iCs/>
        </w:rPr>
      </w:pPr>
      <w:r>
        <w:rPr>
          <w:b/>
          <w:i/>
        </w:rPr>
        <w:t>L-istat tad-dritt u d-dimensjoni tas-suq uniku</w:t>
      </w:r>
    </w:p>
    <w:p w14:paraId="1E42EE5E" w14:textId="77777777" w:rsidR="009F47ED" w:rsidRPr="009F47ED" w:rsidRDefault="00431E8C" w:rsidP="009F47ED">
      <w:pPr>
        <w:pStyle w:val="NormalHanging12a"/>
      </w:pPr>
      <w:r>
        <w:t>33.</w:t>
      </w:r>
      <w:r>
        <w:tab/>
        <w:t>Jirrikonoxxi li ġiet inkluża dimensjoni tas-suq uniku fir-rapport dwar l-istat tad-dritt biex jiġu indirizzati kwistjonijiet tal-istat tad-dritt li jaffettwaw l-ambjent ekonomiku ġenerali, il-kumpaniji u l-ħaddiema, bl-għan li jiġi żgurat li d-drittijiet jiġu difiżi, il-korruzzjoni tiġi kkastigata, u l-kuntratti jiġu infurzati; jisħaq li sistema tal-ġustizzja li tiffunzjona, qafas b’saħħtu kontra l-korruzzjoni, il-pluraliżmu tal-media, u l-kontrokontrolli adegwati kollha għandhom impatt ekonomiku u jinfluw</w:t>
      </w:r>
      <w:r>
        <w:t>enzaw il-funzjonament bla xkiel tas-suq uniku; jipproponi li fil-valutazzjoni tagħha l-Kummissjoni tinvolvi saħansitra aktar lill-partijiet ikkonċernati u lill-organizzazzjonijiet tas-soċjetà ċivili, inklużi t-trade unions;</w:t>
      </w:r>
    </w:p>
    <w:p w14:paraId="08BF3D15" w14:textId="77777777" w:rsidR="009F47ED" w:rsidRPr="009F47ED" w:rsidRDefault="00431E8C" w:rsidP="009F47ED">
      <w:pPr>
        <w:pStyle w:val="NormalHanging12a"/>
      </w:pPr>
      <w:r>
        <w:t>34.</w:t>
      </w:r>
      <w:r>
        <w:tab/>
        <w:t>Jemmen li l-integrazzjoni tad-dimensjoni tas-suq uniku għandha tikkomplementa, pjuttost milli tinjora, oqsma fundamentali bħall-ispazju ċiviku, il-konformità mad-drittijiet fundamentali u l-libertà tal-media, li għandhom jiġu rikonoxxuti bħala pilastri ewlenin fir-rapport;</w:t>
      </w:r>
    </w:p>
    <w:p w14:paraId="2B96F332" w14:textId="77777777" w:rsidR="009F47ED" w:rsidRPr="009F47ED" w:rsidRDefault="00431E8C" w:rsidP="009F47ED">
      <w:pPr>
        <w:pStyle w:val="NormalHanging12a"/>
        <w:rPr>
          <w:b/>
          <w:i/>
          <w:iCs/>
        </w:rPr>
      </w:pPr>
      <w:r>
        <w:rPr>
          <w:b/>
          <w:i/>
        </w:rPr>
        <w:t>L-istat tad-dritt fil-qalba tal-proċess tat-tkabbir u l-azzjoni esterna tal-UE</w:t>
      </w:r>
    </w:p>
    <w:p w14:paraId="58FC9137" w14:textId="77777777" w:rsidR="009F47ED" w:rsidRPr="009F47ED" w:rsidRDefault="00431E8C" w:rsidP="009F47ED">
      <w:pPr>
        <w:pStyle w:val="NormalHanging12a"/>
      </w:pPr>
      <w:r>
        <w:t>35.</w:t>
      </w:r>
      <w:r>
        <w:tab/>
        <w:t>Itenni li l-valuri minquxa fl-Artikolu 2 tat-TUE jridu jiġu rispettati mhux biss mill-Istati Membri attwali iżda wkoll mill-membri futuri tal-UE matul il-proċess ta’ adeżjoni; iħeġġeġ evalwazzjoni mill-qrib tal-istat tad-dritt fil-pajjiżi kollha fi proċess ta’ adeżjoni; iħeġġeġ lill-Kummissjoni tipprovdi rakkomandazzjonijiet konkreti lill-pajjiżi tal-adeżjoni dwar is-sitwazzjoni tal-istat tad-dritt, u tiżgura l-allinjament mar-rapport dwar it-tkabbir;</w:t>
      </w:r>
    </w:p>
    <w:p w14:paraId="6C5BD2D4" w14:textId="77777777" w:rsidR="009F47ED" w:rsidRPr="009F47ED" w:rsidRDefault="00431E8C" w:rsidP="009F47ED">
      <w:pPr>
        <w:pStyle w:val="NormalHanging12a"/>
        <w:rPr>
          <w:b/>
          <w:i/>
          <w:iCs/>
        </w:rPr>
      </w:pPr>
      <w:r>
        <w:rPr>
          <w:b/>
          <w:i/>
        </w:rPr>
        <w:t>It-titjib tal-proċess ta’ rappurtar tal-Kummissjoni</w:t>
      </w:r>
    </w:p>
    <w:p w14:paraId="19B405C8" w14:textId="77777777" w:rsidR="009F47ED" w:rsidRPr="009F47ED" w:rsidRDefault="00431E8C" w:rsidP="009F47ED">
      <w:pPr>
        <w:pStyle w:val="NormalHanging12a"/>
      </w:pPr>
      <w:r>
        <w:t>36.</w:t>
      </w:r>
      <w:r>
        <w:tab/>
        <w:t>Jistieden lill-Kummissjoni tkun aktar trasparenti dwar il-kriterji li tuża biex tagħżel l-informazzjoni mis-soċjetà ċivili, il-korpi internazzjonali, l-awtoritajiet nazzjonali, u partijiet ikkonċernati oħra fil-proċess tar-rappurtar; jinnota li l-proċess ta’ konsultazzjoni jista’ jissaħħaħ billi jiġi żgurat segwitu xieraq mal-atturi tas-soċjetà ċivili dwar il-kontribut li jipprovdu, u jinsisti li l-proċess ta’ rapportar għandu jkun ibbażat fuq l-evidenza, trasparenti u mhux partiġġjan;</w:t>
      </w:r>
    </w:p>
    <w:p w14:paraId="2A4E7963" w14:textId="77777777" w:rsidR="009F47ED" w:rsidRPr="009F47ED" w:rsidRDefault="00431E8C" w:rsidP="009F47ED">
      <w:pPr>
        <w:pStyle w:val="NormalHanging12a"/>
      </w:pPr>
      <w:r>
        <w:t>37.</w:t>
      </w:r>
      <w:r>
        <w:tab/>
        <w:t xml:space="preserve">Jisħaq li l-Grupp ta’ Monitoraġġ tad-Demokrazija, l-Istat tad-Dritt u d-Drittijiet Fundamentali (DRFMG) tal-Kumitat għal-Libertajiet Ċivili, il-Ġustizzja u l-Intern tal-Parlament bagħat diversi delegazzjonijiet </w:t>
      </w:r>
      <w:r>
        <w:rPr>
          <w:i/>
        </w:rPr>
        <w:t>ad hoc</w:t>
      </w:r>
      <w:r>
        <w:t xml:space="preserve"> f’xi Stati Membri f’dawn l-aħħar snin, u li l-qagħda tal-istat tad-dritt, tad-demokrazija u tad-drittijiet fundamentali ġiet ivvalutata li turi nuqqasijiet akbar minn dawk enfasizzati fir-rapporti tal-Kummissjoni; jemmen li l-eżerċizzju ta’ monitoraġġ tad-DRFMG għandu jitqies kif xieraq fil-q</w:t>
      </w:r>
      <w:r>
        <w:t>afas tal-proċedura ta’ konsultazzjoni u fl-abbozzar sussegwenti tar-rapport;</w:t>
      </w:r>
    </w:p>
    <w:p w14:paraId="1F93997E" w14:textId="77777777" w:rsidR="009F47ED" w:rsidRPr="009F47ED" w:rsidRDefault="00431E8C" w:rsidP="009F47ED">
      <w:pPr>
        <w:pStyle w:val="NormalHanging12a"/>
      </w:pPr>
      <w:r>
        <w:t>38.</w:t>
      </w:r>
      <w:r>
        <w:tab/>
        <w:t>Itenni l-ħtieġa li jkun involut korp ta’ monitoraġġ indipendenti, magħmul minn esperti legali, akkademiċi u tad-drittijiet tal-bniedem indipendenti, fl-abbozzar tar-rapport; jistieden lill-Kummissjoni ssaħħaħ il-kooperazzjoni mal-UE u mal-korpi internazzjonali;</w:t>
      </w:r>
    </w:p>
    <w:p w14:paraId="7C743808" w14:textId="77777777" w:rsidR="009F47ED" w:rsidRPr="009F47ED" w:rsidRDefault="00431E8C" w:rsidP="009F47ED">
      <w:pPr>
        <w:pStyle w:val="NormalHanging12a"/>
      </w:pPr>
      <w:r>
        <w:t>39.</w:t>
      </w:r>
      <w:r>
        <w:tab/>
        <w:t>Jemmen li l-Kummissjoni għandha tkun aktar ċara fl-identifikazzjoni u l-artikolazzjoni tat-trajettorja li kull Stat Membru jinsab fuqha, inklużi s-sinjali ta’ twissija bikrija u l-identifikazzjoni ta’ kwistjonijiet serji u sistemiċi, u jisħaq li l-Kummissjoni għandha tiżgura l-koerenza bejn il-kwistjonijiet identifikati u r-rakkomandazzjonijiet maħruġa;</w:t>
      </w:r>
    </w:p>
    <w:p w14:paraId="11969321" w14:textId="77777777" w:rsidR="009F47ED" w:rsidRPr="009F47ED" w:rsidRDefault="00431E8C" w:rsidP="009F47ED">
      <w:pPr>
        <w:pStyle w:val="NormalHanging12a"/>
      </w:pPr>
      <w:r>
        <w:t>40.</w:t>
      </w:r>
      <w:r>
        <w:tab/>
        <w:t>Jistieden lill-Kummissjoni toħroġ rakkomandazzjonijiet li huma aktar operattivi, filwaqt li tiddistingwi dawk relatati ma’ kwistjonijiet serji u sistemiċi, u tistabbilixxi miżuri, skedi ta’ żmien u punti ta’ riferiment konkreti għall-implimentazzjoni tagħhom mill-Istati Membri;</w:t>
      </w:r>
    </w:p>
    <w:p w14:paraId="58971528" w14:textId="77777777" w:rsidR="009F47ED" w:rsidRPr="009F47ED" w:rsidRDefault="00431E8C" w:rsidP="009F47ED">
      <w:pPr>
        <w:pStyle w:val="NormalHanging12a"/>
      </w:pPr>
      <w:r>
        <w:t>41.</w:t>
      </w:r>
      <w:r>
        <w:tab/>
        <w:t>Jitlob lill-Kummissjoni ssaħħaħ il-mekkaniżmu ta’ segwitu għar-rakkomandazzjonijiet mhux implimentati billi torbothom b’mod aktar dirett mal-għodod ta’ infurzar eżistenti, inklużi l-proċedimenti ta’ ksur u l-kundizzjonalità tal-baġit;</w:t>
      </w:r>
    </w:p>
    <w:p w14:paraId="371373E7" w14:textId="77777777" w:rsidR="009F47ED" w:rsidRPr="009F47ED" w:rsidRDefault="00431E8C" w:rsidP="009F47ED">
      <w:pPr>
        <w:pStyle w:val="NormalHanging12a"/>
        <w:rPr>
          <w:b/>
        </w:rPr>
      </w:pPr>
      <w:r>
        <w:rPr>
          <w:b/>
          <w:i/>
        </w:rPr>
        <w:t>Rakkomandazzjonijiet orizzontali</w:t>
      </w:r>
    </w:p>
    <w:p w14:paraId="00522CA1" w14:textId="77777777" w:rsidR="009F47ED" w:rsidRPr="009F47ED" w:rsidRDefault="00431E8C" w:rsidP="009F47ED">
      <w:pPr>
        <w:pStyle w:val="NormalHanging12a"/>
      </w:pPr>
      <w:r>
        <w:t>42.</w:t>
      </w:r>
      <w:r>
        <w:tab/>
        <w:t>Jemmen li għandhom jissaħħu d-djalogu u l-kooperazzjoni interistituzzjonali fil-livell tal-UE dwar l-istat tad-dritt; jiddispjaċih għall-fatt li l-Kummissjoni u l-Kunsill s’issa rrifjutaw l-offerta tiegħu li jidħlu fi ftehim interistituzzjonali dwar id-demokrazija, l-istat tad-dritt u d-drittijiet fundamentali; jafferma mill-ġdid ir-rieda tiegħu li jerġa’ jibda t-taħditiet dwar dan il-ftehim;</w:t>
      </w:r>
    </w:p>
    <w:p w14:paraId="6B86C971" w14:textId="77777777" w:rsidR="009F47ED" w:rsidRPr="009F47ED" w:rsidRDefault="00431E8C" w:rsidP="009F47ED">
      <w:pPr>
        <w:pStyle w:val="NormalHanging12a"/>
      </w:pPr>
      <w:r>
        <w:t>43.</w:t>
      </w:r>
      <w:r>
        <w:tab/>
        <w:t>Itenni l-istedina tiegħu lill-Kummissjoni biex tespandi l-ambitu tar-rapport ħalli jkopri l-aspetti kollha tal-Artikolu 2 tat-TUE, u biex tinkludi indikaturi usa’, bħall-indipendenza tal-media, ir-rwol tas-soċjetà ċivili, id-drittijiet fundamentali, il-libertà akkademika u artistika, l-ugwaljanza bejn il-ġeneri, il-protezzjoni tal-minoranzi u tal-gruppi vulnerabbli, ir-rispett għad-dritt internazzjonali, l-elezzjonijiet ħielsa u ġusti, u l-funzjonament tal-istituzzjonijiet demokratiċi;</w:t>
      </w:r>
    </w:p>
    <w:p w14:paraId="2CEAF3A8" w14:textId="77777777" w:rsidR="009F47ED" w:rsidRPr="009F47ED" w:rsidRDefault="00431E8C" w:rsidP="009F47ED">
      <w:pPr>
        <w:pStyle w:val="NormalHanging12a"/>
      </w:pPr>
      <w:r>
        <w:t>44.</w:t>
      </w:r>
      <w:r>
        <w:tab/>
        <w:t>Jemmen bis-sħiħ li l-istituzzjonijiet tal-UE jridu jissodisfaw l-obbligi tagħhom rigward l-istat tad-dritt, u jissottolinja li l-valutazzjoni tal-aderenza tal-istituzzjonijiet tal-UE mal-valuri minquxa fl-Artikolu 2 tat-TUE, inkluża l-konsistenza interna tal-Unjoni fid-difiża ta’ dawn il-valuri fil-politiki u fl-azzjonijiet esterni kollha tagħha, hija essenzjali sabiex jiġu ssalvagwardjati l-kredibbiltà u l-leġittimità tal-UE;</w:t>
      </w:r>
    </w:p>
    <w:p w14:paraId="4C9242C8" w14:textId="77777777" w:rsidR="009F47ED" w:rsidRPr="009F47ED" w:rsidRDefault="00431E8C" w:rsidP="009F47ED">
      <w:pPr>
        <w:pStyle w:val="NormalHanging12a"/>
      </w:pPr>
      <w:r>
        <w:t>45.</w:t>
      </w:r>
      <w:r>
        <w:tab/>
        <w:t>Jistieden lill-Kunsill jagħmel id-djalogu tiegħu dwar l-Istat tad-Dritt aktar trasparenti, interattiv u orjentat lejn l-eżiti, inkluż billi joħroġ konklużjonijiet dettaljati u jipprovdi feedback dwar is-sejbiet tal-Kummissjoni u tal-Parlament; jiddeplora l-inkapaċità tal-Kunsill li jagħmel progress sinifikattiv fil-proċedura li għaddejja skont l-Artikolu 7(1) tat-TUE u jemmen li kwalunkwe dewmien ulterjuri fl-azzjoni tal-Kunsill se jammonta għal ksur tal-prinċipju tal-istat tad-dritt mill-Kunsill innifsu,</w:t>
      </w:r>
    </w:p>
    <w:p w14:paraId="2218C8D3" w14:textId="77777777" w:rsidR="009F47ED" w:rsidRPr="009F47ED" w:rsidRDefault="00431E8C" w:rsidP="009F47ED">
      <w:pPr>
        <w:pStyle w:val="NormalHanging12a"/>
      </w:pPr>
      <w:r>
        <w:t>46.</w:t>
      </w:r>
      <w:r>
        <w:tab/>
        <w:t>Jagħti istruzzjonijiet lill-President tiegħu biex tgħaddi din ir-riżoluzzjoni lill-Kunsill u lill-Kummissjoni.</w:t>
      </w:r>
    </w:p>
    <w:p w14:paraId="2BDD1C26" w14:textId="77777777" w:rsidR="009F47ED" w:rsidRPr="009F47ED" w:rsidRDefault="009F47ED" w:rsidP="009F47ED">
      <w:pPr>
        <w:sectPr w:rsidR="009F47ED" w:rsidRPr="009F47ED" w:rsidSect="009F47E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Sect"/>
          </w:footnotePr>
          <w:endnotePr>
            <w:numFmt w:val="decimal"/>
          </w:endnotePr>
          <w:pgSz w:w="11906" w:h="16838" w:code="9"/>
          <w:pgMar w:top="1134" w:right="1418" w:bottom="1418" w:left="1418" w:header="1134" w:footer="567" w:gutter="0"/>
          <w:cols w:space="720"/>
          <w:noEndnote/>
          <w:titlePg/>
        </w:sectPr>
      </w:pPr>
    </w:p>
    <w:p w14:paraId="5C8D9AF2" w14:textId="77777777" w:rsidR="009F47ED" w:rsidRPr="009F47ED" w:rsidRDefault="00431E8C" w:rsidP="009F47ED">
      <w:pPr>
        <w:pStyle w:val="PageHeading"/>
      </w:pPr>
      <w:bookmarkStart w:id="4" w:name="_Toc215151009"/>
      <w:bookmarkStart w:id="5" w:name="_Toc215480687"/>
      <w:r>
        <w:t>NOTA SPJEGATTIVA</w:t>
      </w:r>
      <w:bookmarkEnd w:id="4"/>
      <w:bookmarkEnd w:id="5"/>
    </w:p>
    <w:p w14:paraId="3F7E1825" w14:textId="77777777" w:rsidR="009F47ED" w:rsidRPr="009F47ED" w:rsidRDefault="00431E8C" w:rsidP="009F47ED">
      <w:pPr>
        <w:pStyle w:val="Normal12a"/>
      </w:pPr>
      <w:r>
        <w:t xml:space="preserve">Bħala Rapporteur tar-rapport fuq inizjattiva proprja dwar ir-rapport tal-Kummissjoni dwar l-Istat tad-Dritt tal-2025, fittixt li nirrispondi għall-prijorità politika espressa mill-maġġoranza </w:t>
      </w:r>
      <w:r>
        <w:t>tal-gruppi politiċi fil-Kumitat LIBE, kif ukoll għat-talba tal-Kummissjoni li noħorġu r-rapport annwali tagħna aktar kmieni milli fis-snin preċedenti. L-iskeda ta’ żmien aċċellerata għamlitha diffiċli li tiġi bbilanċjata analiżi bir-reqqa mar-restrizzjonijiet ta’ proċess ta’ abbozzar ikkumpressat.</w:t>
      </w:r>
    </w:p>
    <w:p w14:paraId="6371224C" w14:textId="77777777" w:rsidR="009F47ED" w:rsidRPr="009F47ED" w:rsidRDefault="009F47ED" w:rsidP="009F47ED">
      <w:pPr>
        <w:pStyle w:val="Normal12a"/>
      </w:pPr>
    </w:p>
    <w:p w14:paraId="063DBC2B" w14:textId="77777777" w:rsidR="009F47ED" w:rsidRPr="009F47ED" w:rsidRDefault="00431E8C" w:rsidP="009F47ED">
      <w:pPr>
        <w:pStyle w:val="Normal12a"/>
      </w:pPr>
      <w:r>
        <w:t xml:space="preserve">Fid-dawl ta’ dawn il-limitazzjonijiet, għażilt li nikkonċentra fuq is-sejħiet ġenerali li saru f’kull kapitolu u li nenfasizza oqsma ewlenin fejn ir-rappurtar tal-Kummissjoni jista’ jissaħħaħ aktar. </w:t>
      </w:r>
    </w:p>
    <w:p w14:paraId="09686915" w14:textId="77777777" w:rsidR="009F47ED" w:rsidRPr="009F47ED" w:rsidRDefault="009F47ED" w:rsidP="009F47ED">
      <w:pPr>
        <w:pStyle w:val="Normal12a"/>
      </w:pPr>
    </w:p>
    <w:p w14:paraId="05940B98" w14:textId="77777777" w:rsidR="009F47ED" w:rsidRPr="009F47ED" w:rsidRDefault="00431E8C" w:rsidP="009F47ED">
      <w:pPr>
        <w:pStyle w:val="Normal12a"/>
      </w:pPr>
      <w:r>
        <w:t>Deliberatament żammejt lura milli nsemmi Stati Membri speċifiċi. Din tfisser konċessjoni sinifikanti min-naħa tiegħi, peress li l-Grupp tax-Xellug b’mod konsistenti tkellem favur li l-pajjiżi jiġu identifikati b’mod espliċitu f’rapporti u mozzjonijiet tal-Parlament Ewropew meta jseħħ ksur tal-istat tad-dritt, tad-demokrazija, jew tad-drittijiet fundamentali. Aħna nemmnu bis-sħiħ li l-għoti ta’ eżempji konkreti huwa essenzjali għall-obbligu ta’ rendikont u biex jintwera li l-Istati Membri kollha jinżammu għa</w:t>
      </w:r>
      <w:r>
        <w:t>ll-istess standards, mingħajr preġudizzju jew kunsiderazzjoni għall-pożizzjoni tagħhom fl-Unjoni. Madankollu, l-influwenza dejjem tikber tal-politika nazzjonali fil-Parlament tal-lum tagħmilha estremament diffiċli li jintlaħaq ftehim oġġettiv u mhux partiġġjan fost il-gruppi politiċi jekk jissemmew Stati Membri speċifiċi. Għalhekk, sabiex jiġi żgurat li r-rapport jibqa’ kunsenswali, inklużiv, u li jkollu apoġġ kemm jista’ jkun wiesa’, iddeċidejt li noqgħod lura milli niċċita Stati Membri speċifiċi f’din l-o</w:t>
      </w:r>
      <w:r>
        <w:t>kkażjoni.</w:t>
      </w:r>
    </w:p>
    <w:p w14:paraId="1B8D8C34" w14:textId="77777777" w:rsidR="009F47ED" w:rsidRPr="009F47ED" w:rsidRDefault="009F47ED" w:rsidP="009F47ED">
      <w:pPr>
        <w:pStyle w:val="Normal12a"/>
      </w:pPr>
    </w:p>
    <w:p w14:paraId="20487365" w14:textId="77777777" w:rsidR="009F47ED" w:rsidRPr="009F47ED" w:rsidRDefault="00431E8C" w:rsidP="009F47ED">
      <w:pPr>
        <w:pStyle w:val="Normal12a"/>
      </w:pPr>
      <w:r>
        <w:t>Il-prijorità ewlenija tiegħi kienet li niddefendi l-impenji l-qodma tal-Parlament Ewropew, inkluż billi tiġi affermata mill-ġdid ir-rabta intrinsika bejn l-istat tad-dritt u d-drittijiet fundamentali, u billi jiġi żgurat l-involviment ta’ network ta’ esperti indipendenti fil-proċess ta’ rappurtar tal-Kummissjoni. Approċċ bħal dan huwa essenzjali biex il-valutazzjoni tiġi depolitiċizzata, biex jiġi pprevenut li kwistjonijiet kritiċi jiġu injorati, u biex jiġi żgurat li x-xejriet emerġenti jiġu artikolati b’m</w:t>
      </w:r>
      <w:r>
        <w:t>od ċar u konsistenti.</w:t>
      </w:r>
    </w:p>
    <w:p w14:paraId="167FAEA1" w14:textId="77777777" w:rsidR="009F47ED" w:rsidRPr="009F47ED" w:rsidRDefault="009F47ED" w:rsidP="009F47ED">
      <w:pPr>
        <w:pStyle w:val="Normal12a"/>
      </w:pPr>
    </w:p>
    <w:p w14:paraId="3B5B0E29" w14:textId="77777777" w:rsidR="009F47ED" w:rsidRPr="009F47ED" w:rsidRDefault="00431E8C" w:rsidP="009F47ED">
      <w:pPr>
        <w:pStyle w:val="Normal12a"/>
      </w:pPr>
      <w:r>
        <w:t>Prijoritajiet oħra jinkludu l-protezzjoni tal-ġurnalisti u tal-organizzazzjonijiet tas-soċjetà ċivili; l-indirizzar tal-ksur tad-drittijiet fundamentali ffaċilitat mill-fondi tal-UE, jew marbut mal-użu — jew l-isfruttament — tal-fondi tal-UE, f’xi Stati Membri; u l-iżgurar ta’ investigazzjoni bir-reqqa, imparzjali u f’waqtha ta’ każijiet ta’ korruzzjoni, bi prijorità partikolari mogħtija lil dawk li jinvolvu uffiċjali ta’ livell għoli, bħala mezz biex jiġu ssalvagwardjati l-istat tad-dritt u l-fiduċja pubbl</w:t>
      </w:r>
      <w:r>
        <w:t>ika fl-istituzzjonijiet demokratiċi. Fl-aħħar nett, l-istituzzjonijiet tal-UE nfushom iridu jirrispettaw bis-sħiħ l-obbligi tagħhom rigward l-istat tad-dritt. Il-valutazzjoni tal-aderenza tagħhom mal-valuri minquxa fl-Artikolu 2 tat-TUE — inkluża l-koerenza interna tal-Unjoni fid-difiża ta’ dawn il-valuri fil-politiki u fl-azzjonijiet esterni tagħha — hija indispensabbli biex jinżammu l-kredibbiltà u l-leġittimità tal-UE.</w:t>
      </w:r>
    </w:p>
    <w:p w14:paraId="2F3B1329" w14:textId="77777777" w:rsidR="009F47ED" w:rsidRPr="009F47ED" w:rsidRDefault="009F47ED" w:rsidP="009F47ED">
      <w:pPr>
        <w:pStyle w:val="Normal12a"/>
      </w:pPr>
    </w:p>
    <w:p w14:paraId="085AE4B0" w14:textId="77777777" w:rsidR="009F47ED" w:rsidRPr="009F47ED" w:rsidRDefault="00431E8C" w:rsidP="009F47ED">
      <w:pPr>
        <w:pStyle w:val="Normal12a"/>
      </w:pPr>
      <w:r>
        <w:t>F’dan il-kuntest, huwa daqstant ieħor essenzjali li jissaħħaħ ir-rwol tad-drittijiet ekonomiċi u soċjali fil-qafas tal-istat tad-dritt tal-Unjoni. Valutazzjoni kredibbli tal-istat tad-dritt ma tistax tinjora l-impatt profond li n-nuqqas ta’ sigurtà fl-akkomodazzjoni, l-aċċess inugwali għas-servizzi essenzjali u l-approfondiment tal-inugwaljanzi soċjali għandhom fuq il-kapaċità tan-nies li jeżerċitaw id-drittijiet fundamentali tagħhom. Meta l-individwi ma jkunux jistgħu jaffordjaw akkomodazzjoni adegwata, ik</w:t>
      </w:r>
      <w:r>
        <w:t>unu jgħixu f’kundizzjonijiet prekarji jew jiffaċċjaw ostakli sistemiċi għall-protezzjoni soċjali, it-trattament ugwali tagħhom quddiem il-liġi jsir teoretiku pjuttost milli reali. Għalhekk, approċċ olistiku u ffokat fuq in-nies għall-istat tad-dritt irid jindirizza l-kundizzjonijiet soċjoekonomiċi strutturali li jdgħajfu l-parteċipazzjoni demokratika u jimminaw il-fiduċja fl-istituzzjonijiet pubbliċi.</w:t>
      </w:r>
    </w:p>
    <w:p w14:paraId="2203F0C8" w14:textId="77777777" w:rsidR="009F47ED" w:rsidRPr="009F47ED" w:rsidRDefault="009F47ED" w:rsidP="009F47ED">
      <w:pPr>
        <w:pStyle w:val="Normal12a"/>
      </w:pPr>
    </w:p>
    <w:p w14:paraId="0C38EF04" w14:textId="77777777" w:rsidR="009F47ED" w:rsidRPr="009F47ED" w:rsidRDefault="00431E8C" w:rsidP="009F47ED">
      <w:pPr>
        <w:pStyle w:val="Normal12a"/>
      </w:pPr>
      <w:r>
        <w:t>Ninsab imħasseb ħafna wkoll dwar in-normalizzazzjoni tan-narrattivi razzisti fid-diskors pubbliku, inkluż minn atturi politiċi u awtoritajiet pubbliċi. Din ir-retorika timmina l-ugwaljanza quddiem il-liġi, tinċita d-diskriminazzjoni u l-ostilità kontra komunitajiet razzjalizzati, u toħloq kundizzjonijiet li fihom l-individwi ma jkunux jistgħu jeżerċitaw id-drittijiet fundamentali tagħhom mingħajr biża’ jew intimidazzjoni. Għalhekk, l-indirizzar tar-razziżmu u tan-narrattivi diskriminatorji jrid jifforma par</w:t>
      </w:r>
      <w:r>
        <w:t>ti integrali mill-aġenda tal-Unjoni dwar l-istat tad-dritt.</w:t>
      </w:r>
    </w:p>
    <w:p w14:paraId="7F36356E" w14:textId="77777777" w:rsidR="009F47ED" w:rsidRPr="009F47ED" w:rsidRDefault="009F47ED" w:rsidP="009F47ED">
      <w:pPr>
        <w:pStyle w:val="Normal12a"/>
      </w:pPr>
    </w:p>
    <w:p w14:paraId="5DACBA04" w14:textId="77777777" w:rsidR="009F47ED" w:rsidRPr="009F47ED" w:rsidRDefault="00431E8C" w:rsidP="009F47ED">
      <w:pPr>
        <w:pStyle w:val="Normal12a"/>
      </w:pPr>
      <w:r>
        <w:t xml:space="preserve">Fl-aħħar mill-aħħar, l-għan tal-istituzzjonijiet kollha tal-UE jrid ikun li jipprovdu valutazzjoni tas-sitwazzjoni tal-istat tad-dritt madwar l-UE li tkun oġġettiva, kredibbli u mħarsa mill-influwenzi tal-partiti politiċi. Ninsab imħasseb ħafna dwar ir-riskju li qiegħed dejjem jikber ta’ rigress tal-istat tad-dritt f’diversi Stati Membri, b’mod partikolari fil-kuntest tat-tkabbir fil-popolarità tan-narrattivi tal-lemin estrem u tat-titolizzazzjoni dejjem akbar tal-politika pubblika. F’mument bħal dan, huwa </w:t>
      </w:r>
      <w:r>
        <w:t>essenzjali li l-evalwazzjonijiet tagħna jibqa’ jkollhom bażi soda fl-evidenza, fil-liġi u d-drittijiet fundamentali, minflok ma jissawru mill-konvenjenza politika. Huwa biss billi niżguraw li l-ħidma tagħna tkun indipendenti, rigoruża u mhux politiċizzata li nistgħu nżommu l-kredibbiltà u l-leġittimità tal-qafas tal-istat tad-dritt tal-Unjoni.</w:t>
      </w:r>
    </w:p>
    <w:p w14:paraId="46690B70" w14:textId="77777777" w:rsidR="009F47ED" w:rsidRPr="009F47ED" w:rsidRDefault="009F47ED" w:rsidP="009F47ED">
      <w:pPr>
        <w:pStyle w:val="Normal12a"/>
      </w:pPr>
    </w:p>
    <w:p w14:paraId="46E89550" w14:textId="77777777" w:rsidR="009F47ED" w:rsidRPr="009F47ED" w:rsidRDefault="00431E8C" w:rsidP="009F47ED">
      <w:pPr>
        <w:pStyle w:val="Normal12a"/>
      </w:pPr>
      <w:r>
        <w:t>Beħsiebni nressaq emendi li jintroduċu premessi li janalizzaw ix-xejriet ġenerali fl-Istati Membri. Dawn il-premessi huma mfassla biex jikkomplementaw il-parti operattiva tar-rapport billi jidentifikaw ix-xejriet, ir-riskji emerġenti u l-isfidi sistemiċi, u b’hekk isaħħu l-bażi analitika għar-rakkomandazzjonijiet tagħna.</w:t>
      </w:r>
    </w:p>
    <w:p w14:paraId="63B4FECB" w14:textId="77777777" w:rsidR="009F47ED" w:rsidRPr="009F47ED" w:rsidRDefault="009F47ED" w:rsidP="009F47ED">
      <w:pPr>
        <w:pStyle w:val="Normal12a"/>
      </w:pPr>
    </w:p>
    <w:p w14:paraId="319F9EB1" w14:textId="77777777" w:rsidR="00100069" w:rsidRPr="009F47ED" w:rsidRDefault="00431E8C" w:rsidP="009F47ED">
      <w:pPr>
        <w:pStyle w:val="Normal12a"/>
      </w:pPr>
      <w:r>
        <w:t>Permezz ta’ dan l-approċċ, ir-rapport għandu l-għan li jikkombina impenn politiku f’waqtu ma’ proposti konkreti biex jissaħħu l-effettività, it-trasparenza u l-impatt tar-rapportar tal-Kummissjoni, u b’hekk jikkontribwixxi għal qafas tal-istat tad-dritt aktar robust u koerenti fl-Unjoni Ewropea.</w:t>
      </w:r>
    </w:p>
    <w:sectPr w:rsidR="00100069" w:rsidRPr="009F47ED" w:rsidSect="009F47ED">
      <w:footerReference w:type="first" r:id="rId14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72F33B" w14:textId="77777777" w:rsidR="00431E8C" w:rsidRDefault="00431E8C">
      <w:r>
        <w:separator/>
      </w:r>
    </w:p>
  </w:endnote>
  <w:endnote w:type="continuationSeparator" w:id="0">
    <w:p w14:paraId="14E6929D" w14:textId="77777777" w:rsidR="00431E8C" w:rsidRDefault="00431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EC116" w14:textId="77777777" w:rsidR="009F47ED" w:rsidRPr="009F47ED" w:rsidRDefault="00431E8C" w:rsidP="009F47ED">
    <w:pPr>
      <w:pStyle w:val="EPFooter"/>
    </w:pPr>
    <w:r w:rsidRPr="009F47ED">
      <w:t>PE</w:t>
    </w:r>
    <w:r w:rsidRPr="009F47ED">
      <w:rPr>
        <w:rStyle w:val="HideTWBExt"/>
      </w:rPr>
      <w:t>&lt;NoPE&gt;</w:t>
    </w:r>
    <w:r w:rsidRPr="009F47ED">
      <w:t>779.664</w:t>
    </w:r>
    <w:r w:rsidRPr="009F47ED">
      <w:rPr>
        <w:rStyle w:val="HideTWBExt"/>
      </w:rPr>
      <w:t>&lt;/NoPE&gt;&lt;Version&gt;</w:t>
    </w:r>
    <w:r w:rsidRPr="009F47ED">
      <w:t>v01-00</w:t>
    </w:r>
    <w:r w:rsidRPr="009F47ED">
      <w:rPr>
        <w:rStyle w:val="HideTWBExt"/>
      </w:rPr>
      <w:t>&lt;/Version&gt;</w:t>
    </w:r>
    <w:r w:rsidRPr="009F47ED">
      <w:tab/>
    </w:r>
    <w:r w:rsidRPr="009F47ED">
      <w:fldChar w:fldCharType="begin"/>
    </w:r>
    <w:r w:rsidRPr="009F47ED">
      <w:instrText xml:space="preserve"> PAGE  \* MERGEFORMAT </w:instrText>
    </w:r>
    <w:r w:rsidRPr="009F47ED">
      <w:fldChar w:fldCharType="separate"/>
    </w:r>
    <w:r w:rsidR="00FF1914">
      <w:rPr>
        <w:noProof/>
      </w:rPr>
      <w:t>2</w:t>
    </w:r>
    <w:r w:rsidRPr="009F47ED">
      <w:fldChar w:fldCharType="end"/>
    </w:r>
    <w:r w:rsidRPr="009F47ED">
      <w:t>/</w:t>
    </w:r>
    <w:r w:rsidR="00FF1914">
      <w:fldChar w:fldCharType="begin"/>
    </w:r>
    <w:r>
      <w:instrText xml:space="preserve"> NUMPAGES  \* MERGEFORMAT </w:instrText>
    </w:r>
    <w:r w:rsidR="00FF1914">
      <w:fldChar w:fldCharType="separate"/>
    </w:r>
    <w:r w:rsidR="00FF1914">
      <w:rPr>
        <w:noProof/>
      </w:rPr>
      <w:t>17</w:t>
    </w:r>
    <w:r w:rsidR="00FF1914">
      <w:rPr>
        <w:noProof/>
      </w:rPr>
      <w:fldChar w:fldCharType="end"/>
    </w:r>
    <w:r w:rsidRPr="009F47ED">
      <w:tab/>
    </w:r>
    <w:r w:rsidRPr="009F47ED">
      <w:rPr>
        <w:rStyle w:val="HideTWBExt"/>
      </w:rPr>
      <w:t>&lt;PathFdR&gt;</w:t>
    </w:r>
    <w:r w:rsidRPr="009F47ED">
      <w:t>PR\1332174MT.docx</w:t>
    </w:r>
    <w:r w:rsidRPr="009F47ED">
      <w:rPr>
        <w:rStyle w:val="HideTWBExt"/>
      </w:rPr>
      <w:t>&lt;/PathFdR&gt;</w:t>
    </w:r>
  </w:p>
  <w:p w14:paraId="0DA23C04" w14:textId="77777777" w:rsidR="009F47ED" w:rsidRPr="009F47ED" w:rsidRDefault="00431E8C" w:rsidP="009F47ED">
    <w:pPr>
      <w:pStyle w:val="EPFooter2"/>
    </w:pPr>
    <w:r w:rsidRPr="009F47ED">
      <w:t>MT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75A310" w14:textId="77777777" w:rsidR="009F47ED" w:rsidRPr="009F47ED" w:rsidRDefault="00431E8C" w:rsidP="009F47ED">
    <w:pPr>
      <w:pStyle w:val="EPFooter"/>
    </w:pPr>
    <w:r w:rsidRPr="009F47ED">
      <w:rPr>
        <w:rStyle w:val="HideTWBExt"/>
      </w:rPr>
      <w:t>&lt;PathFdR&gt;</w:t>
    </w:r>
    <w:r w:rsidRPr="009F47ED">
      <w:t>PR\1332174MT.docx</w:t>
    </w:r>
    <w:r w:rsidRPr="009F47ED">
      <w:rPr>
        <w:rStyle w:val="HideTWBExt"/>
      </w:rPr>
      <w:t>&lt;/PathFdR&gt;</w:t>
    </w:r>
    <w:r w:rsidRPr="009F47ED">
      <w:tab/>
    </w:r>
    <w:r w:rsidRPr="009F47ED">
      <w:fldChar w:fldCharType="begin"/>
    </w:r>
    <w:r w:rsidRPr="009F47ED">
      <w:instrText xml:space="preserve"> PAGE  \* MERGEFORMAT </w:instrText>
    </w:r>
    <w:r w:rsidRPr="009F47ED">
      <w:fldChar w:fldCharType="separate"/>
    </w:r>
    <w:r w:rsidR="00FF1914">
      <w:rPr>
        <w:noProof/>
      </w:rPr>
      <w:t>3</w:t>
    </w:r>
    <w:r w:rsidRPr="009F47ED">
      <w:fldChar w:fldCharType="end"/>
    </w:r>
    <w:r w:rsidRPr="009F47ED">
      <w:t>/</w:t>
    </w:r>
    <w:r w:rsidR="00FF1914">
      <w:fldChar w:fldCharType="begin"/>
    </w:r>
    <w:r>
      <w:instrText xml:space="preserve"> NUMPAGES  \* MERGEFORMAT </w:instrText>
    </w:r>
    <w:r w:rsidR="00FF1914">
      <w:fldChar w:fldCharType="separate"/>
    </w:r>
    <w:r w:rsidR="00FF1914">
      <w:rPr>
        <w:noProof/>
      </w:rPr>
      <w:t>3</w:t>
    </w:r>
    <w:r w:rsidR="00FF1914">
      <w:rPr>
        <w:noProof/>
      </w:rPr>
      <w:fldChar w:fldCharType="end"/>
    </w:r>
    <w:r w:rsidRPr="009F47ED">
      <w:tab/>
      <w:t>PE</w:t>
    </w:r>
    <w:r w:rsidRPr="009F47ED">
      <w:rPr>
        <w:rStyle w:val="HideTWBExt"/>
      </w:rPr>
      <w:t>&lt;NoPE&gt;</w:t>
    </w:r>
    <w:r w:rsidRPr="009F47ED">
      <w:t>779.664</w:t>
    </w:r>
    <w:r w:rsidRPr="009F47ED">
      <w:rPr>
        <w:rStyle w:val="HideTWBExt"/>
      </w:rPr>
      <w:t>&lt;/NoPE&gt;&lt;Version&gt;</w:t>
    </w:r>
    <w:r w:rsidRPr="009F47ED">
      <w:t>v01-00</w:t>
    </w:r>
    <w:r w:rsidRPr="009F47ED">
      <w:rPr>
        <w:rStyle w:val="HideTWBExt"/>
      </w:rPr>
      <w:t>&lt;/Version&gt;</w:t>
    </w:r>
  </w:p>
  <w:p w14:paraId="43FD6F4F" w14:textId="77777777" w:rsidR="009F47ED" w:rsidRPr="009F47ED" w:rsidRDefault="00431E8C" w:rsidP="009F47ED">
    <w:pPr>
      <w:pStyle w:val="EPFooter2"/>
    </w:pPr>
    <w:r w:rsidRPr="009F47ED">
      <w:tab/>
    </w:r>
    <w:r w:rsidRPr="009F47ED">
      <w:tab/>
      <w:t>MT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FCBD2" w14:textId="77777777" w:rsidR="009F47ED" w:rsidRPr="009F47ED" w:rsidRDefault="00431E8C" w:rsidP="009F47ED">
    <w:pPr>
      <w:pStyle w:val="EPFooter"/>
    </w:pPr>
    <w:r w:rsidRPr="009F47ED">
      <w:rPr>
        <w:rStyle w:val="HideTWBExt"/>
      </w:rPr>
      <w:t>&lt;PathFdR&gt;</w:t>
    </w:r>
    <w:r w:rsidRPr="009F47ED">
      <w:t>PR\1332174MT.docx</w:t>
    </w:r>
    <w:r w:rsidRPr="009F47ED">
      <w:rPr>
        <w:rStyle w:val="HideTWBExt"/>
      </w:rPr>
      <w:t>&lt;/PathFdR&gt;</w:t>
    </w:r>
    <w:r w:rsidRPr="009F47ED">
      <w:tab/>
    </w:r>
    <w:r w:rsidRPr="009F47ED">
      <w:tab/>
      <w:t>PE</w:t>
    </w:r>
    <w:r w:rsidRPr="009F47ED">
      <w:rPr>
        <w:rStyle w:val="HideTWBExt"/>
      </w:rPr>
      <w:t>&lt;NoPE&gt;</w:t>
    </w:r>
    <w:r w:rsidRPr="009F47ED">
      <w:t>779.664</w:t>
    </w:r>
    <w:r w:rsidRPr="009F47ED">
      <w:rPr>
        <w:rStyle w:val="HideTWBExt"/>
      </w:rPr>
      <w:t>&lt;/NoPE&gt;&lt;Version&gt;</w:t>
    </w:r>
    <w:r w:rsidRPr="009F47ED">
      <w:t>v01-00</w:t>
    </w:r>
    <w:r w:rsidRPr="009F47ED">
      <w:rPr>
        <w:rStyle w:val="HideTWBExt"/>
      </w:rPr>
      <w:t>&lt;/Version&gt;</w:t>
    </w:r>
  </w:p>
  <w:p w14:paraId="35CB1E8B" w14:textId="77777777" w:rsidR="009F47ED" w:rsidRPr="009F47ED" w:rsidRDefault="00431E8C" w:rsidP="009F47ED">
    <w:pPr>
      <w:pStyle w:val="EPFooter2"/>
    </w:pPr>
    <w:r w:rsidRPr="009F47ED">
      <w:t>MT</w:t>
    </w:r>
    <w:r w:rsidRPr="009F47ED">
      <w:tab/>
    </w:r>
    <w:r w:rsidRPr="009F47ED">
      <w:rPr>
        <w:b w:val="0"/>
        <w:i/>
        <w:color w:val="C0C0C0"/>
        <w:sz w:val="22"/>
      </w:rPr>
      <w:t>Magħquda fid-diversità</w:t>
    </w:r>
    <w:r w:rsidRPr="009F47ED">
      <w:tab/>
      <w:t>MT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56737" w14:textId="77777777" w:rsidR="00100069" w:rsidRPr="009F47ED" w:rsidRDefault="00431E8C" w:rsidP="00584A07">
    <w:pPr>
      <w:pStyle w:val="EPFooter"/>
    </w:pPr>
    <w:r w:rsidRPr="009F47ED">
      <w:rPr>
        <w:rStyle w:val="HideTWBExt"/>
      </w:rPr>
      <w:t>&lt;PathFdR&gt;</w:t>
    </w:r>
    <w:r w:rsidR="00C50B88" w:rsidRPr="009F47ED">
      <w:rPr>
        <w:color w:val="008080"/>
      </w:rPr>
      <w:t>◄</w:t>
    </w:r>
    <w:r w:rsidR="00C50B88" w:rsidRPr="009F47ED">
      <w:t>#</w:t>
    </w:r>
    <w:r w:rsidR="00C50B88" w:rsidRPr="009F47ED">
      <w:rPr>
        <w:rStyle w:val="HideTWBInt"/>
      </w:rPr>
      <w:t>TXTROUTE@@</w:t>
    </w:r>
    <w:r w:rsidR="00C50B88" w:rsidRPr="009F47ED">
      <w:t>#</w:t>
    </w:r>
    <w:r w:rsidR="00C50B88" w:rsidRPr="009F47ED">
      <w:rPr>
        <w:color w:val="008080"/>
      </w:rPr>
      <w:t>►</w:t>
    </w:r>
    <w:r w:rsidRPr="009F47ED">
      <w:rPr>
        <w:rStyle w:val="HideTWBExt"/>
      </w:rPr>
      <w:t>&lt;/PathFdR&gt;</w:t>
    </w:r>
    <w:r w:rsidRPr="009F47ED">
      <w:tab/>
    </w:r>
    <w:r w:rsidRPr="009F47ED">
      <w:tab/>
      <w:t>PE</w:t>
    </w:r>
    <w:r w:rsidRPr="009F47ED">
      <w:rPr>
        <w:rStyle w:val="HideTWBExt"/>
      </w:rPr>
      <w:t>&lt;NoPE&gt;</w:t>
    </w:r>
    <w:r w:rsidR="00C50B88" w:rsidRPr="009F47ED">
      <w:rPr>
        <w:color w:val="008080"/>
      </w:rPr>
      <w:t>◄</w:t>
    </w:r>
    <w:r w:rsidR="00C50B88" w:rsidRPr="009F47ED">
      <w:t>#</w:t>
    </w:r>
    <w:r w:rsidR="00C50B88" w:rsidRPr="009F47ED">
      <w:rPr>
        <w:rStyle w:val="HideTWBInt"/>
      </w:rPr>
      <w:t>TXTNRPE@NRPE@</w:t>
    </w:r>
    <w:r w:rsidR="00C50B88" w:rsidRPr="009F47ED">
      <w:t>#</w:t>
    </w:r>
    <w:r w:rsidR="00C50B88" w:rsidRPr="009F47ED">
      <w:rPr>
        <w:color w:val="008080"/>
      </w:rPr>
      <w:t>►</w:t>
    </w:r>
    <w:r w:rsidRPr="009F47ED">
      <w:rPr>
        <w:rStyle w:val="HideTWBExt"/>
      </w:rPr>
      <w:t>&lt;/NoPE&gt;&lt;Version&gt;</w:t>
    </w:r>
    <w:r w:rsidR="00C50B88" w:rsidRPr="009F47ED">
      <w:t>v</w:t>
    </w:r>
    <w:r w:rsidR="00C50B88" w:rsidRPr="009F47ED">
      <w:rPr>
        <w:color w:val="008080"/>
      </w:rPr>
      <w:t>◄</w:t>
    </w:r>
    <w:r w:rsidR="00C50B88" w:rsidRPr="009F47ED">
      <w:t>#</w:t>
    </w:r>
    <w:r w:rsidR="00C50B88" w:rsidRPr="009F47ED">
      <w:rPr>
        <w:rStyle w:val="HideTWBInt"/>
      </w:rPr>
      <w:t>TXTVERSION@NRV@</w:t>
    </w:r>
    <w:r w:rsidR="00C50B88" w:rsidRPr="009F47ED">
      <w:t>#</w:t>
    </w:r>
    <w:r w:rsidR="00C50B88" w:rsidRPr="009F47ED">
      <w:rPr>
        <w:color w:val="008080"/>
      </w:rPr>
      <w:t>►</w:t>
    </w:r>
    <w:r w:rsidRPr="009F47ED">
      <w:rPr>
        <w:rStyle w:val="HideTWBExt"/>
      </w:rPr>
      <w:t>&lt;/Version&gt;</w:t>
    </w:r>
  </w:p>
  <w:p w14:paraId="01156D8B" w14:textId="501E8033" w:rsidR="00100069" w:rsidRPr="009F47ED" w:rsidRDefault="00431E8C" w:rsidP="00E3537C">
    <w:pPr>
      <w:pStyle w:val="EPFooter2"/>
      <w:tabs>
        <w:tab w:val="clear" w:pos="4535"/>
        <w:tab w:val="center" w:pos="4536"/>
      </w:tabs>
    </w:pPr>
    <w:r w:rsidRPr="009F47ED">
      <w:fldChar w:fldCharType="begin"/>
    </w:r>
    <w:r w:rsidRPr="009F47ED">
      <w:instrText xml:space="preserve"> DOCPROPERTY "&lt;Extension&gt;" </w:instrText>
    </w:r>
    <w:r w:rsidRPr="009F47ED">
      <w:fldChar w:fldCharType="separate"/>
    </w:r>
    <w:r>
      <w:t>MT</w:t>
    </w:r>
    <w:r w:rsidRPr="009F47ED">
      <w:fldChar w:fldCharType="end"/>
    </w:r>
    <w:r w:rsidR="00E3537C" w:rsidRPr="009F47ED">
      <w:tab/>
    </w:r>
    <w:r w:rsidR="00E3537C" w:rsidRPr="009F47ED">
      <w:rPr>
        <w:b w:val="0"/>
        <w:i/>
        <w:color w:val="C0C0C0"/>
        <w:sz w:val="22"/>
        <w:szCs w:val="22"/>
      </w:rPr>
      <w:t>#</w:t>
    </w:r>
    <w:r w:rsidR="00E3537C" w:rsidRPr="009F47ED">
      <w:rPr>
        <w:rStyle w:val="HideTWBInt"/>
      </w:rPr>
      <w:t>(STD@_Motto</w:t>
    </w:r>
    <w:r w:rsidR="00E3537C" w:rsidRPr="009F47ED">
      <w:rPr>
        <w:b w:val="0"/>
        <w:i/>
        <w:color w:val="C0C0C0"/>
        <w:sz w:val="22"/>
        <w:szCs w:val="22"/>
      </w:rPr>
      <w:t>#</w:t>
    </w:r>
    <w:r w:rsidR="00E3537C" w:rsidRPr="009F47ED">
      <w:tab/>
    </w:r>
    <w:r w:rsidRPr="009F47ED">
      <w:fldChar w:fldCharType="begin"/>
    </w:r>
    <w:r w:rsidRPr="009F47ED">
      <w:instrText xml:space="preserve"> DOCPROPERTY "&lt;Extension&gt;" </w:instrText>
    </w:r>
    <w:r w:rsidRPr="009F47ED">
      <w:fldChar w:fldCharType="separate"/>
    </w:r>
    <w:r>
      <w:t>MT</w:t>
    </w:r>
    <w:r w:rsidRPr="009F47E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B52541" w14:textId="77777777" w:rsidR="00C50B88" w:rsidRPr="009F47ED" w:rsidRDefault="00431E8C">
      <w:r w:rsidRPr="009F47ED">
        <w:separator/>
      </w:r>
    </w:p>
  </w:footnote>
  <w:footnote w:type="continuationSeparator" w:id="0">
    <w:p w14:paraId="4E22BD7E" w14:textId="77777777" w:rsidR="00C50B88" w:rsidRPr="009F47ED" w:rsidRDefault="00431E8C">
      <w:r w:rsidRPr="009F47ED">
        <w:continuationSeparator/>
      </w:r>
    </w:p>
  </w:footnote>
  <w:footnote w:id="1">
    <w:p w14:paraId="2C39EB9E" w14:textId="77777777" w:rsidR="009F47ED" w:rsidRPr="009F47ED" w:rsidRDefault="00431E8C" w:rsidP="009F47ED">
      <w:pPr>
        <w:pStyle w:val="FootnoteText"/>
      </w:pPr>
      <w:r>
        <w:rPr>
          <w:rStyle w:val="FootnoteReference"/>
        </w:rPr>
        <w:footnoteRef/>
      </w:r>
      <w:r>
        <w:rPr>
          <w:rStyle w:val="FootnoteReference"/>
        </w:rPr>
        <w:t xml:space="preserve"> </w:t>
      </w:r>
      <w:r>
        <w:t xml:space="preserve">ĠU L 433I, 22.12.2020, p. 1, ELI: </w:t>
      </w:r>
      <w:hyperlink r:id="rId1" w:history="1">
        <w:r>
          <w:rPr>
            <w:rStyle w:val="Hyperlink"/>
          </w:rPr>
          <w:t>http://data.europa.eu/eli/reg/2020/2092/oj</w:t>
        </w:r>
      </w:hyperlink>
      <w:r>
        <w:t>.</w:t>
      </w:r>
    </w:p>
  </w:footnote>
  <w:footnote w:id="2">
    <w:p w14:paraId="4510E989" w14:textId="77777777" w:rsidR="009F47ED" w:rsidRPr="009F47ED" w:rsidRDefault="00431E8C" w:rsidP="009F47ED">
      <w:pPr>
        <w:pStyle w:val="FootnoteText"/>
      </w:pPr>
      <w:r>
        <w:rPr>
          <w:rStyle w:val="FootnoteReference"/>
        </w:rPr>
        <w:footnoteRef/>
      </w:r>
      <w:r>
        <w:rPr>
          <w:rStyle w:val="FootnoteReference"/>
        </w:rPr>
        <w:t xml:space="preserve"> </w:t>
      </w:r>
      <w:r>
        <w:t xml:space="preserve">ĠU L 231, 30.6.2021, p. 159, ELI: </w:t>
      </w:r>
      <w:hyperlink r:id="rId2" w:history="1">
        <w:r>
          <w:rPr>
            <w:rStyle w:val="Hyperlink"/>
          </w:rPr>
          <w:t>http://data.europa.eu/eli/reg/2021/1060/oj</w:t>
        </w:r>
      </w:hyperlink>
      <w:r>
        <w:t>.</w:t>
      </w:r>
    </w:p>
  </w:footnote>
  <w:footnote w:id="3">
    <w:p w14:paraId="34DBFE25" w14:textId="77777777" w:rsidR="009F47ED" w:rsidRPr="009F47ED" w:rsidRDefault="00431E8C" w:rsidP="009F47ED">
      <w:pPr>
        <w:pStyle w:val="FootnoteText"/>
      </w:pPr>
      <w:r>
        <w:rPr>
          <w:rStyle w:val="FootnoteReference"/>
        </w:rPr>
        <w:footnoteRef/>
      </w:r>
      <w:r>
        <w:rPr>
          <w:rStyle w:val="FootnoteReference"/>
        </w:rPr>
        <w:t xml:space="preserve"> </w:t>
      </w:r>
      <w:r>
        <w:t xml:space="preserve">ĠU L, 2024/2509, 26.9.2024, ELI: </w:t>
      </w:r>
      <w:hyperlink r:id="rId3" w:history="1">
        <w:r>
          <w:rPr>
            <w:rStyle w:val="Hyperlink"/>
          </w:rPr>
          <w:t>http://data.europa.eu/eli/reg/2024/2509/oj</w:t>
        </w:r>
      </w:hyperlink>
      <w:r>
        <w:t>.</w:t>
      </w:r>
    </w:p>
  </w:footnote>
  <w:footnote w:id="4">
    <w:p w14:paraId="76B18EF4" w14:textId="77777777" w:rsidR="009F47ED" w:rsidRPr="009F47ED" w:rsidRDefault="00431E8C" w:rsidP="009F47ED">
      <w:pPr>
        <w:pStyle w:val="FootnoteText"/>
      </w:pPr>
      <w:r>
        <w:rPr>
          <w:rStyle w:val="FootnoteReference"/>
        </w:rPr>
        <w:footnoteRef/>
      </w:r>
      <w:r>
        <w:rPr>
          <w:rStyle w:val="FootnoteReference"/>
        </w:rPr>
        <w:t xml:space="preserve"> </w:t>
      </w:r>
      <w:r>
        <w:t xml:space="preserve">ĠU L 156, 5.5.2021, p. 1, ELI: </w:t>
      </w:r>
      <w:hyperlink r:id="rId4" w:history="1">
        <w:r>
          <w:rPr>
            <w:rStyle w:val="Hyperlink"/>
          </w:rPr>
          <w:t>http://data.europa.eu/eli/reg/2021/692/oj</w:t>
        </w:r>
      </w:hyperlink>
      <w:r>
        <w:t>.</w:t>
      </w:r>
    </w:p>
  </w:footnote>
  <w:footnote w:id="5">
    <w:p w14:paraId="14C62BB7" w14:textId="77777777" w:rsidR="009F47ED" w:rsidRPr="009F47ED" w:rsidRDefault="00431E8C" w:rsidP="009F47ED">
      <w:pPr>
        <w:pStyle w:val="FootnoteText"/>
      </w:pPr>
      <w:r>
        <w:rPr>
          <w:rStyle w:val="FootnoteReference"/>
        </w:rPr>
        <w:footnoteRef/>
      </w:r>
      <w:r>
        <w:rPr>
          <w:rStyle w:val="FootnoteReference"/>
        </w:rPr>
        <w:t xml:space="preserve"> </w:t>
      </w:r>
      <w:r>
        <w:t>ĠU C 215, 19.6.2018, p. 162.</w:t>
      </w:r>
    </w:p>
  </w:footnote>
  <w:footnote w:id="6">
    <w:p w14:paraId="1187D5BD" w14:textId="77777777" w:rsidR="009F47ED" w:rsidRPr="009F47ED" w:rsidRDefault="00431E8C" w:rsidP="009F47ED">
      <w:pPr>
        <w:pStyle w:val="FootnoteText"/>
      </w:pPr>
      <w:r>
        <w:rPr>
          <w:rStyle w:val="FootnoteReference"/>
        </w:rPr>
        <w:footnoteRef/>
      </w:r>
      <w:r>
        <w:rPr>
          <w:rStyle w:val="FootnoteReference"/>
        </w:rPr>
        <w:t xml:space="preserve"> </w:t>
      </w:r>
      <w:r>
        <w:t>ĠU C 463, 21.12.2018, p. 21.</w:t>
      </w:r>
    </w:p>
  </w:footnote>
  <w:footnote w:id="7">
    <w:p w14:paraId="231F675D" w14:textId="77777777" w:rsidR="009F47ED" w:rsidRPr="009F47ED" w:rsidRDefault="00431E8C" w:rsidP="009F47ED">
      <w:pPr>
        <w:pStyle w:val="FootnoteText"/>
      </w:pPr>
      <w:r>
        <w:rPr>
          <w:rStyle w:val="FootnoteReference"/>
        </w:rPr>
        <w:footnoteRef/>
      </w:r>
      <w:r>
        <w:rPr>
          <w:rStyle w:val="FootnoteReference"/>
        </w:rPr>
        <w:t xml:space="preserve"> </w:t>
      </w:r>
      <w:r>
        <w:t>ĠU C 129, 5.4.2019, p. 13.</w:t>
      </w:r>
    </w:p>
  </w:footnote>
  <w:footnote w:id="8">
    <w:p w14:paraId="06CD1B01" w14:textId="77777777" w:rsidR="009F47ED" w:rsidRPr="009F47ED" w:rsidRDefault="00431E8C" w:rsidP="009F47ED">
      <w:pPr>
        <w:pStyle w:val="FootnoteText"/>
      </w:pPr>
      <w:r>
        <w:rPr>
          <w:rStyle w:val="FootnoteReference"/>
        </w:rPr>
        <w:footnoteRef/>
      </w:r>
      <w:r>
        <w:rPr>
          <w:rStyle w:val="FootnoteReference"/>
        </w:rPr>
        <w:t xml:space="preserve"> </w:t>
      </w:r>
      <w:r>
        <w:t>ĠU C 390, 18.11.2019, p. 117.</w:t>
      </w:r>
    </w:p>
  </w:footnote>
  <w:footnote w:id="9">
    <w:p w14:paraId="05919C08" w14:textId="77777777" w:rsidR="009F47ED" w:rsidRPr="009F47ED" w:rsidRDefault="00431E8C" w:rsidP="009F47ED">
      <w:pPr>
        <w:pStyle w:val="FootnoteText"/>
      </w:pPr>
      <w:r>
        <w:rPr>
          <w:rStyle w:val="FootnoteReference"/>
        </w:rPr>
        <w:footnoteRef/>
      </w:r>
      <w:r>
        <w:rPr>
          <w:rStyle w:val="FootnoteReference"/>
        </w:rPr>
        <w:t xml:space="preserve"> </w:t>
      </w:r>
      <w:r>
        <w:t>ĠU C 433, 23.12.2019, p. 66.</w:t>
      </w:r>
    </w:p>
  </w:footnote>
  <w:footnote w:id="10">
    <w:p w14:paraId="3E1B87E4" w14:textId="77777777" w:rsidR="009F47ED" w:rsidRPr="009F47ED" w:rsidRDefault="00431E8C" w:rsidP="009F47ED">
      <w:pPr>
        <w:pStyle w:val="FootnoteText"/>
      </w:pPr>
      <w:r>
        <w:rPr>
          <w:rStyle w:val="FootnoteReference"/>
        </w:rPr>
        <w:footnoteRef/>
      </w:r>
      <w:r>
        <w:rPr>
          <w:rStyle w:val="FootnoteReference"/>
        </w:rPr>
        <w:t xml:space="preserve"> </w:t>
      </w:r>
      <w:r>
        <w:t>ĠU C 363, 28.10.2020, p. 13.</w:t>
      </w:r>
    </w:p>
  </w:footnote>
  <w:footnote w:id="11">
    <w:p w14:paraId="41391D61" w14:textId="77777777" w:rsidR="009F47ED" w:rsidRPr="009F47ED" w:rsidRDefault="00431E8C" w:rsidP="009F47ED">
      <w:pPr>
        <w:pStyle w:val="FootnoteText"/>
      </w:pPr>
      <w:r>
        <w:rPr>
          <w:rStyle w:val="FootnoteReference"/>
        </w:rPr>
        <w:footnoteRef/>
      </w:r>
      <w:r>
        <w:rPr>
          <w:rStyle w:val="FootnoteReference"/>
        </w:rPr>
        <w:t xml:space="preserve"> </w:t>
      </w:r>
      <w:r>
        <w:t>ĠU C 363, 28.10.2020, p. 45.</w:t>
      </w:r>
    </w:p>
  </w:footnote>
  <w:footnote w:id="12">
    <w:p w14:paraId="4728ED20" w14:textId="77777777" w:rsidR="009F47ED" w:rsidRPr="009F47ED" w:rsidRDefault="00431E8C" w:rsidP="009F47ED">
      <w:pPr>
        <w:pStyle w:val="FootnoteText"/>
      </w:pPr>
      <w:r>
        <w:rPr>
          <w:rStyle w:val="FootnoteReference"/>
        </w:rPr>
        <w:footnoteRef/>
      </w:r>
      <w:r>
        <w:rPr>
          <w:rStyle w:val="FootnoteReference"/>
        </w:rPr>
        <w:t xml:space="preserve"> </w:t>
      </w:r>
      <w:r>
        <w:t>ĠU C 395, 29.9.2021, p. 2.</w:t>
      </w:r>
    </w:p>
  </w:footnote>
  <w:footnote w:id="13">
    <w:p w14:paraId="081DCB21" w14:textId="77777777" w:rsidR="009F47ED" w:rsidRPr="009F47ED" w:rsidRDefault="00431E8C" w:rsidP="009F47ED">
      <w:pPr>
        <w:pStyle w:val="FootnoteText"/>
      </w:pPr>
      <w:r>
        <w:rPr>
          <w:rStyle w:val="FootnoteReference"/>
        </w:rPr>
        <w:footnoteRef/>
      </w:r>
      <w:r>
        <w:rPr>
          <w:rStyle w:val="FootnoteReference"/>
        </w:rPr>
        <w:t xml:space="preserve"> </w:t>
      </w:r>
      <w:r>
        <w:t>ĠU C 395, 29.9.2021, p. 63.</w:t>
      </w:r>
    </w:p>
  </w:footnote>
  <w:footnote w:id="14">
    <w:p w14:paraId="7A06770B" w14:textId="77777777" w:rsidR="009F47ED" w:rsidRPr="009F47ED" w:rsidRDefault="00431E8C" w:rsidP="009F47ED">
      <w:pPr>
        <w:pStyle w:val="FootnoteText"/>
      </w:pPr>
      <w:r>
        <w:rPr>
          <w:rStyle w:val="FootnoteReference"/>
        </w:rPr>
        <w:footnoteRef/>
      </w:r>
      <w:r>
        <w:rPr>
          <w:rStyle w:val="FootnoteReference"/>
        </w:rPr>
        <w:t xml:space="preserve"> </w:t>
      </w:r>
      <w:r>
        <w:t>ĠU C 415, 13.10.2021, p. 36.</w:t>
      </w:r>
    </w:p>
  </w:footnote>
  <w:footnote w:id="15">
    <w:p w14:paraId="6511DAD4" w14:textId="77777777" w:rsidR="009F47ED" w:rsidRPr="009F47ED" w:rsidRDefault="00431E8C" w:rsidP="009F47ED">
      <w:pPr>
        <w:pStyle w:val="FootnoteText"/>
      </w:pPr>
      <w:r>
        <w:rPr>
          <w:rStyle w:val="FootnoteReference"/>
        </w:rPr>
        <w:footnoteRef/>
      </w:r>
      <w:r>
        <w:rPr>
          <w:rStyle w:val="FootnoteReference"/>
        </w:rPr>
        <w:t xml:space="preserve"> </w:t>
      </w:r>
      <w:r>
        <w:t>ĠU C 445, 29.10.2021, p. 70.</w:t>
      </w:r>
    </w:p>
  </w:footnote>
  <w:footnote w:id="16">
    <w:p w14:paraId="7904DE57" w14:textId="77777777" w:rsidR="009F47ED" w:rsidRPr="009F47ED" w:rsidRDefault="00431E8C" w:rsidP="009F47ED">
      <w:pPr>
        <w:pStyle w:val="FootnoteText"/>
      </w:pPr>
      <w:r>
        <w:rPr>
          <w:rStyle w:val="FootnoteReference"/>
        </w:rPr>
        <w:footnoteRef/>
      </w:r>
      <w:r>
        <w:rPr>
          <w:rStyle w:val="FootnoteReference"/>
        </w:rPr>
        <w:t xml:space="preserve"> </w:t>
      </w:r>
      <w:r>
        <w:t>ĠU C 67, 8.2.2022, p. 86.</w:t>
      </w:r>
    </w:p>
  </w:footnote>
  <w:footnote w:id="17">
    <w:p w14:paraId="4AD29BF4" w14:textId="77777777" w:rsidR="009F47ED" w:rsidRPr="009F47ED" w:rsidRDefault="00431E8C" w:rsidP="009F47ED">
      <w:pPr>
        <w:pStyle w:val="FootnoteText"/>
      </w:pPr>
      <w:r>
        <w:rPr>
          <w:rStyle w:val="FootnoteReference"/>
        </w:rPr>
        <w:footnoteRef/>
      </w:r>
      <w:r>
        <w:rPr>
          <w:rStyle w:val="FootnoteReference"/>
        </w:rPr>
        <w:t xml:space="preserve"> </w:t>
      </w:r>
      <w:r>
        <w:t>ĠU C 81, 18.2.2022, p. 27.</w:t>
      </w:r>
    </w:p>
  </w:footnote>
  <w:footnote w:id="18">
    <w:p w14:paraId="0CB5AC4C" w14:textId="77777777" w:rsidR="009F47ED" w:rsidRPr="009F47ED" w:rsidRDefault="00431E8C" w:rsidP="009F47ED">
      <w:pPr>
        <w:pStyle w:val="FootnoteText"/>
      </w:pPr>
      <w:r>
        <w:rPr>
          <w:rStyle w:val="FootnoteReference"/>
        </w:rPr>
        <w:footnoteRef/>
      </w:r>
      <w:r>
        <w:rPr>
          <w:rStyle w:val="FootnoteReference"/>
        </w:rPr>
        <w:t xml:space="preserve"> </w:t>
      </w:r>
      <w:r>
        <w:t>ĠU C 99, 1.3.2022, p. 146.</w:t>
      </w:r>
    </w:p>
  </w:footnote>
  <w:footnote w:id="19">
    <w:p w14:paraId="309F8C1E" w14:textId="77777777" w:rsidR="009F47ED" w:rsidRPr="009F47ED" w:rsidRDefault="00431E8C" w:rsidP="009F47ED">
      <w:pPr>
        <w:pStyle w:val="FootnoteText"/>
      </w:pPr>
      <w:r>
        <w:rPr>
          <w:rStyle w:val="FootnoteReference"/>
        </w:rPr>
        <w:footnoteRef/>
      </w:r>
      <w:r>
        <w:rPr>
          <w:rStyle w:val="FootnoteReference"/>
        </w:rPr>
        <w:t xml:space="preserve"> </w:t>
      </w:r>
      <w:r>
        <w:t>ĠU C 117, 11.3.2022, p. 88.</w:t>
      </w:r>
    </w:p>
  </w:footnote>
  <w:footnote w:id="20">
    <w:p w14:paraId="73CF30B0" w14:textId="77777777" w:rsidR="009F47ED" w:rsidRPr="009F47ED" w:rsidRDefault="00431E8C" w:rsidP="009F47ED">
      <w:pPr>
        <w:pStyle w:val="FootnoteText"/>
      </w:pPr>
      <w:r>
        <w:rPr>
          <w:rStyle w:val="FootnoteReference"/>
        </w:rPr>
        <w:footnoteRef/>
      </w:r>
      <w:r>
        <w:rPr>
          <w:rStyle w:val="FootnoteReference"/>
        </w:rPr>
        <w:t xml:space="preserve"> </w:t>
      </w:r>
      <w:r>
        <w:t xml:space="preserve">ĠU C 205, </w:t>
      </w:r>
      <w:r>
        <w:t>20.5.2022, p. 2.</w:t>
      </w:r>
    </w:p>
  </w:footnote>
  <w:footnote w:id="21">
    <w:p w14:paraId="6E8BCF50" w14:textId="77777777" w:rsidR="009F47ED" w:rsidRPr="009F47ED" w:rsidRDefault="00431E8C" w:rsidP="009F47ED">
      <w:pPr>
        <w:pStyle w:val="FootnoteText"/>
      </w:pPr>
      <w:r>
        <w:rPr>
          <w:rStyle w:val="FootnoteReference"/>
        </w:rPr>
        <w:footnoteRef/>
      </w:r>
      <w:r>
        <w:rPr>
          <w:rStyle w:val="FootnoteReference"/>
        </w:rPr>
        <w:t xml:space="preserve"> </w:t>
      </w:r>
      <w:r>
        <w:t>ĠU C 251, 30.6.2022, p. 48.</w:t>
      </w:r>
    </w:p>
  </w:footnote>
  <w:footnote w:id="22">
    <w:p w14:paraId="049D282D" w14:textId="77777777" w:rsidR="009F47ED" w:rsidRPr="009F47ED" w:rsidRDefault="00431E8C" w:rsidP="009F47ED">
      <w:pPr>
        <w:pStyle w:val="FootnoteText"/>
      </w:pPr>
      <w:r>
        <w:rPr>
          <w:rStyle w:val="FootnoteReference"/>
        </w:rPr>
        <w:footnoteRef/>
      </w:r>
      <w:r>
        <w:rPr>
          <w:rStyle w:val="FootnoteReference"/>
        </w:rPr>
        <w:t xml:space="preserve"> </w:t>
      </w:r>
      <w:r>
        <w:t>ĠU C 347, 9.9.2022, p. 2.</w:t>
      </w:r>
    </w:p>
  </w:footnote>
  <w:footnote w:id="23">
    <w:p w14:paraId="1C1B006B" w14:textId="77777777" w:rsidR="009F47ED" w:rsidRPr="009F47ED" w:rsidRDefault="00431E8C" w:rsidP="009F47ED">
      <w:pPr>
        <w:pStyle w:val="FootnoteText"/>
      </w:pPr>
      <w:r>
        <w:rPr>
          <w:rStyle w:val="FootnoteReference"/>
        </w:rPr>
        <w:footnoteRef/>
      </w:r>
      <w:r>
        <w:rPr>
          <w:rStyle w:val="FootnoteReference"/>
        </w:rPr>
        <w:t xml:space="preserve"> </w:t>
      </w:r>
      <w:r>
        <w:t>ĠU C 347, 9.9.2022, p. 168.</w:t>
      </w:r>
    </w:p>
  </w:footnote>
  <w:footnote w:id="24">
    <w:p w14:paraId="52EBD9F1" w14:textId="77777777" w:rsidR="009F47ED" w:rsidRPr="009F47ED" w:rsidRDefault="00431E8C" w:rsidP="009F47ED">
      <w:pPr>
        <w:pStyle w:val="FootnoteText"/>
      </w:pPr>
      <w:r>
        <w:rPr>
          <w:rStyle w:val="FootnoteReference"/>
        </w:rPr>
        <w:footnoteRef/>
      </w:r>
      <w:r>
        <w:rPr>
          <w:rStyle w:val="FootnoteReference"/>
        </w:rPr>
        <w:t xml:space="preserve"> </w:t>
      </w:r>
      <w:r>
        <w:t>ĠU C 474, 24.11.2021, p. 140.</w:t>
      </w:r>
    </w:p>
  </w:footnote>
  <w:footnote w:id="25">
    <w:p w14:paraId="3D14E0EC" w14:textId="77777777" w:rsidR="009F47ED" w:rsidRPr="009F47ED" w:rsidRDefault="00431E8C" w:rsidP="009F47ED">
      <w:pPr>
        <w:pStyle w:val="FootnoteText"/>
      </w:pPr>
      <w:r>
        <w:rPr>
          <w:rStyle w:val="FootnoteReference"/>
        </w:rPr>
        <w:footnoteRef/>
      </w:r>
      <w:r>
        <w:rPr>
          <w:rStyle w:val="FootnoteReference"/>
        </w:rPr>
        <w:t xml:space="preserve"> </w:t>
      </w:r>
      <w:r>
        <w:t>ĠU C 479, 16.12.2022, p. 18.</w:t>
      </w:r>
    </w:p>
  </w:footnote>
  <w:footnote w:id="26">
    <w:p w14:paraId="65058690" w14:textId="77777777" w:rsidR="009F47ED" w:rsidRPr="009F47ED" w:rsidRDefault="00431E8C" w:rsidP="009F47ED">
      <w:pPr>
        <w:pStyle w:val="FootnoteText"/>
      </w:pPr>
      <w:r>
        <w:rPr>
          <w:rStyle w:val="FootnoteReference"/>
        </w:rPr>
        <w:footnoteRef/>
      </w:r>
      <w:r>
        <w:rPr>
          <w:rStyle w:val="FootnoteReference"/>
        </w:rPr>
        <w:t xml:space="preserve"> </w:t>
      </w:r>
      <w:r>
        <w:t>ĠU C 493, 27.12.2022, p. 108.</w:t>
      </w:r>
    </w:p>
  </w:footnote>
  <w:footnote w:id="27">
    <w:p w14:paraId="2008316F" w14:textId="77777777" w:rsidR="009F47ED" w:rsidRPr="009F47ED" w:rsidRDefault="00431E8C" w:rsidP="009F47ED">
      <w:pPr>
        <w:pStyle w:val="FootnoteText"/>
      </w:pPr>
      <w:r>
        <w:rPr>
          <w:rStyle w:val="FootnoteReference"/>
        </w:rPr>
        <w:footnoteRef/>
      </w:r>
      <w:r>
        <w:rPr>
          <w:rStyle w:val="FootnoteReference"/>
        </w:rPr>
        <w:t xml:space="preserve"> </w:t>
      </w:r>
      <w:r>
        <w:t>ĠU C 125, 5.4.2023, p. 80.</w:t>
      </w:r>
    </w:p>
  </w:footnote>
  <w:footnote w:id="28">
    <w:p w14:paraId="755D311C" w14:textId="77777777" w:rsidR="009F47ED" w:rsidRPr="009F47ED" w:rsidRDefault="00431E8C" w:rsidP="009F47ED">
      <w:pPr>
        <w:pStyle w:val="FootnoteText"/>
      </w:pPr>
      <w:r>
        <w:rPr>
          <w:rStyle w:val="FootnoteReference"/>
        </w:rPr>
        <w:footnoteRef/>
      </w:r>
      <w:r>
        <w:rPr>
          <w:rStyle w:val="FootnoteReference"/>
        </w:rPr>
        <w:t xml:space="preserve"> </w:t>
      </w:r>
      <w:r>
        <w:t>ĠU C 125, 5.4.2023, p. 463.</w:t>
      </w:r>
    </w:p>
  </w:footnote>
  <w:footnote w:id="29">
    <w:p w14:paraId="1331EB72" w14:textId="77777777" w:rsidR="009F47ED" w:rsidRPr="009F47ED" w:rsidRDefault="00431E8C" w:rsidP="009F47ED">
      <w:pPr>
        <w:pStyle w:val="FootnoteText"/>
      </w:pPr>
      <w:r>
        <w:rPr>
          <w:rStyle w:val="FootnoteReference"/>
        </w:rPr>
        <w:footnoteRef/>
      </w:r>
      <w:r>
        <w:rPr>
          <w:rStyle w:val="FootnoteReference"/>
        </w:rPr>
        <w:t xml:space="preserve"> </w:t>
      </w:r>
      <w:r>
        <w:t>ĠU C 149, 28.4.2023, p. 15.</w:t>
      </w:r>
    </w:p>
  </w:footnote>
  <w:footnote w:id="30">
    <w:p w14:paraId="7D223A05" w14:textId="77777777" w:rsidR="009F47ED" w:rsidRPr="009F47ED" w:rsidRDefault="00431E8C" w:rsidP="009F47ED">
      <w:pPr>
        <w:pStyle w:val="FootnoteText"/>
      </w:pPr>
      <w:r>
        <w:rPr>
          <w:rStyle w:val="FootnoteReference"/>
        </w:rPr>
        <w:footnoteRef/>
      </w:r>
      <w:r>
        <w:rPr>
          <w:rStyle w:val="FootnoteReference"/>
        </w:rPr>
        <w:t xml:space="preserve"> </w:t>
      </w:r>
      <w:r>
        <w:t>ĠU C 149, 28.4.2023, p. 22.</w:t>
      </w:r>
    </w:p>
  </w:footnote>
  <w:footnote w:id="31">
    <w:p w14:paraId="2518C834" w14:textId="77777777" w:rsidR="009F47ED" w:rsidRPr="009F47ED" w:rsidRDefault="00431E8C" w:rsidP="009F47ED">
      <w:pPr>
        <w:pStyle w:val="FootnoteText"/>
      </w:pPr>
      <w:r>
        <w:rPr>
          <w:rStyle w:val="FootnoteReference"/>
        </w:rPr>
        <w:footnoteRef/>
      </w:r>
      <w:r>
        <w:rPr>
          <w:rStyle w:val="FootnoteReference"/>
        </w:rPr>
        <w:t xml:space="preserve"> </w:t>
      </w:r>
      <w:r>
        <w:t>ĠU C 161, 5.5.2023, p. 10.</w:t>
      </w:r>
    </w:p>
  </w:footnote>
  <w:footnote w:id="32">
    <w:p w14:paraId="42C54C6E" w14:textId="77777777" w:rsidR="009F47ED" w:rsidRPr="009F47ED" w:rsidRDefault="00431E8C" w:rsidP="009F47ED">
      <w:pPr>
        <w:pStyle w:val="FootnoteText"/>
      </w:pPr>
      <w:r>
        <w:rPr>
          <w:rStyle w:val="FootnoteReference"/>
        </w:rPr>
        <w:footnoteRef/>
      </w:r>
      <w:r>
        <w:rPr>
          <w:rStyle w:val="FootnoteReference"/>
        </w:rPr>
        <w:t xml:space="preserve"> </w:t>
      </w:r>
      <w:r>
        <w:t>ĠU C 167, 11.5.2023, p. 74.</w:t>
      </w:r>
    </w:p>
  </w:footnote>
  <w:footnote w:id="33">
    <w:p w14:paraId="2611F420" w14:textId="77777777" w:rsidR="009F47ED" w:rsidRPr="009F47ED" w:rsidRDefault="00431E8C" w:rsidP="009F47ED">
      <w:pPr>
        <w:pStyle w:val="FootnoteText"/>
      </w:pPr>
      <w:r>
        <w:rPr>
          <w:rStyle w:val="FootnoteReference"/>
        </w:rPr>
        <w:footnoteRef/>
      </w:r>
      <w:r>
        <w:rPr>
          <w:rStyle w:val="FootnoteReference"/>
        </w:rPr>
        <w:t xml:space="preserve"> </w:t>
      </w:r>
      <w:r>
        <w:t>ĠU C 341, 27.9.2023, p. 2.</w:t>
      </w:r>
    </w:p>
  </w:footnote>
  <w:footnote w:id="34">
    <w:p w14:paraId="19CF3323" w14:textId="77777777" w:rsidR="009F47ED" w:rsidRPr="009F47ED" w:rsidRDefault="00431E8C" w:rsidP="009F47ED">
      <w:pPr>
        <w:pStyle w:val="FootnoteText"/>
      </w:pPr>
      <w:r>
        <w:rPr>
          <w:rStyle w:val="FootnoteReference"/>
        </w:rPr>
        <w:footnoteRef/>
      </w:r>
      <w:r>
        <w:rPr>
          <w:rStyle w:val="FootnoteReference"/>
        </w:rPr>
        <w:t xml:space="preserve"> </w:t>
      </w:r>
      <w:r>
        <w:t xml:space="preserve">ĠU C, C/2023/442, 1.12.2023, ELI: </w:t>
      </w:r>
      <w:hyperlink r:id="rId5" w:history="1">
        <w:r>
          <w:rPr>
            <w:rStyle w:val="Hyperlink"/>
          </w:rPr>
          <w:t>http://data.europa.eu/eli/C/2023/442/oj</w:t>
        </w:r>
      </w:hyperlink>
      <w:r>
        <w:t>.</w:t>
      </w:r>
    </w:p>
  </w:footnote>
  <w:footnote w:id="35">
    <w:p w14:paraId="3CE99271" w14:textId="77777777" w:rsidR="009F47ED" w:rsidRPr="009F47ED" w:rsidRDefault="00431E8C" w:rsidP="009F47ED">
      <w:pPr>
        <w:pStyle w:val="FootnoteText"/>
      </w:pPr>
      <w:r>
        <w:rPr>
          <w:rStyle w:val="FootnoteReference"/>
        </w:rPr>
        <w:footnoteRef/>
      </w:r>
      <w:r>
        <w:rPr>
          <w:rStyle w:val="FootnoteReference"/>
        </w:rPr>
        <w:t xml:space="preserve"> </w:t>
      </w:r>
      <w:r>
        <w:t xml:space="preserve">ĠU C, C/2024/6334, 7.11.2024, ELI: </w:t>
      </w:r>
      <w:hyperlink r:id="rId6" w:history="1">
        <w:r>
          <w:rPr>
            <w:rStyle w:val="Hyperlink"/>
          </w:rPr>
          <w:t>http://data.europa.eu/eli/C/2024/6334/oj</w:t>
        </w:r>
      </w:hyperlink>
      <w:r>
        <w:t>.</w:t>
      </w:r>
    </w:p>
  </w:footnote>
  <w:footnote w:id="36">
    <w:p w14:paraId="67A3D2E3" w14:textId="77777777" w:rsidR="009F47ED" w:rsidRPr="009F47ED" w:rsidRDefault="00431E8C" w:rsidP="009F47ED">
      <w:pPr>
        <w:pStyle w:val="FootnoteText"/>
      </w:pPr>
      <w:r>
        <w:rPr>
          <w:rStyle w:val="FootnoteReference"/>
        </w:rPr>
        <w:footnoteRef/>
      </w:r>
      <w:r>
        <w:rPr>
          <w:rStyle w:val="FootnoteReference"/>
        </w:rPr>
        <w:t xml:space="preserve"> </w:t>
      </w:r>
      <w:r>
        <w:t xml:space="preserve">ĠU C, C/2024/6743, 26.11.2024, ELI: </w:t>
      </w:r>
      <w:hyperlink r:id="rId7" w:history="1">
        <w:r>
          <w:rPr>
            <w:rStyle w:val="Hyperlink"/>
          </w:rPr>
          <w:t>http://data.europa.eu/eli/C/2024/6743/oj</w:t>
        </w:r>
      </w:hyperlink>
      <w:r>
        <w:t>.</w:t>
      </w:r>
    </w:p>
  </w:footnote>
  <w:footnote w:id="37">
    <w:p w14:paraId="12DE4681" w14:textId="77777777" w:rsidR="009F47ED" w:rsidRPr="009F47ED" w:rsidRDefault="00431E8C" w:rsidP="009F47ED">
      <w:pPr>
        <w:pStyle w:val="FootnoteText"/>
      </w:pPr>
      <w:r>
        <w:rPr>
          <w:rStyle w:val="FootnoteReference"/>
        </w:rPr>
        <w:footnoteRef/>
      </w:r>
      <w:r>
        <w:rPr>
          <w:rStyle w:val="FootnoteReference"/>
        </w:rPr>
        <w:t xml:space="preserve"> </w:t>
      </w:r>
      <w:r>
        <w:t xml:space="preserve">ĠU C, C/2024/6746, 26.11.2024, ELI: </w:t>
      </w:r>
      <w:hyperlink r:id="rId8" w:history="1">
        <w:r>
          <w:rPr>
            <w:rStyle w:val="Hyperlink"/>
          </w:rPr>
          <w:t>http://data.europa.eu/eli/C/2024/6746/oj</w:t>
        </w:r>
      </w:hyperlink>
      <w:r>
        <w:t>.</w:t>
      </w:r>
    </w:p>
  </w:footnote>
  <w:footnote w:id="38">
    <w:p w14:paraId="744375E3" w14:textId="77777777" w:rsidR="009F47ED" w:rsidRPr="009F47ED" w:rsidRDefault="00431E8C" w:rsidP="009F47ED">
      <w:pPr>
        <w:pStyle w:val="FootnoteText"/>
      </w:pPr>
      <w:r>
        <w:rPr>
          <w:rStyle w:val="FootnoteReference"/>
        </w:rPr>
        <w:footnoteRef/>
      </w:r>
      <w:r>
        <w:rPr>
          <w:rStyle w:val="FootnoteReference"/>
        </w:rPr>
        <w:t xml:space="preserve"> </w:t>
      </w:r>
      <w:r>
        <w:t xml:space="preserve">ĠU C, C/2023/1223, 21.12.2023, ELI: </w:t>
      </w:r>
      <w:hyperlink r:id="rId9" w:history="1">
        <w:r>
          <w:rPr>
            <w:rStyle w:val="Hyperlink"/>
          </w:rPr>
          <w:t>http://data.europa.eu/eli/C/2023/1223/oj</w:t>
        </w:r>
      </w:hyperlink>
      <w:r>
        <w:t>.</w:t>
      </w:r>
    </w:p>
  </w:footnote>
  <w:footnote w:id="39">
    <w:p w14:paraId="5B0E7A0D" w14:textId="77777777" w:rsidR="009F47ED" w:rsidRPr="009F47ED" w:rsidRDefault="00431E8C" w:rsidP="009F47ED">
      <w:pPr>
        <w:pStyle w:val="FootnoteText"/>
      </w:pPr>
      <w:r>
        <w:rPr>
          <w:rStyle w:val="FootnoteReference"/>
        </w:rPr>
        <w:footnoteRef/>
      </w:r>
      <w:r>
        <w:rPr>
          <w:rStyle w:val="FootnoteReference"/>
        </w:rPr>
        <w:t xml:space="preserve"> </w:t>
      </w:r>
      <w:r>
        <w:t xml:space="preserve">ĠU C, C/2024/494, 23.1.2024, ELI: </w:t>
      </w:r>
      <w:hyperlink r:id="rId10" w:history="1">
        <w:r>
          <w:rPr>
            <w:rStyle w:val="Hyperlink"/>
          </w:rPr>
          <w:t>http://data.europa.eu/eli/C/2024/494/oj</w:t>
        </w:r>
      </w:hyperlink>
      <w:r>
        <w:t>.</w:t>
      </w:r>
    </w:p>
  </w:footnote>
  <w:footnote w:id="40">
    <w:p w14:paraId="556D36D6" w14:textId="77777777" w:rsidR="009F47ED" w:rsidRPr="009F47ED" w:rsidRDefault="00431E8C" w:rsidP="009F47ED">
      <w:pPr>
        <w:pStyle w:val="FootnoteText"/>
      </w:pPr>
      <w:r>
        <w:rPr>
          <w:rStyle w:val="FootnoteReference"/>
        </w:rPr>
        <w:footnoteRef/>
      </w:r>
      <w:r>
        <w:rPr>
          <w:rStyle w:val="FootnoteReference"/>
        </w:rPr>
        <w:t xml:space="preserve"> </w:t>
      </w:r>
      <w:r>
        <w:t xml:space="preserve">ĠU C, C/2024/3995, 17.7.2024, ELI: </w:t>
      </w:r>
      <w:hyperlink r:id="rId11" w:history="1">
        <w:r>
          <w:rPr>
            <w:rStyle w:val="Hyperlink"/>
          </w:rPr>
          <w:t>http://data.europa.eu/eli/C/2024/3995/oj</w:t>
        </w:r>
      </w:hyperlink>
      <w:r>
        <w:t>.</w:t>
      </w:r>
    </w:p>
  </w:footnote>
  <w:footnote w:id="41">
    <w:p w14:paraId="59DDA215" w14:textId="77777777" w:rsidR="009F47ED" w:rsidRPr="009F47ED" w:rsidRDefault="00431E8C" w:rsidP="009F47ED">
      <w:pPr>
        <w:pStyle w:val="FootnoteText"/>
      </w:pPr>
      <w:r>
        <w:rPr>
          <w:rStyle w:val="FootnoteReference"/>
        </w:rPr>
        <w:footnoteRef/>
      </w:r>
      <w:r>
        <w:rPr>
          <w:rStyle w:val="FootnoteReference"/>
        </w:rPr>
        <w:t xml:space="preserve"> </w:t>
      </w:r>
      <w:r>
        <w:t xml:space="preserve">ĠU C, C/2024/2656, 29.4.2024, ELI: </w:t>
      </w:r>
      <w:hyperlink r:id="rId12" w:history="1">
        <w:r>
          <w:rPr>
            <w:rStyle w:val="Hyperlink"/>
          </w:rPr>
          <w:t>http://data.europa.eu/eli/C/2024/2656/oj</w:t>
        </w:r>
      </w:hyperlink>
      <w:r>
        <w:t>.</w:t>
      </w:r>
    </w:p>
  </w:footnote>
  <w:footnote w:id="42">
    <w:p w14:paraId="269FE083" w14:textId="77777777" w:rsidR="009F47ED" w:rsidRPr="009F47ED" w:rsidRDefault="00431E8C" w:rsidP="009F47ED">
      <w:pPr>
        <w:pStyle w:val="FootnoteText"/>
      </w:pPr>
      <w:r>
        <w:rPr>
          <w:rStyle w:val="FootnoteReference"/>
        </w:rPr>
        <w:footnoteRef/>
      </w:r>
      <w:r>
        <w:rPr>
          <w:rStyle w:val="FootnoteReference"/>
        </w:rPr>
        <w:t xml:space="preserve"> </w:t>
      </w:r>
      <w:r>
        <w:t xml:space="preserve">ĠU C, C/2024/5739, 17.10.2024, ELI: </w:t>
      </w:r>
      <w:hyperlink r:id="rId13" w:history="1">
        <w:r>
          <w:rPr>
            <w:rStyle w:val="Hyperlink"/>
          </w:rPr>
          <w:t>http://data.europa.eu/eli/C/2024/5739/oj</w:t>
        </w:r>
      </w:hyperlink>
      <w:r>
        <w:t>.</w:t>
      </w:r>
    </w:p>
  </w:footnote>
  <w:footnote w:id="43">
    <w:p w14:paraId="5E74D61C" w14:textId="77777777" w:rsidR="009F47ED" w:rsidRPr="009F47ED" w:rsidRDefault="00431E8C" w:rsidP="009F47ED">
      <w:pPr>
        <w:pStyle w:val="FootnoteText"/>
      </w:pPr>
      <w:r>
        <w:rPr>
          <w:rStyle w:val="FootnoteReference"/>
        </w:rPr>
        <w:footnoteRef/>
      </w:r>
      <w:r>
        <w:rPr>
          <w:rStyle w:val="FootnoteReference"/>
        </w:rPr>
        <w:t xml:space="preserve"> </w:t>
      </w:r>
      <w:r>
        <w:t xml:space="preserve">ĠU C, C/2024/5733, 17.10.2024, ELI: </w:t>
      </w:r>
      <w:hyperlink r:id="rId14" w:history="1">
        <w:r>
          <w:rPr>
            <w:rStyle w:val="Hyperlink"/>
          </w:rPr>
          <w:t>http://data.europa.eu/eli/C/2024/5733/oj</w:t>
        </w:r>
      </w:hyperlink>
      <w:r>
        <w:t>.</w:t>
      </w:r>
    </w:p>
  </w:footnote>
  <w:footnote w:id="44">
    <w:p w14:paraId="4346C5D1" w14:textId="77777777" w:rsidR="009F47ED" w:rsidRPr="009F47ED" w:rsidRDefault="00431E8C" w:rsidP="009F47ED">
      <w:pPr>
        <w:pStyle w:val="FootnoteText"/>
      </w:pPr>
      <w:r>
        <w:rPr>
          <w:rStyle w:val="FootnoteReference"/>
        </w:rPr>
        <w:footnoteRef/>
      </w:r>
      <w:r>
        <w:rPr>
          <w:rStyle w:val="FootnoteReference"/>
        </w:rPr>
        <w:t xml:space="preserve"> </w:t>
      </w:r>
      <w:r>
        <w:t xml:space="preserve">ĠU C, C/2025/3705, 17.9.2025, ELI: </w:t>
      </w:r>
      <w:hyperlink r:id="rId15" w:history="1">
        <w:r>
          <w:rPr>
            <w:rStyle w:val="Hyperlink"/>
          </w:rPr>
          <w:t>http://data.europa.eu/eli/C/2025/3705/oj</w:t>
        </w:r>
      </w:hyperlink>
      <w:r>
        <w:t>.</w:t>
      </w:r>
    </w:p>
  </w:footnote>
  <w:footnote w:id="45">
    <w:p w14:paraId="0D1FAE02" w14:textId="77777777" w:rsidR="009F47ED" w:rsidRPr="009F47ED" w:rsidRDefault="00431E8C" w:rsidP="009F47ED">
      <w:pPr>
        <w:pStyle w:val="FootnoteText"/>
      </w:pPr>
      <w:r>
        <w:rPr>
          <w:rStyle w:val="FootnoteReference"/>
        </w:rPr>
        <w:footnoteRef/>
      </w:r>
      <w:r>
        <w:rPr>
          <w:rStyle w:val="FootnoteReference"/>
        </w:rPr>
        <w:t xml:space="preserve"> </w:t>
      </w:r>
      <w:r>
        <w:t xml:space="preserve">Għall-attivitajiet kollha ta’ monitoraġġ tad-DRFMG, ara: għall-aħħar mandat: </w:t>
      </w:r>
      <w:hyperlink r:id="rId16" w:history="1">
        <w:r>
          <w:rPr>
            <w:rStyle w:val="Hyperlink"/>
          </w:rPr>
          <w:t>https://www.europarl.europa.eu/committees/mt/libe-democracy-rule-of-law-and-fundament/product-details/20190103CDT02662</w:t>
        </w:r>
      </w:hyperlink>
      <w:r>
        <w:t xml:space="preserve">, u għal dan it-terminu: </w:t>
      </w:r>
      <w:hyperlink r:id="rId17" w:history="1">
        <w:r>
          <w:rPr>
            <w:rStyle w:val="Hyperlink"/>
          </w:rPr>
          <w:t>https://www.europarl.europa.eu/committees/mt/working-group-democracy-rule-of-law-and-/product-details/20241205CDT13884</w:t>
        </w:r>
      </w:hyperlink>
      <w:r>
        <w:t>.</w:t>
      </w:r>
    </w:p>
  </w:footnote>
  <w:footnote w:id="46">
    <w:p w14:paraId="1363365B" w14:textId="77777777" w:rsidR="009F47ED" w:rsidRPr="009F47ED" w:rsidRDefault="00431E8C" w:rsidP="009F47ED">
      <w:pPr>
        <w:pStyle w:val="FootnoteText"/>
      </w:pPr>
      <w:r>
        <w:rPr>
          <w:rStyle w:val="FootnoteReference"/>
        </w:rPr>
        <w:footnoteRef/>
      </w:r>
      <w:r>
        <w:t xml:space="preserve"> Ir-Rakkomandazzjoni tal-Kummissjoni (UE) 2021/1534 tas-16 ta’ Settembru 2021 dwar l-iżgurar tal-protezzjoni, tas-sikurezza u tat-tisħiħ tal-pożizzjoni tal-ġurnalisti u ta’ professjonisti oħra fil-media fl-Unjoni Ewropea (ĠU L 331, 20.9.2021, p. 8, ELI: </w:t>
      </w:r>
      <w:hyperlink r:id="rId18" w:tooltip="Jagħti aċċess għal dan id-dokument permezz tal-URI tal-ELI tiegħu." w:history="1">
        <w:r>
          <w:rPr>
            <w:rStyle w:val="Hyperlink"/>
          </w:rPr>
          <w:t>http://data.europa.eu/eli/reco/2021/1534/oj</w:t>
        </w:r>
      </w:hyperlink>
      <w:r>
        <w:t>).</w:t>
      </w:r>
    </w:p>
  </w:footnote>
  <w:footnote w:id="47">
    <w:p w14:paraId="6028FA4D" w14:textId="77777777" w:rsidR="009F47ED" w:rsidRPr="009F47ED" w:rsidRDefault="00431E8C" w:rsidP="009F47ED">
      <w:pPr>
        <w:pStyle w:val="FootnoteText"/>
      </w:pPr>
      <w:r>
        <w:rPr>
          <w:rStyle w:val="FootnoteReference"/>
        </w:rPr>
        <w:footnoteRef/>
      </w:r>
      <w:r>
        <w:t xml:space="preserve"> Ir-Rakkomandazzjoni tal-Kummissjoni (UE) 2022/758 tas-27 ta’ April 2022 dwar il-protezzjoni tal-ġurnalisti u tad-difensuri tad-drittijiet tal-bniedem li jinvolvu ruħhom fil-parteċipazzjoni pubblika minn proċedimenti tal-qorti manifestament bla bażi jew abbużivi (“Kawżi strateġiċi kontra l-parteċipazzjoni pubblika”) (ĠU L 138, 17.5.2022, p. 30, ELI: </w:t>
      </w:r>
      <w:hyperlink r:id="rId19" w:tooltip="Jagħti aċċess għal dan id-dokument permezz tal-URI tal-ELI tiegħu." w:history="1">
        <w:r>
          <w:rPr>
            <w:rStyle w:val="Hyperlink"/>
          </w:rPr>
          <w:t>http://data.europa.eu/eli/reco/2022/758/oj</w:t>
        </w:r>
      </w:hyperlink>
      <w:r>
        <w:t>).</w:t>
      </w:r>
    </w:p>
  </w:footnote>
  <w:footnote w:id="48">
    <w:p w14:paraId="1F17537C" w14:textId="77777777" w:rsidR="009F47ED" w:rsidRPr="009F47ED" w:rsidRDefault="00431E8C" w:rsidP="009F47ED">
      <w:pPr>
        <w:pStyle w:val="FootnoteText"/>
      </w:pPr>
      <w:r>
        <w:rPr>
          <w:rStyle w:val="FootnoteReference"/>
        </w:rPr>
        <w:footnoteRef/>
      </w:r>
      <w:r>
        <w:t xml:space="preserve"> Id-Direttiva (UE) 2024/1069 tal-Parlament Ewropew u tal-Kunsill tal-11 ta’ April 2024 dwar il-protezzjoni ta’ persuni li jinvolvu ruħhom f’parteċipazzjoni pubblika minn talbiet manifestament infondati jew proċedimenti tal-qorti abbużivi (“Kawżi strateġiċi kontra l-parteċipazzjoni pubblika”) (ĠU L, 2024/1069, 16.4.2024, ELI: </w:t>
      </w:r>
      <w:hyperlink r:id="rId20" w:history="1">
        <w:r>
          <w:rPr>
            <w:rStyle w:val="Hyperlink"/>
          </w:rPr>
          <w:t>http://data.europa.eu/eli/dir/2024/1069/oj</w:t>
        </w:r>
      </w:hyperlink>
      <w:r>
        <w:t>).</w:t>
      </w:r>
    </w:p>
  </w:footnote>
  <w:footnote w:id="49">
    <w:p w14:paraId="5CEA8B05" w14:textId="77777777" w:rsidR="009F47ED" w:rsidRPr="009F47ED" w:rsidRDefault="00431E8C" w:rsidP="009F47ED">
      <w:pPr>
        <w:pStyle w:val="FootnoteText"/>
      </w:pPr>
      <w:r>
        <w:rPr>
          <w:rStyle w:val="FootnoteReference"/>
        </w:rPr>
        <w:footnoteRef/>
      </w:r>
      <w:r>
        <w:t xml:space="preserve"> Proposta għal direttiva tal-Kunsill dwar l-implimentazzjoni tal-prinċipju ta’ trattament ugwali bejn il-persuni irrispettivament mir-reliġjon jew it-twemmin, id-diżabilità, l-età jew l-orjentazzjoni sesswali (COM(2008)0426).</w:t>
      </w:r>
    </w:p>
  </w:footnote>
  <w:footnote w:id="50">
    <w:p w14:paraId="2CE429E4" w14:textId="77777777" w:rsidR="009F47ED" w:rsidRPr="009F47ED" w:rsidRDefault="00431E8C" w:rsidP="009F47ED">
      <w:pPr>
        <w:pStyle w:val="FootnoteText"/>
      </w:pPr>
      <w:r>
        <w:rPr>
          <w:rStyle w:val="FootnoteReference"/>
        </w:rPr>
        <w:footnoteRef/>
      </w:r>
      <w:r>
        <w:t xml:space="preserve"> Ir-Regolament (UE) 2021/241 tal-Parlament Ewropew u tal-Kunsill tat-12 ta’ Frar 2021 li jistabbilixxi l-Faċilità għall-Irkupru u r-Reżiljenza (ĠU L 57, 18.2.2021, p. 17, ELI: </w:t>
      </w:r>
      <w:hyperlink r:id="rId21" w:tooltip="Jagħti aċċess għal dan id-dokument permezz tal-URI tal-ELI tiegħu." w:history="1">
        <w:r>
          <w:rPr>
            <w:rStyle w:val="Hyperlink"/>
          </w:rPr>
          <w:t>http://data.europa.eu/eli/reg/2021/241/oj</w:t>
        </w:r>
      </w:hyperlink>
      <w: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FE2EB" w14:textId="77777777" w:rsidR="00FF1914" w:rsidRDefault="00FF191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3D315" w14:textId="77777777" w:rsidR="00FF1914" w:rsidRDefault="00FF191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477B5" w14:textId="77777777" w:rsidR="00FF1914" w:rsidRDefault="00FF191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27069908">
    <w:abstractNumId w:val="9"/>
  </w:num>
  <w:num w:numId="2" w16cid:durableId="1256286426">
    <w:abstractNumId w:val="9"/>
  </w:num>
  <w:num w:numId="3" w16cid:durableId="488860877">
    <w:abstractNumId w:val="7"/>
  </w:num>
  <w:num w:numId="4" w16cid:durableId="1982344025">
    <w:abstractNumId w:val="7"/>
  </w:num>
  <w:num w:numId="5" w16cid:durableId="1224222970">
    <w:abstractNumId w:val="6"/>
  </w:num>
  <w:num w:numId="6" w16cid:durableId="1486749999">
    <w:abstractNumId w:val="6"/>
  </w:num>
  <w:num w:numId="7" w16cid:durableId="135146942">
    <w:abstractNumId w:val="5"/>
  </w:num>
  <w:num w:numId="8" w16cid:durableId="2080788039">
    <w:abstractNumId w:val="5"/>
  </w:num>
  <w:num w:numId="9" w16cid:durableId="1643462353">
    <w:abstractNumId w:val="4"/>
  </w:num>
  <w:num w:numId="10" w16cid:durableId="181281946">
    <w:abstractNumId w:val="4"/>
  </w:num>
  <w:num w:numId="11" w16cid:durableId="1003364340">
    <w:abstractNumId w:val="8"/>
  </w:num>
  <w:num w:numId="12" w16cid:durableId="1439252076">
    <w:abstractNumId w:val="8"/>
  </w:num>
  <w:num w:numId="13" w16cid:durableId="120001613">
    <w:abstractNumId w:val="3"/>
  </w:num>
  <w:num w:numId="14" w16cid:durableId="1759793163">
    <w:abstractNumId w:val="3"/>
  </w:num>
  <w:num w:numId="15" w16cid:durableId="932396948">
    <w:abstractNumId w:val="2"/>
  </w:num>
  <w:num w:numId="16" w16cid:durableId="231626573">
    <w:abstractNumId w:val="2"/>
  </w:num>
  <w:num w:numId="17" w16cid:durableId="142285169">
    <w:abstractNumId w:val="1"/>
  </w:num>
  <w:num w:numId="18" w16cid:durableId="487208649">
    <w:abstractNumId w:val="1"/>
  </w:num>
  <w:num w:numId="19" w16cid:durableId="2125692727">
    <w:abstractNumId w:val="0"/>
  </w:num>
  <w:num w:numId="20" w16cid:durableId="270624772">
    <w:abstractNumId w:val="0"/>
  </w:num>
  <w:num w:numId="21" w16cid:durableId="796484889">
    <w:abstractNumId w:val="9"/>
  </w:num>
  <w:num w:numId="22" w16cid:durableId="606038251">
    <w:abstractNumId w:val="7"/>
  </w:num>
  <w:num w:numId="23" w16cid:durableId="505021841">
    <w:abstractNumId w:val="6"/>
  </w:num>
  <w:num w:numId="24" w16cid:durableId="469174105">
    <w:abstractNumId w:val="5"/>
  </w:num>
  <w:num w:numId="25" w16cid:durableId="1356346271">
    <w:abstractNumId w:val="4"/>
  </w:num>
  <w:num w:numId="26" w16cid:durableId="1829634083">
    <w:abstractNumId w:val="8"/>
  </w:num>
  <w:num w:numId="27" w16cid:durableId="1985809497">
    <w:abstractNumId w:val="3"/>
  </w:num>
  <w:num w:numId="28" w16cid:durableId="62417132">
    <w:abstractNumId w:val="2"/>
  </w:num>
  <w:num w:numId="29" w16cid:durableId="272245878">
    <w:abstractNumId w:val="1"/>
  </w:num>
  <w:num w:numId="30" w16cid:durableId="1623225779">
    <w:abstractNumId w:val="0"/>
  </w:num>
  <w:num w:numId="31" w16cid:durableId="1913660806">
    <w:abstractNumId w:val="9"/>
  </w:num>
  <w:num w:numId="32" w16cid:durableId="746151910">
    <w:abstractNumId w:val="7"/>
  </w:num>
  <w:num w:numId="33" w16cid:durableId="358504908">
    <w:abstractNumId w:val="6"/>
  </w:num>
  <w:num w:numId="34" w16cid:durableId="1833642834">
    <w:abstractNumId w:val="5"/>
  </w:num>
  <w:num w:numId="35" w16cid:durableId="1778213820">
    <w:abstractNumId w:val="4"/>
  </w:num>
  <w:num w:numId="36" w16cid:durableId="1270118373">
    <w:abstractNumId w:val="8"/>
  </w:num>
  <w:num w:numId="37" w16cid:durableId="118770649">
    <w:abstractNumId w:val="3"/>
  </w:num>
  <w:num w:numId="38" w16cid:durableId="1394354247">
    <w:abstractNumId w:val="2"/>
  </w:num>
  <w:num w:numId="39" w16cid:durableId="229388979">
    <w:abstractNumId w:val="1"/>
  </w:num>
  <w:num w:numId="40" w16cid:durableId="907305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KEY" w:val="LIBE"/>
    <w:docVar w:name="LastEditedSection" w:val=" 1"/>
    <w:docVar w:name="strDocTypeID" w:val="PR_INI"/>
    <w:docVar w:name="strSubDir" w:val="1332"/>
    <w:docVar w:name="TXTLANGUE" w:val="MT"/>
    <w:docVar w:name="TXTLANGUEMIN" w:val="mt"/>
    <w:docVar w:name="TXTNRPE" w:val="779.664"/>
    <w:docVar w:name="TXTPEorAP" w:val="PE"/>
    <w:docVar w:name="TXTROUTE" w:val="PR\1332174MT.docx"/>
    <w:docVar w:name="TXTVERSION" w:val="01-00"/>
  </w:docVars>
  <w:rsids>
    <w:rsidRoot w:val="00C50B88"/>
    <w:rsid w:val="00040EAC"/>
    <w:rsid w:val="0007541B"/>
    <w:rsid w:val="00082B37"/>
    <w:rsid w:val="000D2631"/>
    <w:rsid w:val="00100069"/>
    <w:rsid w:val="001046B1"/>
    <w:rsid w:val="00105C44"/>
    <w:rsid w:val="001B207D"/>
    <w:rsid w:val="0023245A"/>
    <w:rsid w:val="002544DF"/>
    <w:rsid w:val="002A789D"/>
    <w:rsid w:val="00335F69"/>
    <w:rsid w:val="00395A66"/>
    <w:rsid w:val="003E6413"/>
    <w:rsid w:val="004016B4"/>
    <w:rsid w:val="004200B3"/>
    <w:rsid w:val="00431E8C"/>
    <w:rsid w:val="00432B50"/>
    <w:rsid w:val="00455003"/>
    <w:rsid w:val="00466A1A"/>
    <w:rsid w:val="00531F4C"/>
    <w:rsid w:val="00584A07"/>
    <w:rsid w:val="006272CD"/>
    <w:rsid w:val="00705D44"/>
    <w:rsid w:val="00726C82"/>
    <w:rsid w:val="007963C6"/>
    <w:rsid w:val="00865656"/>
    <w:rsid w:val="008C4C65"/>
    <w:rsid w:val="0090583E"/>
    <w:rsid w:val="0095536F"/>
    <w:rsid w:val="00956282"/>
    <w:rsid w:val="00996AC6"/>
    <w:rsid w:val="009E4ABB"/>
    <w:rsid w:val="009F47ED"/>
    <w:rsid w:val="00AF310F"/>
    <w:rsid w:val="00B17532"/>
    <w:rsid w:val="00BA2A57"/>
    <w:rsid w:val="00BA5076"/>
    <w:rsid w:val="00BB70F1"/>
    <w:rsid w:val="00BC7C60"/>
    <w:rsid w:val="00C00074"/>
    <w:rsid w:val="00C50B88"/>
    <w:rsid w:val="00C85D0F"/>
    <w:rsid w:val="00C93A60"/>
    <w:rsid w:val="00CD3E8A"/>
    <w:rsid w:val="00D31D25"/>
    <w:rsid w:val="00D47BB0"/>
    <w:rsid w:val="00DB4680"/>
    <w:rsid w:val="00DD7B9D"/>
    <w:rsid w:val="00DF240C"/>
    <w:rsid w:val="00E155CA"/>
    <w:rsid w:val="00E3537C"/>
    <w:rsid w:val="00E61690"/>
    <w:rsid w:val="00F076A5"/>
    <w:rsid w:val="00F3651F"/>
    <w:rsid w:val="00F714A9"/>
    <w:rsid w:val="00FD3897"/>
    <w:rsid w:val="00FF1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ED0585"/>
  <w15:chartTrackingRefBased/>
  <w15:docId w15:val="{12F595D6-B2FB-4D8B-A41A-6DD36B16F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mt-MT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3245A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styleId="TOC1">
    <w:name w:val="toc 1"/>
    <w:basedOn w:val="Normal"/>
    <w:next w:val="Normal"/>
    <w:autoRedefine/>
    <w:uiPriority w:val="39"/>
    <w:rsid w:val="007963C6"/>
    <w:pPr>
      <w:spacing w:after="240"/>
    </w:pPr>
  </w:style>
  <w:style w:type="paragraph" w:styleId="TOCHeading">
    <w:name w:val="TOC Heading"/>
    <w:basedOn w:val="Normal"/>
    <w:next w:val="TOCPage"/>
    <w:qFormat/>
    <w:pPr>
      <w:keepNext/>
      <w:spacing w:before="240" w:after="240"/>
      <w:jc w:val="center"/>
    </w:pPr>
    <w:rPr>
      <w:rFonts w:ascii="Arial" w:hAnsi="Arial"/>
      <w:b/>
    </w:rPr>
  </w:style>
  <w:style w:type="paragraph" w:customStyle="1" w:styleId="TOCPage">
    <w:name w:val="TOC Page"/>
    <w:basedOn w:val="Normal"/>
    <w:next w:val="TOC1"/>
    <w:pPr>
      <w:keepNext/>
      <w:spacing w:after="240"/>
      <w:jc w:val="right"/>
    </w:pPr>
    <w:rPr>
      <w:rFonts w:ascii="Arial" w:hAnsi="Arial"/>
      <w:b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PageHeading">
    <w:name w:val="PageHeading"/>
    <w:basedOn w:val="Normal"/>
    <w:pPr>
      <w:keepNext/>
      <w:spacing w:after="480"/>
      <w:jc w:val="center"/>
    </w:pPr>
    <w:rPr>
      <w:rFonts w:ascii="Arial" w:hAnsi="Arial" w:cs="Arial"/>
      <w:b/>
    </w:rPr>
  </w:style>
  <w:style w:type="paragraph" w:customStyle="1" w:styleId="NormalBold">
    <w:name w:val="NormalBold"/>
    <w:basedOn w:val="Normal"/>
    <w:rPr>
      <w:b/>
    </w:rPr>
  </w:style>
  <w:style w:type="paragraph" w:customStyle="1" w:styleId="NormalHanging12a">
    <w:name w:val="NormalHanging12a"/>
    <w:basedOn w:val="Normal"/>
    <w:pPr>
      <w:spacing w:after="240"/>
      <w:ind w:left="567" w:hanging="567"/>
    </w:pPr>
  </w:style>
  <w:style w:type="paragraph" w:customStyle="1" w:styleId="EPName">
    <w:name w:val="EPName"/>
    <w:basedOn w:val="Normal"/>
    <w:rsid w:val="002544DF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584A07"/>
    <w:pPr>
      <w:spacing w:after="480"/>
      <w:ind w:left="1417"/>
    </w:p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CoverReference">
    <w:name w:val="CoverReference"/>
    <w:basedOn w:val="Normal"/>
    <w:rsid w:val="00B17532"/>
    <w:pPr>
      <w:spacing w:before="1080"/>
      <w:jc w:val="right"/>
    </w:pPr>
    <w:rPr>
      <w:rFonts w:ascii="Arial" w:hAnsi="Arial" w:cs="Arial"/>
      <w:b/>
    </w:rPr>
  </w:style>
  <w:style w:type="paragraph" w:customStyle="1" w:styleId="CoverDocType24a">
    <w:name w:val="CoverDocType24a"/>
    <w:basedOn w:val="Normal"/>
    <w:rsid w:val="00584A07"/>
    <w:pPr>
      <w:spacing w:after="480"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spacing w:before="240" w:after="1200"/>
    </w:pPr>
  </w:style>
  <w:style w:type="paragraph" w:styleId="Header">
    <w:name w:val="header"/>
    <w:basedOn w:val="Normal"/>
    <w:link w:val="HeaderChar"/>
    <w:semiHidden/>
    <w:rsid w:val="00105C44"/>
    <w:pPr>
      <w:tabs>
        <w:tab w:val="center" w:pos="4513"/>
        <w:tab w:val="right" w:pos="9026"/>
      </w:tabs>
    </w:pPr>
  </w:style>
  <w:style w:type="table" w:styleId="TableGrid">
    <w:name w:val="Table Grid"/>
    <w:basedOn w:val="TableNormal"/>
    <w:rsid w:val="00E353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E3537C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E3537C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E3537C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2544DF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2544DF"/>
    <w:pPr>
      <w:jc w:val="right"/>
    </w:pPr>
  </w:style>
  <w:style w:type="paragraph" w:customStyle="1" w:styleId="EPFooter">
    <w:name w:val="EPFooter"/>
    <w:basedOn w:val="Normal"/>
    <w:rsid w:val="00584A07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customStyle="1" w:styleId="HeaderChar">
    <w:name w:val="Header Char"/>
    <w:basedOn w:val="DefaultParagraphFont"/>
    <w:link w:val="Header"/>
    <w:semiHidden/>
    <w:rsid w:val="00105C44"/>
    <w:rPr>
      <w:sz w:val="24"/>
    </w:rPr>
  </w:style>
  <w:style w:type="paragraph" w:customStyle="1" w:styleId="EPComma">
    <w:name w:val="EPComma"/>
    <w:basedOn w:val="Normal"/>
    <w:rsid w:val="00432B50"/>
    <w:pPr>
      <w:spacing w:before="480" w:after="240"/>
    </w:pPr>
  </w:style>
  <w:style w:type="paragraph" w:customStyle="1" w:styleId="Normal12a">
    <w:name w:val="Normal12a"/>
    <w:basedOn w:val="Normal"/>
    <w:rsid w:val="009F47ED"/>
    <w:pPr>
      <w:spacing w:after="240"/>
    </w:pPr>
  </w:style>
  <w:style w:type="character" w:styleId="Hyperlink">
    <w:name w:val="Hyperlink"/>
    <w:basedOn w:val="DefaultParagraphFont"/>
    <w:uiPriority w:val="99"/>
    <w:unhideWhenUsed/>
    <w:rsid w:val="009F47ED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nhideWhenUsed/>
    <w:rsid w:val="009F47ED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9F47ED"/>
  </w:style>
  <w:style w:type="character" w:styleId="FootnoteReference">
    <w:name w:val="footnote reference"/>
    <w:unhideWhenUsed/>
    <w:rsid w:val="009F47ED"/>
    <w:rPr>
      <w:vertAlign w:val="superscript"/>
    </w:rPr>
  </w:style>
  <w:style w:type="paragraph" w:styleId="Footer">
    <w:name w:val="footer"/>
    <w:basedOn w:val="Normal"/>
    <w:link w:val="FooterChar"/>
    <w:semiHidden/>
    <w:rsid w:val="00431E8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431E8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data.europa.eu/eli/C/2024/6746/oj" TargetMode="External"/><Relationship Id="rId13" Type="http://schemas.openxmlformats.org/officeDocument/2006/relationships/hyperlink" Target="http://data.europa.eu/eli/C/2024/5739/oj" TargetMode="External"/><Relationship Id="rId18" Type="http://schemas.openxmlformats.org/officeDocument/2006/relationships/hyperlink" Target="http://data.europa.eu/eli/reco/2021/1534/oj" TargetMode="External"/><Relationship Id="rId3" Type="http://schemas.openxmlformats.org/officeDocument/2006/relationships/hyperlink" Target="http://data.europa.eu/eli/reg/2024/2509/oj" TargetMode="External"/><Relationship Id="rId21" Type="http://schemas.openxmlformats.org/officeDocument/2006/relationships/hyperlink" Target="http://data.europa.eu/eli/reg/2021/241/oj" TargetMode="External"/><Relationship Id="rId7" Type="http://schemas.openxmlformats.org/officeDocument/2006/relationships/hyperlink" Target="http://data.europa.eu/eli/C/2024/6743/oj" TargetMode="External"/><Relationship Id="rId12" Type="http://schemas.openxmlformats.org/officeDocument/2006/relationships/hyperlink" Target="http://data.europa.eu/eli/C/2024/2656/oj" TargetMode="External"/><Relationship Id="rId17" Type="http://schemas.openxmlformats.org/officeDocument/2006/relationships/hyperlink" Target="https://www.europarl.europa.eu/committees/mt/working-group-democracy-rule-of-law-and-/product-details/20241205CDT13884" TargetMode="External"/><Relationship Id="rId2" Type="http://schemas.openxmlformats.org/officeDocument/2006/relationships/hyperlink" Target="http://data.europa.eu/eli/reg/2021/1060/oj" TargetMode="External"/><Relationship Id="rId16" Type="http://schemas.openxmlformats.org/officeDocument/2006/relationships/hyperlink" Target="https://www.europarl.europa.eu/committees/mt/libe-democracy-rule-of-law-and-fundament/product-details/20190103CDT02662" TargetMode="External"/><Relationship Id="rId20" Type="http://schemas.openxmlformats.org/officeDocument/2006/relationships/hyperlink" Target="http://data.europa.eu/eli/dir/2024/1069/oj" TargetMode="External"/><Relationship Id="rId1" Type="http://schemas.openxmlformats.org/officeDocument/2006/relationships/hyperlink" Target="http://data.europa.eu/eli/reg/2020/2092/oj" TargetMode="External"/><Relationship Id="rId6" Type="http://schemas.openxmlformats.org/officeDocument/2006/relationships/hyperlink" Target="http://data.europa.eu/eli/C/2024/6334/oj" TargetMode="External"/><Relationship Id="rId11" Type="http://schemas.openxmlformats.org/officeDocument/2006/relationships/hyperlink" Target="http://data.europa.eu/eli/C/2024/3995/oj" TargetMode="External"/><Relationship Id="rId5" Type="http://schemas.openxmlformats.org/officeDocument/2006/relationships/hyperlink" Target="http://data.europa.eu/eli/C/2023/442/oj" TargetMode="External"/><Relationship Id="rId15" Type="http://schemas.openxmlformats.org/officeDocument/2006/relationships/hyperlink" Target="http://data.europa.eu/eli/C/2025/3705/oj" TargetMode="External"/><Relationship Id="rId10" Type="http://schemas.openxmlformats.org/officeDocument/2006/relationships/hyperlink" Target="http://data.europa.eu/eli/C/2024/494/oj" TargetMode="External"/><Relationship Id="rId19" Type="http://schemas.openxmlformats.org/officeDocument/2006/relationships/hyperlink" Target="http://data.europa.eu/eli/reco/2022/758/oj" TargetMode="External"/><Relationship Id="rId4" Type="http://schemas.openxmlformats.org/officeDocument/2006/relationships/hyperlink" Target="http://data.europa.eu/eli/reg/2021/692/oj" TargetMode="External"/><Relationship Id="rId9" Type="http://schemas.openxmlformats.org/officeDocument/2006/relationships/hyperlink" Target="http://data.europa.eu/eli/C/2023/1223/oj" TargetMode="External"/><Relationship Id="rId14" Type="http://schemas.openxmlformats.org/officeDocument/2006/relationships/hyperlink" Target="http://data.europa.eu/eli/C/2024/5733/o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4988</Words>
  <Characters>37963</Characters>
  <Application>Microsoft Office Word</Application>
  <DocSecurity>0</DocSecurity>
  <Lines>584</Lines>
  <Paragraphs>181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PR_INI</vt:lpstr>
    </vt:vector>
  </TitlesOfParts>
  <Company/>
  <LinksUpToDate>false</LinksUpToDate>
  <CharactersWithSpaces>42770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PR_INI</dc:title>
  <dc:creator>User</dc:creator>
  <cp:lastModifiedBy>PSAILA Shaun</cp:lastModifiedBy>
  <cp:revision>2</cp:revision>
  <cp:lastPrinted>2004-12-08T15:27:00Z</cp:lastPrinted>
  <dcterms:created xsi:type="dcterms:W3CDTF">2025-12-01T10:24:00Z</dcterms:created>
  <dcterms:modified xsi:type="dcterms:W3CDTF">2025-12-01T10:24:00Z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MT</vt:lpwstr>
  </property>
  <property fmtid="{D5CDD505-2E9C-101B-9397-08002B2CF9AE}" pid="3" name="&lt;FdR&gt;">
    <vt:lpwstr>1332174</vt:lpwstr>
  </property>
  <property fmtid="{D5CDD505-2E9C-101B-9397-08002B2CF9AE}" pid="4" name="&lt;Model&gt;">
    <vt:lpwstr>PR_INI</vt:lpwstr>
  </property>
  <property fmtid="{D5CDD505-2E9C-101B-9397-08002B2CF9AE}" pid="5" name="&lt;ModelCod&gt;">
    <vt:lpwstr>C:\Users\jurge\AppData\Local\DocEP\DOCS\PR\PR_NonLeg\INI\PR_INI.dotx(03/05/2022 17:28:04)</vt:lpwstr>
  </property>
  <property fmtid="{D5CDD505-2E9C-101B-9397-08002B2CF9AE}" pid="6" name="&lt;ModelTra&gt;">
    <vt:lpwstr>C:\Users\jurge\AppData\Local\DocEP\TRANSFIL\MT\PR_INI.MT(27/03/2023 15:35:04)</vt:lpwstr>
  </property>
  <property fmtid="{D5CDD505-2E9C-101B-9397-08002B2CF9AE}" pid="7" name="&lt;Type&gt;">
    <vt:lpwstr>PR</vt:lpwstr>
  </property>
  <property fmtid="{D5CDD505-2E9C-101B-9397-08002B2CF9AE}" pid="8" name="Created with">
    <vt:lpwstr>9.15.0 Build [20230501]</vt:lpwstr>
  </property>
  <property fmtid="{D5CDD505-2E9C-101B-9397-08002B2CF9AE}" pid="9" name="FooterPath">
    <vt:lpwstr>PR\1332174MT.docx</vt:lpwstr>
  </property>
  <property fmtid="{D5CDD505-2E9C-101B-9397-08002B2CF9AE}" pid="10" name="LastEdited with">
    <vt:lpwstr>9.15.0 Build [20230501]</vt:lpwstr>
  </property>
  <property fmtid="{D5CDD505-2E9C-101B-9397-08002B2CF9AE}" pid="11" name="PE number">
    <vt:lpwstr>779.664</vt:lpwstr>
  </property>
  <property fmtid="{D5CDD505-2E9C-101B-9397-08002B2CF9AE}" pid="12" name="SDLStudio">
    <vt:lpwstr/>
  </property>
  <property fmtid="{D5CDD505-2E9C-101B-9397-08002B2CF9AE}" pid="13" name="Bookout">
    <vt:lpwstr>OK - 2025/12/01 11:24</vt:lpwstr>
  </property>
</Properties>
</file>