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5395B" w:rsidRPr="006570AB" w14:paraId="33B103D1" w14:textId="77777777" w:rsidTr="00E24ED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1276BB" w14:textId="77777777" w:rsidR="00B04325" w:rsidRPr="006570AB" w:rsidRDefault="005D3A58" w:rsidP="00E24EDF">
            <w:pPr>
              <w:pStyle w:val="EPName"/>
            </w:pPr>
            <w:r w:rsidRPr="006570AB">
              <w:t>Parlamento Europeu</w:t>
            </w:r>
          </w:p>
          <w:p w14:paraId="0E61E0FE" w14:textId="77777777" w:rsidR="00B04325" w:rsidRPr="006570AB" w:rsidRDefault="005D3A58" w:rsidP="00E24EDF">
            <w:pPr>
              <w:pStyle w:val="EPTerm"/>
            </w:pPr>
            <w:r w:rsidRPr="006570AB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C0129E4" w14:textId="77777777" w:rsidR="00B04325" w:rsidRPr="006570AB" w:rsidRDefault="005D3A58" w:rsidP="00E24EDF">
            <w:pPr>
              <w:pStyle w:val="EPLogo"/>
            </w:pPr>
            <w:r w:rsidRPr="006570AB">
              <w:rPr>
                <w:noProof/>
                <w:lang w:eastAsia="ja-JP"/>
              </w:rPr>
              <w:drawing>
                <wp:inline distT="0" distB="0" distL="0" distR="0" wp14:anchorId="4BFDDB81" wp14:editId="64DAAFE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EC49A9" w14:textId="77777777" w:rsidR="00B04325" w:rsidRPr="006570AB" w:rsidRDefault="00B04325" w:rsidP="00B04325">
      <w:pPr>
        <w:pStyle w:val="LineTop"/>
      </w:pPr>
    </w:p>
    <w:p w14:paraId="0BD29EFB" w14:textId="77777777" w:rsidR="00B04325" w:rsidRPr="006570AB" w:rsidRDefault="005D3A58" w:rsidP="00B04325">
      <w:pPr>
        <w:pStyle w:val="EPBody"/>
      </w:pPr>
      <w:r w:rsidRPr="006570AB">
        <w:rPr>
          <w:rStyle w:val="HideTWBExt"/>
          <w:i w:val="0"/>
        </w:rPr>
        <w:t>&lt;Commission&gt;</w:t>
      </w:r>
      <w:r w:rsidRPr="006570AB">
        <w:rPr>
          <w:rStyle w:val="HideTWBInt"/>
          <w:color w:val="auto"/>
        </w:rPr>
        <w:t>{LIBE}</w:t>
      </w:r>
      <w:r w:rsidRPr="006570AB">
        <w:t>Comissão das Liberdades Cívicas, da Justiça e dos Assuntos Internos</w:t>
      </w:r>
      <w:r w:rsidRPr="006570AB">
        <w:rPr>
          <w:rStyle w:val="HideTWBExt"/>
          <w:i w:val="0"/>
        </w:rPr>
        <w:t>&lt;/Commission&gt;</w:t>
      </w:r>
    </w:p>
    <w:p w14:paraId="2A29BAB5" w14:textId="77777777" w:rsidR="00B04325" w:rsidRPr="006570AB" w:rsidRDefault="00B04325" w:rsidP="00B04325">
      <w:pPr>
        <w:pStyle w:val="LineBottom"/>
      </w:pPr>
    </w:p>
    <w:p w14:paraId="1DEC7C16" w14:textId="77777777" w:rsidR="00B04325" w:rsidRPr="006570AB" w:rsidRDefault="005D3A58" w:rsidP="00B04325">
      <w:pPr>
        <w:pStyle w:val="CoverReference"/>
      </w:pPr>
      <w:r w:rsidRPr="006570AB">
        <w:rPr>
          <w:rStyle w:val="HideTWBExt"/>
          <w:b w:val="0"/>
        </w:rPr>
        <w:t>&lt;RefProc&gt;</w:t>
      </w:r>
      <w:r w:rsidRPr="006570AB">
        <w:t>2025//2239</w:t>
      </w:r>
      <w:r w:rsidRPr="006570AB">
        <w:rPr>
          <w:rStyle w:val="HideTWBExt"/>
          <w:b w:val="0"/>
        </w:rPr>
        <w:t>&lt;/RefProc&gt;&lt;RefTypeProc&gt;</w:t>
      </w:r>
      <w:r w:rsidRPr="006570AB">
        <w:t>(INI)</w:t>
      </w:r>
      <w:r w:rsidRPr="006570AB">
        <w:rPr>
          <w:rStyle w:val="HideTWBExt"/>
          <w:b w:val="0"/>
        </w:rPr>
        <w:t>&lt;/RefTypeProc&gt;</w:t>
      </w:r>
    </w:p>
    <w:p w14:paraId="146112AA" w14:textId="77777777" w:rsidR="00B04325" w:rsidRPr="006570AB" w:rsidRDefault="005D3A58" w:rsidP="00B04325">
      <w:pPr>
        <w:pStyle w:val="CoverDate"/>
      </w:pPr>
      <w:r w:rsidRPr="006570AB">
        <w:rPr>
          <w:rStyle w:val="HideTWBExt"/>
        </w:rPr>
        <w:t>&lt;Date&gt;</w:t>
      </w:r>
      <w:r w:rsidRPr="006570AB">
        <w:rPr>
          <w:rStyle w:val="HideTWBInt"/>
          <w:color w:val="auto"/>
        </w:rPr>
        <w:t>{17/11/2025}</w:t>
      </w:r>
      <w:r w:rsidRPr="006570AB">
        <w:t>17.11.2025</w:t>
      </w:r>
      <w:r w:rsidRPr="006570AB">
        <w:rPr>
          <w:rStyle w:val="HideTWBExt"/>
        </w:rPr>
        <w:t>&lt;/Date&gt;</w:t>
      </w:r>
    </w:p>
    <w:p w14:paraId="6B15BFD9" w14:textId="77777777" w:rsidR="00B04325" w:rsidRPr="006570AB" w:rsidRDefault="005D3A58" w:rsidP="00B04325">
      <w:pPr>
        <w:pStyle w:val="CoverDocType24a"/>
      </w:pPr>
      <w:r w:rsidRPr="006570AB">
        <w:rPr>
          <w:rStyle w:val="HideTWBExt"/>
          <w:b w:val="0"/>
        </w:rPr>
        <w:t>&lt;TitreType&gt;</w:t>
      </w:r>
      <w:r w:rsidRPr="006570AB">
        <w:t>PROJETO DE RELATÓRIO</w:t>
      </w:r>
      <w:r w:rsidRPr="006570AB">
        <w:rPr>
          <w:rStyle w:val="HideTWBExt"/>
          <w:b w:val="0"/>
        </w:rPr>
        <w:t>&lt;/TitreType&gt;</w:t>
      </w:r>
    </w:p>
    <w:p w14:paraId="3C6DDB99" w14:textId="77777777" w:rsidR="00B04325" w:rsidRPr="006570AB" w:rsidRDefault="005D3A58" w:rsidP="00B04325">
      <w:pPr>
        <w:pStyle w:val="CoverNormal"/>
      </w:pPr>
      <w:r w:rsidRPr="006570AB">
        <w:rPr>
          <w:rStyle w:val="HideTWBExt"/>
        </w:rPr>
        <w:t>&lt;Titre&gt;</w:t>
      </w:r>
      <w:r w:rsidRPr="006570AB">
        <w:t>sobre o relatório de 2025 da Comissão sobre o Estado de direito</w:t>
      </w:r>
      <w:r w:rsidRPr="006570AB">
        <w:rPr>
          <w:rStyle w:val="HideTWBExt"/>
        </w:rPr>
        <w:t>&lt;/Titre&gt;</w:t>
      </w:r>
    </w:p>
    <w:p w14:paraId="5D8E487C" w14:textId="77777777" w:rsidR="00B04325" w:rsidRPr="006570AB" w:rsidRDefault="005D3A58" w:rsidP="00B04325">
      <w:pPr>
        <w:pStyle w:val="CoverNormal24a"/>
      </w:pPr>
      <w:r w:rsidRPr="006570AB">
        <w:rPr>
          <w:rStyle w:val="HideTWBExt"/>
        </w:rPr>
        <w:t>&lt;DocRef&gt;</w:t>
      </w:r>
      <w:r w:rsidRPr="006570AB">
        <w:t>(2025/2239(INI))</w:t>
      </w:r>
      <w:r w:rsidRPr="006570AB">
        <w:rPr>
          <w:rStyle w:val="HideTWBExt"/>
        </w:rPr>
        <w:t>&lt;/DocRef&gt;</w:t>
      </w:r>
    </w:p>
    <w:p w14:paraId="367F96F6" w14:textId="77777777" w:rsidR="00B04325" w:rsidRPr="006570AB" w:rsidRDefault="005D3A58" w:rsidP="00B04325">
      <w:pPr>
        <w:pStyle w:val="CoverNormal24a"/>
      </w:pPr>
      <w:r w:rsidRPr="006570AB">
        <w:rPr>
          <w:rStyle w:val="HideTWBExt"/>
        </w:rPr>
        <w:t>&lt;Commission&gt;</w:t>
      </w:r>
      <w:r w:rsidRPr="006570AB">
        <w:rPr>
          <w:rStyle w:val="HideTWBInt"/>
          <w:color w:val="auto"/>
        </w:rPr>
        <w:t>{LIBE}</w:t>
      </w:r>
      <w:r w:rsidRPr="006570AB">
        <w:t>Comissão das Liberdades Cívicas, da Justiça e dos Assuntos Internos</w:t>
      </w:r>
      <w:r w:rsidRPr="006570AB">
        <w:rPr>
          <w:rStyle w:val="HideTWBExt"/>
        </w:rPr>
        <w:t>&lt;/Commission&gt;</w:t>
      </w:r>
    </w:p>
    <w:p w14:paraId="57CF3402" w14:textId="77777777" w:rsidR="00B04325" w:rsidRPr="006570AB" w:rsidRDefault="005D3A58" w:rsidP="00B04325">
      <w:pPr>
        <w:pStyle w:val="CoverNormal24a"/>
      </w:pPr>
      <w:r w:rsidRPr="006570AB">
        <w:t xml:space="preserve">Relator: </w:t>
      </w:r>
      <w:r w:rsidRPr="006570AB">
        <w:rPr>
          <w:rStyle w:val="HideTWBExt"/>
        </w:rPr>
        <w:t>&lt;Depute&gt;</w:t>
      </w:r>
      <w:r w:rsidRPr="006570AB">
        <w:t>Konstantinos Arvanitis</w:t>
      </w:r>
      <w:r w:rsidRPr="006570AB">
        <w:rPr>
          <w:rStyle w:val="HideTWBExt"/>
        </w:rPr>
        <w:t>&lt;/Depute&gt;</w:t>
      </w:r>
    </w:p>
    <w:p w14:paraId="430B05FF" w14:textId="77777777" w:rsidR="00B04325" w:rsidRPr="006570AB" w:rsidRDefault="005D3A58" w:rsidP="00B04325">
      <w:pPr>
        <w:widowControl/>
        <w:tabs>
          <w:tab w:val="center" w:pos="4677"/>
        </w:tabs>
      </w:pPr>
      <w:r w:rsidRPr="006570AB">
        <w:br w:type="page"/>
      </w:r>
      <w:r w:rsidRPr="006570AB">
        <w:lastRenderedPageBreak/>
        <w:t>PR_INI</w:t>
      </w:r>
    </w:p>
    <w:p w14:paraId="18F1D63D" w14:textId="77777777" w:rsidR="00B04325" w:rsidRPr="006570AB" w:rsidRDefault="005D3A58" w:rsidP="00B04325">
      <w:pPr>
        <w:pStyle w:val="TOCHeading"/>
      </w:pPr>
      <w:r w:rsidRPr="006570AB">
        <w:t>ÍNDICE</w:t>
      </w:r>
    </w:p>
    <w:p w14:paraId="10B4AA65" w14:textId="77777777" w:rsidR="00B04325" w:rsidRPr="006570AB" w:rsidRDefault="005D3A58" w:rsidP="00B04325">
      <w:pPr>
        <w:pStyle w:val="TOCPage"/>
      </w:pPr>
      <w:r w:rsidRPr="006570AB">
        <w:t>Página</w:t>
      </w:r>
    </w:p>
    <w:p w14:paraId="335D6966" w14:textId="7DA4331A" w:rsidR="005D3A58" w:rsidRDefault="005D3A5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6570AB">
        <w:rPr>
          <w:b/>
        </w:rPr>
        <w:fldChar w:fldCharType="begin"/>
      </w:r>
      <w:r w:rsidRPr="006570AB">
        <w:rPr>
          <w:b/>
        </w:rPr>
        <w:instrText xml:space="preserve"> TOC \t "PageHeading;1" </w:instrText>
      </w:r>
      <w:r w:rsidRPr="006570AB">
        <w:rPr>
          <w:b/>
        </w:rPr>
        <w:fldChar w:fldCharType="separate"/>
      </w:r>
      <w:r>
        <w:rPr>
          <w:noProof/>
        </w:rPr>
        <w:t>PROPOSTA DE RESOLUÇÃO DO PARLAMENTO EUROPEU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_Toc215220360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21A14C26" w14:textId="60A2F990" w:rsidR="005D3A58" w:rsidRDefault="005D3A5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EXPOSIÇÃO DE MOTIVOS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_Toc215220361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14:paraId="4987481A" w14:textId="43F30E8B" w:rsidR="00B04325" w:rsidRPr="006570AB" w:rsidRDefault="005D3A58" w:rsidP="00B04325">
      <w:r w:rsidRPr="006570AB">
        <w:rPr>
          <w:b/>
        </w:rPr>
        <w:fldChar w:fldCharType="end"/>
      </w:r>
    </w:p>
    <w:p w14:paraId="65E5D6CC" w14:textId="77777777" w:rsidR="00B04325" w:rsidRPr="006570AB" w:rsidRDefault="005D3A58" w:rsidP="00B04325">
      <w:pPr>
        <w:pStyle w:val="PageHeading"/>
      </w:pPr>
      <w:r w:rsidRPr="006570AB">
        <w:br w:type="page"/>
      </w:r>
      <w:bookmarkStart w:id="0" w:name="_Toc215220360"/>
      <w:r w:rsidRPr="006570AB">
        <w:lastRenderedPageBreak/>
        <w:t>PROPOSTA DE RESOLUÇÃO DO PARLAMENTO EUROPEU</w:t>
      </w:r>
      <w:bookmarkEnd w:id="0"/>
    </w:p>
    <w:p w14:paraId="3D6E49A5" w14:textId="77777777" w:rsidR="00B04325" w:rsidRPr="006570AB" w:rsidRDefault="005D3A58" w:rsidP="00B04325">
      <w:pPr>
        <w:pStyle w:val="NormalBold"/>
      </w:pPr>
      <w:r w:rsidRPr="006570AB">
        <w:t>sobre o relatório de 2025 da Comissão sobre o Estado de direito</w:t>
      </w:r>
    </w:p>
    <w:p w14:paraId="4B0C0A3E" w14:textId="77777777" w:rsidR="00B04325" w:rsidRPr="006570AB" w:rsidRDefault="005D3A58" w:rsidP="00B04325">
      <w:pPr>
        <w:pStyle w:val="NormalBold"/>
      </w:pPr>
      <w:r w:rsidRPr="006570AB">
        <w:t>(2025/2239(INI))</w:t>
      </w:r>
    </w:p>
    <w:p w14:paraId="27F1DB6B" w14:textId="77777777" w:rsidR="00B04325" w:rsidRPr="006570AB" w:rsidRDefault="005D3A58" w:rsidP="00B04325">
      <w:pPr>
        <w:pStyle w:val="EPComma"/>
      </w:pPr>
      <w:r w:rsidRPr="006570AB">
        <w:rPr>
          <w:i/>
          <w:iCs/>
        </w:rPr>
        <w:t>O Parlamento Europeu</w:t>
      </w:r>
      <w:r w:rsidRPr="006570AB">
        <w:t>,</w:t>
      </w:r>
    </w:p>
    <w:p w14:paraId="047B6B1F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o Tratado da União Europeia (TUE), em particular o artigo 2.º, o artigo 3.º, n.º 1 e n.º 3, segundo parágrafo, o artigo 4.º, n.º 3, e os artigos 5.º, 6.º, 7.º, 11.º, 19.º e 49.º,</w:t>
      </w:r>
    </w:p>
    <w:p w14:paraId="0DC9302C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o Tratado sobre o Funcionamento da União Europeia (TFUE), em particular os artigos relativos ao respeito, à proteção e à promoção da democracia, do Estado de direito e dos direitos fundamentais na União, especificamente os artigos 70.º, 258.º, 259.º, 260.º, 263.º, 265.º e 267.º,</w:t>
      </w:r>
    </w:p>
    <w:p w14:paraId="7A49CC64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Carta dos Direitos Fundamentais da União Europeia («Carta»),</w:t>
      </w:r>
    </w:p>
    <w:p w14:paraId="7C33124F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jurisprudência do Tribunal de Justiça da União Europeia (TJUE),</w:t>
      </w:r>
    </w:p>
    <w:p w14:paraId="4E5255D0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Comunicação da Comissão, de 8 de julho de 2025, intitulada «Relatório de 2025 sobre o Estado de direito — Situação na União Europeia» (COM(2025)0900), e os anexos a esta comunicação que incluem recomendações dirigidas aos Estados-Membros,</w:t>
      </w:r>
    </w:p>
    <w:p w14:paraId="47B2E2CE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o Regulamento (UE, Euratom) 2020/2092 do Parlamento Europeu e do Conselho, de 16 de dezembro de 2020, relativo a um regime geral de condicionalidade para a proteção do orçamento da União</w:t>
      </w:r>
      <w:r w:rsidRPr="006570AB">
        <w:rPr>
          <w:vertAlign w:val="superscript"/>
        </w:rPr>
        <w:footnoteReference w:id="1"/>
      </w:r>
      <w:r w:rsidRPr="006570AB">
        <w:t xml:space="preserve"> («Regulamento Regime Geral de Condicionalidade»),</w:t>
      </w:r>
    </w:p>
    <w:p w14:paraId="34B3D54C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o Regulamento (UE) 2021/1060 do Parlamento Europeu e do Conselho, de 24 de junho de 2021, que estabelece disposições comuns relativas ao Fundo Europeu de Desenvolvimento Regional, ao Fundo Social Europeu Mais, ao Fundo de Coesão, ao Fundo para uma Transição Justa e ao Fundo Europeu dos Assuntos Marítimos, das Pescas e da Aquicultura e regras financeiras aplicáveis a esses fundos e ao Fundo para o Asilo, a Migração e a Integração, ao Fundo para a Segurança Interna e ao Instrumento de Apoio Fi</w:t>
      </w:r>
      <w:r w:rsidRPr="006570AB">
        <w:t>nanceiro à Gestão das Fronteiras e à Política de Vistos</w:t>
      </w:r>
      <w:r w:rsidRPr="006570AB">
        <w:rPr>
          <w:vertAlign w:val="superscript"/>
        </w:rPr>
        <w:footnoteReference w:id="2"/>
      </w:r>
      <w:r w:rsidRPr="006570AB">
        <w:t xml:space="preserve"> (Regulamento Disposições Comuns),</w:t>
      </w:r>
    </w:p>
    <w:p w14:paraId="720AA3FE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o Regulamento (UE, Euratom) 2024/2509 do Parlamento Europeu e do Conselho, de 23 de setembro de 2024, relativo às regras financeiras aplicáveis ao orçamento geral da União</w:t>
      </w:r>
      <w:r w:rsidRPr="006570AB">
        <w:rPr>
          <w:vertAlign w:val="superscript"/>
        </w:rPr>
        <w:footnoteReference w:id="3"/>
      </w:r>
      <w:r w:rsidRPr="006570AB">
        <w:t xml:space="preserve"> (Regulamento Financeiro), nomeadamente o artigo 6.º, n.º 3,</w:t>
      </w:r>
    </w:p>
    <w:p w14:paraId="1D4229E2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 xml:space="preserve">Tendo em conta o Regulamento (UE) 2021/692 do Parlamento Europeu e do Conselho, de 28 de abril de 2021, que cria o Programa Cidadãos, Igualdade, Direitos e Valores e </w:t>
      </w:r>
      <w:r w:rsidRPr="006570AB">
        <w:lastRenderedPageBreak/>
        <w:t>que revoga o Regulamento (UE) n.º 1381/2013 do Parlamento Europeu e do Conselho e o Regulamento (UE) n.º 390/2014 do Conselho</w:t>
      </w:r>
      <w:r w:rsidRPr="006570AB">
        <w:rPr>
          <w:vertAlign w:val="superscript"/>
        </w:rPr>
        <w:footnoteReference w:id="4"/>
      </w:r>
      <w:r w:rsidRPr="006570AB">
        <w:t>,</w:t>
      </w:r>
    </w:p>
    <w:p w14:paraId="0E4D7814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o pacote de propostas da Comissão para um Quadro Financeiro Plurianual 2028-2034,</w:t>
      </w:r>
    </w:p>
    <w:p w14:paraId="4D045ADA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 xml:space="preserve">Tendo em conta os instrumentos das Nações Unidas sobre a proteção dos direitos humanos e das liberdades fundamentais, como a </w:t>
      </w:r>
      <w:r w:rsidRPr="006570AB">
        <w:t xml:space="preserve">Declaração Universal dos Direitos Humanos, o Pacto Internacional sobre os Direitos Civis e Políticos (PIDCP), a Convenção Internacional sobre a Eliminação de Todas as Formas de Discriminação Racial (CERD), a Convenção sobre a Eliminação de Todas as Formas de Discriminação contra as Mulheres (CEDAW) e a Convenção sobre os Direitos das Pessoas com Deficiência (CNUDPD), a Declaração sobre os Direitos das Pessoas Pertencentes a Minorias Nacionais ou Étnicas, Religiosas e Linguísticas, as recomendações do Fórum </w:t>
      </w:r>
      <w:r w:rsidRPr="006570AB">
        <w:t>das Nações Unidas sobre Questões das Minorias e as recomendações e relatórios do Exame Periódico Universal das Nações Unidas, bem como a jurisprudência dos órgãos instituídos pelos tratados das Nações Unidas e os procedimentos especiais do Conselho dos Direitos Humanos das Nações Unidas,</w:t>
      </w:r>
    </w:p>
    <w:p w14:paraId="3B1E30E4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Convenção Europeia dos Direitos Humanos, a Carta Social Europeia, a jurisprudência do Tribunal Europeu dos Direitos Humanos (TEDH) e o Comité Europeu dos Direitos Sociais, bem como as convenções, as recomendações, as resoluções, os pareceres e os relatórios da Assembleia Parlamentar, do Comité de Ministros, do comissário para os Direitos Humanos, da Comissão Europeia contra o Racismo e a Intolerância, do Comité Diretor para a Luta contra a Discriminação, a Diversidade e a Inclusão, da Comi</w:t>
      </w:r>
      <w:r w:rsidRPr="006570AB">
        <w:t>ssão de Veneza e de outros organismos do Conselho da Europa,</w:t>
      </w:r>
    </w:p>
    <w:p w14:paraId="1046708D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Convenção do Conselho da Europa para a Prevenção e o Combate à Violência Contra as Mulheres e a Violência Doméstica,</w:t>
      </w:r>
    </w:p>
    <w:p w14:paraId="79587CE7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Carta Europeia das Línguas Regionais ou Minoritárias e a Convenção-Quadro para a Proteção das Minorias Nacionais do Conselho da Europa,</w:t>
      </w:r>
    </w:p>
    <w:p w14:paraId="52BCA626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o «Memorando de Entendimento entre o Conselho da Europa e a União Europeia», de 23 de maio de 2007 e as Conclusões do Conselho, de 17 de dezembro de 2024, sobre as prioridades da UE para a cooperação com o Conselho da Europa em 2025-2026,</w:t>
      </w:r>
    </w:p>
    <w:p w14:paraId="2A3EDFF0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proposta fundamentada da Comissão, de 20 de dezembro de 2017, de decisão do Conselho relativa à verificação da existência de um risco manifesto de violação grave, pela República da Polónia, do Estado de direito (COM(2017)0835), emitida nos termos do artigo 7.º, n.º 1, do TUE,</w:t>
      </w:r>
    </w:p>
    <w:p w14:paraId="4921D5C0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 xml:space="preserve">Tendo em conta a sua Resolução, de 25 de outubro de 2016, que contém recomendações à Comissão sobre a criação de um mecanismo da UE para a democracia, o Estado de </w:t>
      </w:r>
      <w:r w:rsidRPr="006570AB">
        <w:lastRenderedPageBreak/>
        <w:t>direito e os direitos fundamentais</w:t>
      </w:r>
      <w:r w:rsidRPr="006570AB">
        <w:rPr>
          <w:vertAlign w:val="superscript"/>
        </w:rPr>
        <w:footnoteReference w:id="5"/>
      </w:r>
      <w:r w:rsidRPr="006570AB">
        <w:t>,</w:t>
      </w:r>
    </w:p>
    <w:p w14:paraId="3211FF3E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7 de fevereiro de 2018, sobre a proteção e a não discriminação das minorias nos Estados-Membros da UE</w:t>
      </w:r>
      <w:r w:rsidRPr="006570AB">
        <w:rPr>
          <w:vertAlign w:val="superscript"/>
        </w:rPr>
        <w:footnoteReference w:id="6"/>
      </w:r>
      <w:r w:rsidRPr="006570AB">
        <w:t>,</w:t>
      </w:r>
    </w:p>
    <w:p w14:paraId="7779B4DA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 de março de 2018, sobre a decisão da Comissão de acionar o artigo 7.º, n.º 1, do TUE relativamente à situação na Polónia</w:t>
      </w:r>
      <w:r w:rsidRPr="006570AB">
        <w:rPr>
          <w:vertAlign w:val="superscript"/>
        </w:rPr>
        <w:footnoteReference w:id="7"/>
      </w:r>
      <w:r w:rsidRPr="006570AB">
        <w:t>,</w:t>
      </w:r>
    </w:p>
    <w:p w14:paraId="131C0C67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19 de abril de 2018, sobre a necessidade de criar um Instrumento de Valores Europeus para apoiar as organizações da sociedade civil que promovem os valores fundamentais na União Europeia a nível local e nacional</w:t>
      </w:r>
      <w:r w:rsidRPr="006570AB">
        <w:rPr>
          <w:vertAlign w:val="superscript"/>
        </w:rPr>
        <w:footnoteReference w:id="8"/>
      </w:r>
      <w:r w:rsidRPr="006570AB">
        <w:t>,</w:t>
      </w:r>
    </w:p>
    <w:p w14:paraId="361492FA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12 de setembro de 2018, sobre uma proposta solicitando ao Conselho que, nos termos do artigo 7.º, n.º 1, do Tratado da União Europeia, verifique a existência de um risco manifesto de violação grave pela Hungria dos valores em que a União se funda</w:t>
      </w:r>
      <w:r w:rsidRPr="006570AB">
        <w:rPr>
          <w:vertAlign w:val="superscript"/>
        </w:rPr>
        <w:footnoteReference w:id="9"/>
      </w:r>
      <w:r w:rsidRPr="006570AB">
        <w:t>,</w:t>
      </w:r>
    </w:p>
    <w:p w14:paraId="4E574634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13 de novembro de 2018, sobre normas mínimas relativas às minorias na UE</w:t>
      </w:r>
      <w:r w:rsidRPr="006570AB">
        <w:rPr>
          <w:vertAlign w:val="superscript"/>
        </w:rPr>
        <w:footnoteReference w:id="10"/>
      </w:r>
      <w:r w:rsidRPr="006570AB">
        <w:t>,</w:t>
      </w:r>
    </w:p>
    <w:p w14:paraId="052D1A60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14 de novembro de 2018, sobre a necessidade de um mecanismo abrangente da UE para a proteção da democracia, do primado do Direito e dos direitos fundamentais</w:t>
      </w:r>
      <w:r w:rsidRPr="006570AB">
        <w:rPr>
          <w:vertAlign w:val="superscript"/>
        </w:rPr>
        <w:footnoteReference w:id="11"/>
      </w:r>
      <w:r w:rsidRPr="006570AB">
        <w:t>,</w:t>
      </w:r>
    </w:p>
    <w:p w14:paraId="2E59946A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</w:r>
      <w:r w:rsidRPr="006570AB">
        <w:t>Tendo em conta a sua Resolução, de 7 de outubro de 2020, sobre a criação de um mecanismo da UE para a democracia, o Estado de direito e os direitos fundamentais</w:t>
      </w:r>
      <w:r w:rsidRPr="006570AB">
        <w:rPr>
          <w:vertAlign w:val="superscript"/>
        </w:rPr>
        <w:footnoteReference w:id="12"/>
      </w:r>
      <w:r w:rsidRPr="006570AB">
        <w:t>,</w:t>
      </w:r>
    </w:p>
    <w:p w14:paraId="3D9F818C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8 de outubro de 2020, sobre o Estado de direito e os direitos fundamentais na Bulgária</w:t>
      </w:r>
      <w:r w:rsidRPr="006570AB">
        <w:rPr>
          <w:vertAlign w:val="superscript"/>
        </w:rPr>
        <w:footnoteReference w:id="13"/>
      </w:r>
      <w:r w:rsidRPr="006570AB">
        <w:t>,</w:t>
      </w:r>
    </w:p>
    <w:p w14:paraId="2B39A5F0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13 de novembro de 2020, sobre o impacto das medidas de resposta à COVID-19 na democracia, no Estado de direito e nos direitos fundamentais</w:t>
      </w:r>
      <w:r w:rsidRPr="006570AB">
        <w:rPr>
          <w:vertAlign w:val="superscript"/>
        </w:rPr>
        <w:footnoteReference w:id="14"/>
      </w:r>
      <w:r w:rsidRPr="006570AB">
        <w:t>,</w:t>
      </w:r>
    </w:p>
    <w:p w14:paraId="5D9FA600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17 de dezembro de 2020, sobre a iniciativa de cidadania europeia «Minority SafePack —</w:t>
      </w:r>
      <w:r w:rsidRPr="006570AB">
        <w:tab/>
        <w:t>um milhão de assinaturas pela diversidade na Europa»</w:t>
      </w:r>
      <w:r w:rsidRPr="006570AB">
        <w:rPr>
          <w:vertAlign w:val="superscript"/>
        </w:rPr>
        <w:footnoteReference w:id="15"/>
      </w:r>
      <w:r w:rsidRPr="006570AB">
        <w:t>,</w:t>
      </w:r>
    </w:p>
    <w:p w14:paraId="50B04895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 xml:space="preserve">Tendo em conta a sua Resolução, de 10 de junho de 2021, sobre a situação do Estado de direito na União </w:t>
      </w:r>
      <w:r w:rsidRPr="006570AB">
        <w:t xml:space="preserve">Europeia e a aplicação do Regulamento Regime Geral de </w:t>
      </w:r>
      <w:r w:rsidRPr="006570AB">
        <w:lastRenderedPageBreak/>
        <w:t>Condicionalidade (UE, Euratom) 2020/2092</w:t>
      </w:r>
      <w:r w:rsidRPr="006570AB">
        <w:rPr>
          <w:vertAlign w:val="superscript"/>
        </w:rPr>
        <w:footnoteReference w:id="16"/>
      </w:r>
      <w:r w:rsidRPr="006570AB">
        <w:t>,</w:t>
      </w:r>
    </w:p>
    <w:p w14:paraId="15DD5C44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24 de junho de 2021, sobre o relatório de 2020, da Comissão, sobre o Estado de direito</w:t>
      </w:r>
      <w:r w:rsidRPr="006570AB">
        <w:rPr>
          <w:vertAlign w:val="superscript"/>
        </w:rPr>
        <w:footnoteReference w:id="17"/>
      </w:r>
      <w:r w:rsidRPr="006570AB">
        <w:t>,</w:t>
      </w:r>
    </w:p>
    <w:p w14:paraId="682951E6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8 de julho de 2021, sobre a criação de diretrizes para a aplicação do regime geral de condicionalidade para a proteção do orçamento da União</w:t>
      </w:r>
      <w:r w:rsidRPr="006570AB">
        <w:rPr>
          <w:vertAlign w:val="superscript"/>
        </w:rPr>
        <w:footnoteReference w:id="18"/>
      </w:r>
      <w:r w:rsidRPr="006570AB">
        <w:t>,</w:t>
      </w:r>
    </w:p>
    <w:p w14:paraId="1437E369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16 de setembro de 2021, que contém recomendações à Comissão sobre a inclusão da violência com base no género nos domínios de criminalidade enunciados no artigo 83.º, n.º 1, do TFUE</w:t>
      </w:r>
      <w:r w:rsidRPr="006570AB">
        <w:rPr>
          <w:vertAlign w:val="superscript"/>
        </w:rPr>
        <w:footnoteReference w:id="19"/>
      </w:r>
      <w:r w:rsidRPr="006570AB">
        <w:t>,</w:t>
      </w:r>
    </w:p>
    <w:p w14:paraId="3F1BFA7A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11 de novembro de 2021, sobre o «reforço da democracia e da liberdade e do pluralismo dos meios de comunicação social na UE: recurso abusivo a ações a título do direito civil e penal para silenciar jornalistas, ONG e a sociedade civil»</w:t>
      </w:r>
      <w:r w:rsidRPr="006570AB">
        <w:rPr>
          <w:vertAlign w:val="superscript"/>
        </w:rPr>
        <w:footnoteReference w:id="20"/>
      </w:r>
      <w:r w:rsidRPr="006570AB">
        <w:t>,</w:t>
      </w:r>
    </w:p>
    <w:p w14:paraId="2F64F12A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15 de dezembro de 2021, sobre a avaliação de medidas preventivas para evitar a corrupção, despesas irregulares e a utilização indevida de fundos nacionais e da UE no caso de fundos de emergência e de domínios de despesas relacionados com crises</w:t>
      </w:r>
      <w:r w:rsidRPr="006570AB">
        <w:rPr>
          <w:vertAlign w:val="superscript"/>
        </w:rPr>
        <w:footnoteReference w:id="21"/>
      </w:r>
      <w:r w:rsidRPr="006570AB">
        <w:t>,</w:t>
      </w:r>
    </w:p>
    <w:p w14:paraId="4E849FBD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8 de março de 2022, sobre a redução do espaço reservado à sociedade civil na Europa</w:t>
      </w:r>
      <w:r w:rsidRPr="006570AB">
        <w:rPr>
          <w:vertAlign w:val="superscript"/>
        </w:rPr>
        <w:footnoteReference w:id="22"/>
      </w:r>
      <w:r w:rsidRPr="006570AB">
        <w:t>,</w:t>
      </w:r>
    </w:p>
    <w:p w14:paraId="50F0FA70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10 de março de 2022, sobre o Estado de direito e as consequências do acórdão do Tribunal de Justiça da União Europeia</w:t>
      </w:r>
      <w:r w:rsidRPr="006570AB">
        <w:rPr>
          <w:vertAlign w:val="superscript"/>
        </w:rPr>
        <w:footnoteReference w:id="23"/>
      </w:r>
      <w:r w:rsidRPr="006570AB">
        <w:t>,</w:t>
      </w:r>
    </w:p>
    <w:p w14:paraId="47C4804A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11 de março de 2021, sobre a proclamação da UE como zona de liberdade para as pessoas LGBTIQ</w:t>
      </w:r>
      <w:r w:rsidRPr="006570AB">
        <w:rPr>
          <w:vertAlign w:val="superscript"/>
        </w:rPr>
        <w:footnoteReference w:id="24"/>
      </w:r>
      <w:r w:rsidRPr="006570AB">
        <w:t>,</w:t>
      </w:r>
    </w:p>
    <w:p w14:paraId="587A7C69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19 de maio de 2022, sobre o relatório de 2021 da Comissão sobre o Estado de direito</w:t>
      </w:r>
      <w:r w:rsidRPr="006570AB">
        <w:rPr>
          <w:vertAlign w:val="superscript"/>
        </w:rPr>
        <w:footnoteReference w:id="25"/>
      </w:r>
      <w:r w:rsidRPr="006570AB">
        <w:t>,</w:t>
      </w:r>
    </w:p>
    <w:p w14:paraId="6E03A6B4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9 de junho de 2022, sobre o Estado de direito e a eventual aprovação do plano nacional de recuperação da Polónia (MRR)</w:t>
      </w:r>
      <w:r w:rsidRPr="006570AB">
        <w:rPr>
          <w:vertAlign w:val="superscript"/>
        </w:rPr>
        <w:footnoteReference w:id="26"/>
      </w:r>
      <w:r w:rsidRPr="006570AB">
        <w:t>,</w:t>
      </w:r>
    </w:p>
    <w:p w14:paraId="1D1F2A13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 xml:space="preserve">Tendo em conta a sua Resolução, de 15 de setembro de 2022, sobre a situação dos </w:t>
      </w:r>
      <w:r w:rsidRPr="006570AB">
        <w:lastRenderedPageBreak/>
        <w:t>direitos fundamentais na União Europeia em 2020 e 2021</w:t>
      </w:r>
      <w:r w:rsidRPr="006570AB">
        <w:rPr>
          <w:vertAlign w:val="superscript"/>
        </w:rPr>
        <w:footnoteReference w:id="27"/>
      </w:r>
      <w:r w:rsidRPr="006570AB">
        <w:t>,</w:t>
      </w:r>
    </w:p>
    <w:p w14:paraId="4F9DD6EB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15 de setembro de 2022, sobre o projeto de decisão do Conselho relativa à verificação, nos termos do artigo 7.º, n.º 1, do Tratado da União Europeia, da existência de um risco manifesto de violação grave, pela Hungria, dos valores em que a União se funda</w:t>
      </w:r>
      <w:r w:rsidRPr="006570AB">
        <w:rPr>
          <w:vertAlign w:val="superscript"/>
        </w:rPr>
        <w:footnoteReference w:id="28"/>
      </w:r>
      <w:r w:rsidRPr="006570AB">
        <w:t>,</w:t>
      </w:r>
    </w:p>
    <w:p w14:paraId="754AE22A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20 de outubro de 2022, sobre o Estado de direito em Malta, cinco anos após o assassinato de Daphne Caruana Galizia</w:t>
      </w:r>
      <w:r w:rsidRPr="006570AB">
        <w:rPr>
          <w:vertAlign w:val="superscript"/>
        </w:rPr>
        <w:footnoteReference w:id="29"/>
      </w:r>
      <w:r w:rsidRPr="006570AB">
        <w:t>,</w:t>
      </w:r>
    </w:p>
    <w:p w14:paraId="54D35B92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 xml:space="preserve">Tendo em conta a sua Resolução, de 20 de outubro de 2022, sobre o aumento dos </w:t>
      </w:r>
      <w:r w:rsidRPr="006570AB">
        <w:t>crimes de ódio contra pessoas LGBTIQ+ em toda a Europa à luz do recente assassínio homofóbico na Eslováquia</w:t>
      </w:r>
      <w:r w:rsidRPr="006570AB">
        <w:rPr>
          <w:vertAlign w:val="superscript"/>
        </w:rPr>
        <w:footnoteReference w:id="30"/>
      </w:r>
      <w:r w:rsidRPr="006570AB">
        <w:t>,</w:t>
      </w:r>
    </w:p>
    <w:p w14:paraId="4B6CC2AF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10 de novembro de 2022, sobre a justiça racial, a não-discriminação e a luta contra o racismo na UE</w:t>
      </w:r>
      <w:r w:rsidRPr="006570AB">
        <w:rPr>
          <w:vertAlign w:val="superscript"/>
        </w:rPr>
        <w:footnoteReference w:id="31"/>
      </w:r>
      <w:r w:rsidRPr="006570AB">
        <w:t>,</w:t>
      </w:r>
    </w:p>
    <w:p w14:paraId="26759AD4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24 de novembro de 2022, sobre a avaliação do cumprimento pela Hungria das condições relativas ao Estado de direito estabelecidas no Regulamento relativo à condicionalidade e a situação atual do plano de recuperação e resiliência húngaro</w:t>
      </w:r>
      <w:r w:rsidRPr="006570AB">
        <w:rPr>
          <w:vertAlign w:val="superscript"/>
        </w:rPr>
        <w:footnoteReference w:id="32"/>
      </w:r>
      <w:r w:rsidRPr="006570AB">
        <w:t>,</w:t>
      </w:r>
    </w:p>
    <w:p w14:paraId="08C17609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30 de março de 2023, sobre o Relatório de 2022 sobre o Estado de direito — Situação na União Europeia</w:t>
      </w:r>
      <w:r w:rsidRPr="006570AB">
        <w:rPr>
          <w:vertAlign w:val="superscript"/>
        </w:rPr>
        <w:footnoteReference w:id="33"/>
      </w:r>
      <w:r w:rsidRPr="006570AB">
        <w:t>,</w:t>
      </w:r>
    </w:p>
    <w:p w14:paraId="00D9E189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18 de abril de 2023, sobre as relações institucionais entre a União Europeia e o Conselho da Europa</w:t>
      </w:r>
      <w:r w:rsidRPr="006570AB">
        <w:rPr>
          <w:vertAlign w:val="superscript"/>
        </w:rPr>
        <w:footnoteReference w:id="34"/>
      </w:r>
      <w:r w:rsidRPr="006570AB">
        <w:t>,</w:t>
      </w:r>
    </w:p>
    <w:p w14:paraId="41ADE2F7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7 de fevereiro de 2024, sobre o Estado de Direito e a liberdade da comunicação social na Grécia</w:t>
      </w:r>
      <w:r w:rsidRPr="006570AB">
        <w:rPr>
          <w:vertAlign w:val="superscript"/>
        </w:rPr>
        <w:footnoteReference w:id="35"/>
      </w:r>
      <w:r w:rsidRPr="006570AB">
        <w:t>,</w:t>
      </w:r>
    </w:p>
    <w:p w14:paraId="46E8FF4A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 xml:space="preserve">Tendo em conta a sua Resolução, de 28 de fevereiro de 2024, sobre o </w:t>
      </w:r>
      <w:r w:rsidRPr="006570AB">
        <w:t>relatório de 2023 da Comissão sobre o Estado de Direito</w:t>
      </w:r>
      <w:r w:rsidRPr="006570AB">
        <w:rPr>
          <w:vertAlign w:val="superscript"/>
        </w:rPr>
        <w:footnoteReference w:id="36"/>
      </w:r>
      <w:r w:rsidRPr="006570AB">
        <w:t>,</w:t>
      </w:r>
    </w:p>
    <w:p w14:paraId="73968BDA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29 de fevereiro de 2024, sobre o aprofundamento da integração europeia na perspetiva dos futuros alargamentos</w:t>
      </w:r>
      <w:r w:rsidRPr="006570AB">
        <w:rPr>
          <w:vertAlign w:val="superscript"/>
        </w:rPr>
        <w:footnoteReference w:id="37"/>
      </w:r>
      <w:r w:rsidRPr="006570AB">
        <w:t>,</w:t>
      </w:r>
    </w:p>
    <w:p w14:paraId="71801F75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 xml:space="preserve">Tendo em conta a sua Resolução, de 1 de junho de 2023, sobre as violações do Estado </w:t>
      </w:r>
      <w:r w:rsidRPr="006570AB">
        <w:lastRenderedPageBreak/>
        <w:t>de direito e dos direitos fundamentais na Hungria e o congelamento de fundos da UE</w:t>
      </w:r>
      <w:r w:rsidRPr="006570AB">
        <w:rPr>
          <w:vertAlign w:val="superscript"/>
        </w:rPr>
        <w:footnoteReference w:id="38"/>
      </w:r>
      <w:r w:rsidRPr="006570AB">
        <w:t>,</w:t>
      </w:r>
    </w:p>
    <w:p w14:paraId="5B43AFAF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o relatório da sua Comissão de Inquérito para investigar a utilização do software espião de vigilância Pegasus e equivalentes (Comissão PEGA) e a sua Recomendação ao Conselho e à Comissão, de 15 de junho de 2023, na sequência da investigação de alegadas contravenções e má administração na aplicação do Direito da União relacionadas com a utilização do software espião de vigilância Pegasus e equivalentes</w:t>
      </w:r>
      <w:r w:rsidRPr="006570AB">
        <w:rPr>
          <w:vertAlign w:val="superscript"/>
        </w:rPr>
        <w:footnoteReference w:id="39"/>
      </w:r>
      <w:r w:rsidRPr="006570AB">
        <w:t>,</w:t>
      </w:r>
    </w:p>
    <w:p w14:paraId="4EB7A0DE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11 de julho de 2023, sobre a lei eleitoral, a comissão de inquérito e o Estado de direito na Polónia</w:t>
      </w:r>
      <w:r w:rsidRPr="006570AB">
        <w:rPr>
          <w:vertAlign w:val="superscript"/>
        </w:rPr>
        <w:footnoteReference w:id="40"/>
      </w:r>
      <w:r w:rsidRPr="006570AB">
        <w:t>,</w:t>
      </w:r>
    </w:p>
    <w:p w14:paraId="75A34BBF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19 de outubro de 2023, sobre o Estado de direito em Malta: seis anos após o assassinato de Daphne Caruana Galizia e a necessidade de proteger os jornalistas</w:t>
      </w:r>
      <w:r w:rsidRPr="006570AB">
        <w:rPr>
          <w:vertAlign w:val="superscript"/>
        </w:rPr>
        <w:footnoteReference w:id="41"/>
      </w:r>
      <w:r w:rsidRPr="006570AB">
        <w:t>,</w:t>
      </w:r>
    </w:p>
    <w:p w14:paraId="149DDC32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Comunicação conjunta da Comissão e da alta representante da União para os Negócios Estrangeiros e a Política de Segurança, de 6 de dezembro de 2023, intitulada «Não ao ódio: uma Europa unida contra o ódio» (JOIN(2023)0051),</w:t>
      </w:r>
    </w:p>
    <w:p w14:paraId="07151CBF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18 de janeiro de 2024, sobre a situação dos direitos fundamentais na União Europeia — Relatório anual para os anos 2022-2023</w:t>
      </w:r>
      <w:r w:rsidRPr="006570AB">
        <w:rPr>
          <w:vertAlign w:val="superscript"/>
        </w:rPr>
        <w:footnoteReference w:id="42"/>
      </w:r>
      <w:r w:rsidRPr="006570AB">
        <w:t>,</w:t>
      </w:r>
    </w:p>
    <w:p w14:paraId="4FFC6FCD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sua Resolução, de 18 de janeiro de 2024, intitulada «Alargar a lista de crimes da UE ao discurso de ódio e aos crimes de ódio»</w:t>
      </w:r>
      <w:r w:rsidRPr="006570AB">
        <w:rPr>
          <w:vertAlign w:val="superscript"/>
        </w:rPr>
        <w:footnoteReference w:id="43"/>
      </w:r>
      <w:r w:rsidRPr="006570AB">
        <w:t>,</w:t>
      </w:r>
    </w:p>
    <w:p w14:paraId="2259EFF4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 xml:space="preserve">Tendo em conta a sua Resolução, de 24 de abril de 2024, sobre as audições em </w:t>
      </w:r>
      <w:r w:rsidRPr="006570AB">
        <w:t>curso, nos termos do artigo 7.º, n.º 1, do TUE, relativas à Hungria para reforçar o Estado de direito e as suas implicações orçamentais</w:t>
      </w:r>
      <w:r w:rsidRPr="006570AB">
        <w:rPr>
          <w:vertAlign w:val="superscript"/>
        </w:rPr>
        <w:footnoteReference w:id="44"/>
      </w:r>
      <w:r w:rsidRPr="006570AB">
        <w:t>,</w:t>
      </w:r>
    </w:p>
    <w:p w14:paraId="6F572D5E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o encerramento do procedimento previsto no artigo 7.º, n.º 1, do TUE relativamente à Polónia, anunciado pela Comissão em 29 de maio de 2024, na sequência de medidas tomadas pela Polónia para restabelecer o cumprimento das normas da UE em matéria de Estado de direito,</w:t>
      </w:r>
    </w:p>
    <w:p w14:paraId="7E746528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Resolução n.º 2262 (2019), de 24 de janeiro de 2019, da Assembleia Parlamentar do Conselho da Europa sobre a promoção dos direitos das pessoas pertencentes a minorias nacionais,</w:t>
      </w:r>
    </w:p>
    <w:p w14:paraId="5259B308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 xml:space="preserve">Tendo em conta os relatórios especiais do Tribunal de Contas Europeu, de 17 de dezembro de 2024, sobre a aplicação do direito da UE (28/2024), de 22 de fevereiro de 2024, sobre o Estado de direito na UE (03/2024), e de 10 de janeiro de 2022, sobre o apoio da UE ao Estado de direito nos Balcãs Ocidentais (01/2022), a sua revisão, de 28 </w:t>
      </w:r>
      <w:r w:rsidRPr="006570AB">
        <w:lastRenderedPageBreak/>
        <w:t xml:space="preserve">de fevereiro de 2024, sobre o relatório da Comissão sobre o Estado de direito (02/2024), e o relatório especial sobre a transparência do financiamento da UE concedido às ONG </w:t>
      </w:r>
      <w:r w:rsidRPr="006570AB">
        <w:t>(11/2025), bem como as respetivas recomendações,</w:t>
      </w:r>
    </w:p>
    <w:p w14:paraId="56360B5A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as orientações políticas para a próxima Comissão Europeia 2024-2029, apresentadas ao Parlamento em 18 de julho de 2024 por Ursula von der Leyen, então candidata a Presidente da Comissão, o discurso sobre o estado da União proferido pela Presidente da Comissão em 10 de setembro de 2025 no Parlamento Europeu e a Comunicação da Comissão de 2026, de 21 de outubro de 2025, intitulada «Programa de trabalho da Comissão para 2026» (COM(2025) 0870),</w:t>
      </w:r>
    </w:p>
    <w:p w14:paraId="725E668A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os inquéritos Eurobarómetro de 2025 sobre a perceção da corrupção, segundo os quais a corrupção permanece uma forte preocupação dos cidadãos e das empresas da UE,</w:t>
      </w:r>
    </w:p>
    <w:p w14:paraId="2A90BD16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os relatórios de informação, os relatórios de missão, as perguntas com pedido de resposta escrita e as respostas do seu Grupo de Acompanhamento para a Democracia, o Estado de Direito e os Direitos Fundamentais (DRFMG)</w:t>
      </w:r>
      <w:r w:rsidRPr="006570AB">
        <w:rPr>
          <w:vertAlign w:val="superscript"/>
        </w:rPr>
        <w:footnoteReference w:id="45"/>
      </w:r>
      <w:r w:rsidRPr="006570AB">
        <w:t>,</w:t>
      </w:r>
    </w:p>
    <w:p w14:paraId="0DB2BFB3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Comunicação da Comissão, de 8 de outubro de 2025, intitulada «União da Igualdade: Estratégia para a igualdade de tratamento das pessoas LGBTIQ+ 2026 - 2030»,</w:t>
      </w:r>
    </w:p>
    <w:p w14:paraId="1D70ED2D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Comunicação da Comissão, de 4 de novembro de 2025, intitulada «Comunicação de 2025 sobre a política de alargamento da UE» (COM(2025)0690) e os documentos de trabalho dos serviços da Comissão que a acompanham (pacote de alargamento de 4 de novembro de 2025),</w:t>
      </w:r>
    </w:p>
    <w:p w14:paraId="1047A534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a Comunicação conjunta da Comissão e da alta representante da União para os Negócios Estrangeiros e a Política de Segurança, de 12 de novembro de 2025, intitulada «Escudo Europeu da Democracia: Promover democracias fortes e resilientes» (JOIN(2025)0791) e a Comunicação da Comissão, de 12 de novembro de 2025, intitulada «Estratégia da UE para a sociedade civil» (COM(2025)0790),</w:t>
      </w:r>
    </w:p>
    <w:p w14:paraId="279964CE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o artigo 55.º do seu Regimento,</w:t>
      </w:r>
    </w:p>
    <w:p w14:paraId="42BCED0E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  <w:t>Tendo em conta os pareceres da Comissão dos Assuntos Jurídicos e da Comissão dos Orçamentos, bem como o parecer da subcomissão dos Direitos Humanos,</w:t>
      </w:r>
    </w:p>
    <w:p w14:paraId="64DF1118" w14:textId="77777777" w:rsidR="00B04325" w:rsidRPr="006570AB" w:rsidRDefault="005D3A58" w:rsidP="00B04325">
      <w:pPr>
        <w:pStyle w:val="NormalHanging12a"/>
      </w:pPr>
      <w:r w:rsidRPr="006570AB">
        <w:t>–</w:t>
      </w:r>
      <w:r w:rsidRPr="006570AB">
        <w:tab/>
      </w:r>
      <w:bookmarkStart w:id="1" w:name="_Hlk214535015"/>
      <w:r w:rsidRPr="006570AB">
        <w:t>Tendo em conta o relatório da Comissão das Liberdades Cívicas, da Justiça e dos Assuntos Internos (A10</w:t>
      </w:r>
      <w:r w:rsidRPr="006570AB">
        <w:noBreakHyphen/>
        <w:t>0000/2025),</w:t>
      </w:r>
      <w:bookmarkEnd w:id="1"/>
    </w:p>
    <w:p w14:paraId="5C9FABD8" w14:textId="77777777" w:rsidR="00B04325" w:rsidRPr="006570AB" w:rsidRDefault="005D3A58" w:rsidP="00B04325">
      <w:pPr>
        <w:pStyle w:val="NormalHanging12a"/>
      </w:pPr>
      <w:r w:rsidRPr="006570AB">
        <w:t>A.</w:t>
      </w:r>
      <w:r w:rsidRPr="006570AB">
        <w:tab/>
        <w:t xml:space="preserve">Considerando que a UE se alicerça nos valores do respeito pela dignidade humana, da liberdade, da democracia, da igualdade, do Estado de direito e do respeito pelos direitos humanos, o que inclui os direitos das pessoas pertencentes a minorias, conforme </w:t>
      </w:r>
      <w:r w:rsidRPr="006570AB">
        <w:lastRenderedPageBreak/>
        <w:t>preceituado no artigo 2.º do TUE, refletido na Carta e incorporado nos tratados internacionais em matéria de direitos humanos; que a Carta faz parte do direito primário da UE; que estes valores são partilhados por todos os Estados-Membros e que devem ser re</w:t>
      </w:r>
      <w:r w:rsidRPr="006570AB">
        <w:t>speitados e promovidos de forma ativa pela UE e por cada Estado-Membro, em todas as suas políticas, tanto a nível interno, como externo, e de forma coerente; que qualquer enfraquecimento destes valores constitui uma ameaça sistémica aos direitos e liberdades das pessoas que vivem na UE;</w:t>
      </w:r>
    </w:p>
    <w:p w14:paraId="74906D69" w14:textId="77777777" w:rsidR="00B04325" w:rsidRPr="006570AB" w:rsidRDefault="005D3A58" w:rsidP="00B04325">
      <w:pPr>
        <w:pStyle w:val="NormalHanging12a"/>
      </w:pPr>
      <w:r w:rsidRPr="006570AB">
        <w:t>B.</w:t>
      </w:r>
      <w:r w:rsidRPr="006570AB">
        <w:tab/>
        <w:t>Considerando que a UE não pode ignorar as dimensões social e dos direitos fundamentais em que assenta; que as lacunas persistentes na proteção dos direitos económicos e sociais devem ser consideradas parte integrante da ameaça sistémica aos valores do artigo 2.º do TUE;</w:t>
      </w:r>
    </w:p>
    <w:p w14:paraId="63C23D38" w14:textId="77777777" w:rsidR="00B04325" w:rsidRPr="006570AB" w:rsidRDefault="005D3A58" w:rsidP="00B04325">
      <w:pPr>
        <w:pStyle w:val="NormalHanging12a"/>
      </w:pPr>
      <w:r w:rsidRPr="006570AB">
        <w:t>C.</w:t>
      </w:r>
      <w:r w:rsidRPr="006570AB">
        <w:tab/>
        <w:t>Considerando que, em 2025, a UE enfrentou desafios graves e multifacetados nos seus Estados-Membros no que diz respeito à proteção do Estado de direito, da democracia e dos direitos fundamentais, que estão todos intrinsecamente ligados;</w:t>
      </w:r>
    </w:p>
    <w:p w14:paraId="2DB372B9" w14:textId="77777777" w:rsidR="00B04325" w:rsidRPr="006570AB" w:rsidRDefault="005D3A58" w:rsidP="00B04325">
      <w:pPr>
        <w:pStyle w:val="NormalHanging12a"/>
      </w:pPr>
      <w:r w:rsidRPr="006570AB">
        <w:t>D.</w:t>
      </w:r>
      <w:r w:rsidRPr="006570AB">
        <w:tab/>
        <w:t>Considerando que o programa de trabalho da Comissão para 2026 sublinha a necessidade de um ciclo anual integrado do Estado de direito, com um ritmo comum, etapas claras e o contributo ativo de todas as instituições da UE; que o respeito pelo Estado de direito continua a ser imperativo para salvaguardar todos os fundos da UE;</w:t>
      </w:r>
    </w:p>
    <w:p w14:paraId="5844F3D4" w14:textId="77777777" w:rsidR="00B04325" w:rsidRPr="006570AB" w:rsidRDefault="005D3A58" w:rsidP="00B04325">
      <w:pPr>
        <w:pStyle w:val="NormalHanging12a"/>
      </w:pPr>
      <w:r w:rsidRPr="006570AB">
        <w:t>E.</w:t>
      </w:r>
      <w:r w:rsidRPr="006570AB">
        <w:tab/>
        <w:t>Considerando que o relatório anual da Comissão sobre o Estado de direito deve também abranger as instituições, órgãos e organismos da UE, a fim de fornecer uma avaliação transparente da sua conformidade com as normas do Estado de direito;</w:t>
      </w:r>
    </w:p>
    <w:p w14:paraId="684AF6F0" w14:textId="77777777" w:rsidR="00B04325" w:rsidRPr="006570AB" w:rsidRDefault="005D3A58" w:rsidP="00B04325">
      <w:pPr>
        <w:pStyle w:val="NormalHanging12a"/>
        <w:rPr>
          <w:b/>
          <w:i/>
          <w:iCs/>
        </w:rPr>
      </w:pPr>
      <w:r w:rsidRPr="006570AB">
        <w:rPr>
          <w:b/>
          <w:i/>
        </w:rPr>
        <w:t>Sistemas judiciais</w:t>
      </w:r>
    </w:p>
    <w:p w14:paraId="1EF036BF" w14:textId="77777777" w:rsidR="00B04325" w:rsidRPr="006570AB" w:rsidRDefault="005D3A58" w:rsidP="00B04325">
      <w:pPr>
        <w:pStyle w:val="NormalHanging12a"/>
      </w:pPr>
      <w:r w:rsidRPr="006570AB">
        <w:t>1.</w:t>
      </w:r>
      <w:r w:rsidRPr="006570AB">
        <w:tab/>
        <w:t>Insta os Estados-Membros a tomarem as medidas necessárias para assegurar sistemas judiciais independentes e o acesso a apoio judiciário gratuito, garantindo assim a igualdade de acesso à justiça para todos, e reitera a necessidade de ações concretas para melhorar o acesso, especificamente para os grupos marginalizados e vulneráveis;</w:t>
      </w:r>
    </w:p>
    <w:p w14:paraId="007103E6" w14:textId="77777777" w:rsidR="00B04325" w:rsidRPr="006570AB" w:rsidRDefault="005D3A58" w:rsidP="00B04325">
      <w:pPr>
        <w:pStyle w:val="NormalHanging12a"/>
      </w:pPr>
      <w:r w:rsidRPr="006570AB">
        <w:t>2.</w:t>
      </w:r>
      <w:r w:rsidRPr="006570AB">
        <w:tab/>
        <w:t>Exorta os Estados-Membros a aplicarem rapidamente os acórdãos pendentes do TJUE e do TEDH, propõe a criação de uma unidade de controlo para acompanhar a execução dos acórdãos do TJUE e do TEDH relativos à democracia, ao Estado de direito e aos direitos fundamentais nos países da UE e preconiza que se integrem todas as conclusões da unidade de controlo no relatório anual sobre o Estado de direito;</w:t>
      </w:r>
    </w:p>
    <w:p w14:paraId="0AAF3F1D" w14:textId="77777777" w:rsidR="00B04325" w:rsidRPr="006570AB" w:rsidRDefault="005D3A58" w:rsidP="00B04325">
      <w:pPr>
        <w:pStyle w:val="NormalHanging12a"/>
      </w:pPr>
      <w:r w:rsidRPr="006570AB">
        <w:t>3.</w:t>
      </w:r>
      <w:r w:rsidRPr="006570AB">
        <w:tab/>
        <w:t>Sublinha a ligação clara entre o retrocesso do Estado de direito e as graves violações dos direitos fundamentais e das minorias, incluindo o uso excessivo da força pelas autoridades policiais, a falta de um processo equitativo para os detidos, o incitamento político ou institucional ao ódio, os poderes de vigilância desproporcionados e as medidas restritivas contra as organizações da sociedade civil; está firmemente convicto de que a Comissão deve avaliar em que medida os Estados-Membros abordam estas ques</w:t>
      </w:r>
      <w:r w:rsidRPr="006570AB">
        <w:t>tões, a fim de assegurar um sistema judicial acessível, eficaz e imparcial;</w:t>
      </w:r>
    </w:p>
    <w:p w14:paraId="0014E3A1" w14:textId="77777777" w:rsidR="00B04325" w:rsidRPr="006570AB" w:rsidRDefault="005D3A58" w:rsidP="00B04325">
      <w:pPr>
        <w:pStyle w:val="NormalHanging12a"/>
      </w:pPr>
      <w:r w:rsidRPr="006570AB">
        <w:t>4.</w:t>
      </w:r>
      <w:r w:rsidRPr="006570AB">
        <w:tab/>
        <w:t xml:space="preserve">Insta a Comissão a abordar as condições nas prisões como uma preocupação relacionada com o Estado de direito, tendo em conta a sobrelotação generalizada, as condições de vida inadequadas e o aumento das taxas de suicídio, que comprometem os </w:t>
      </w:r>
      <w:r w:rsidRPr="006570AB">
        <w:lastRenderedPageBreak/>
        <w:t>direitos fundamentais dos detidos nos sistemas penitenciários dos Estados-Membros;</w:t>
      </w:r>
    </w:p>
    <w:p w14:paraId="3C6D36EC" w14:textId="77777777" w:rsidR="00B04325" w:rsidRPr="006570AB" w:rsidRDefault="005D3A58" w:rsidP="00B04325">
      <w:pPr>
        <w:pStyle w:val="NormalHanging12a"/>
        <w:rPr>
          <w:b/>
        </w:rPr>
      </w:pPr>
      <w:r w:rsidRPr="006570AB">
        <w:rPr>
          <w:b/>
          <w:i/>
        </w:rPr>
        <w:t>Quadro de luta contra a corrupção</w:t>
      </w:r>
    </w:p>
    <w:p w14:paraId="44E0CA00" w14:textId="77777777" w:rsidR="00B04325" w:rsidRPr="006570AB" w:rsidRDefault="005D3A58" w:rsidP="00B04325">
      <w:pPr>
        <w:pStyle w:val="NormalHanging12a"/>
      </w:pPr>
      <w:r w:rsidRPr="006570AB">
        <w:t>5.</w:t>
      </w:r>
      <w:r w:rsidRPr="006570AB">
        <w:tab/>
        <w:t>Reitera que a corrupção representa uma ameaça grave para a democracia, o Estado de direito e o tratamento equitativo de todos os cidadãos;</w:t>
      </w:r>
    </w:p>
    <w:p w14:paraId="7EB22BBA" w14:textId="77777777" w:rsidR="00B04325" w:rsidRPr="006570AB" w:rsidRDefault="005D3A58" w:rsidP="00B04325">
      <w:pPr>
        <w:pStyle w:val="NormalHanging12a"/>
      </w:pPr>
      <w:r w:rsidRPr="006570AB">
        <w:t>6.</w:t>
      </w:r>
      <w:r w:rsidRPr="006570AB">
        <w:tab/>
        <w:t xml:space="preserve">Insta os Estados-Membros, os países candidatos e potenciais candidatos, bem como as instituições, órgãos e organismos da UE, a reforçarem as medidas preventivas contra a corrupção, </w:t>
      </w:r>
      <w:r w:rsidRPr="006570AB">
        <w:t>incluindo a gestão transparente dos fundos da UE, códigos de conduta para funcionários públicos, declarações de património obrigatórias, regras em matéria de conflitos de interesses, sistemas de alerta precoce e limitações às práticas de «porta giratória»;</w:t>
      </w:r>
    </w:p>
    <w:p w14:paraId="14447496" w14:textId="77777777" w:rsidR="00B04325" w:rsidRPr="006570AB" w:rsidRDefault="005D3A58" w:rsidP="00B04325">
      <w:pPr>
        <w:pStyle w:val="NormalHanging12a"/>
      </w:pPr>
      <w:r w:rsidRPr="006570AB">
        <w:t>7.</w:t>
      </w:r>
      <w:r w:rsidRPr="006570AB">
        <w:tab/>
        <w:t>Exorta os Estados-Membros a garantirem a independência, a imparcialidade e os recursos adequados dos conselhos disciplinares, dos serviços do Ministério Público, das agências de luta contra a corrupção e do sistema judicial;</w:t>
      </w:r>
    </w:p>
    <w:p w14:paraId="21395544" w14:textId="77777777" w:rsidR="00B04325" w:rsidRPr="006570AB" w:rsidRDefault="005D3A58" w:rsidP="00B04325">
      <w:pPr>
        <w:pStyle w:val="NormalHanging12a"/>
      </w:pPr>
      <w:r w:rsidRPr="006570AB">
        <w:t>8.</w:t>
      </w:r>
      <w:r w:rsidRPr="006570AB">
        <w:tab/>
        <w:t xml:space="preserve">Salienta que o </w:t>
      </w:r>
      <w:r w:rsidRPr="006570AB">
        <w:t>Estado de direito exige que os funcionários públicos atuem de forma transparente e no interesse público, sem abusos de poder ou decisões arbitrárias; insta os Estados-Membros a promoverem uma cultura de integridade através de formação regular em matéria de luta contra a corrupção destinada aos funcionários públicos, às autoridades responsáveis pela aplicação da lei e ao sistema judicial, bem como através da participação ativa da sociedade civil no acompanhamento das ações governamentais;</w:t>
      </w:r>
    </w:p>
    <w:p w14:paraId="2F88E314" w14:textId="77777777" w:rsidR="00B04325" w:rsidRPr="006570AB" w:rsidRDefault="005D3A58" w:rsidP="00B04325">
      <w:pPr>
        <w:pStyle w:val="NormalHanging12a"/>
      </w:pPr>
      <w:r w:rsidRPr="006570AB">
        <w:t>9.</w:t>
      </w:r>
      <w:r w:rsidRPr="006570AB">
        <w:tab/>
        <w:t>Exorta os Estados-Membros a assegurarem investigações rápidas, exaustivas e imparciais dos casos de corrupção, dando especial prioridade aos casos que envolvam altos funcionários, a fim de salvaguardar o Estado de direito, defender a confiança do público e assegurar a responsabilização a todos os níveis de governo;</w:t>
      </w:r>
    </w:p>
    <w:p w14:paraId="317C33C8" w14:textId="77777777" w:rsidR="00B04325" w:rsidRPr="006570AB" w:rsidRDefault="005D3A58" w:rsidP="00B04325">
      <w:pPr>
        <w:pStyle w:val="NormalHanging12a"/>
      </w:pPr>
      <w:r w:rsidRPr="006570AB">
        <w:t>10.</w:t>
      </w:r>
      <w:r w:rsidRPr="006570AB">
        <w:tab/>
        <w:t>Insta os Estados-Membros a protegerem os denunciantes e os jornalistas que denunciam casos de corrupção ou má gestão dos fundos da UE, assegurando canais de comunicação confidenciais, vias de recurso eficazes contra retaliações e a proteção do jornalismo de investigação e da liberdade de expressão;</w:t>
      </w:r>
    </w:p>
    <w:p w14:paraId="04DB5E5F" w14:textId="77777777" w:rsidR="00B04325" w:rsidRPr="006570AB" w:rsidRDefault="005D3A58" w:rsidP="00B04325">
      <w:pPr>
        <w:pStyle w:val="NormalHanging12a"/>
        <w:rPr>
          <w:b/>
        </w:rPr>
      </w:pPr>
      <w:r w:rsidRPr="006570AB">
        <w:rPr>
          <w:b/>
          <w:i/>
        </w:rPr>
        <w:t>A proteção dos jornalistas e o pluralismo e a liberdade dos meios de comunicação social</w:t>
      </w:r>
    </w:p>
    <w:p w14:paraId="6EC00666" w14:textId="77777777" w:rsidR="00B04325" w:rsidRPr="006570AB" w:rsidRDefault="005D3A58" w:rsidP="00B04325">
      <w:pPr>
        <w:pStyle w:val="NormalHanging12a"/>
      </w:pPr>
      <w:r w:rsidRPr="006570AB">
        <w:t>11.</w:t>
      </w:r>
      <w:r w:rsidRPr="006570AB">
        <w:tab/>
        <w:t>Está firmemente convicto de que o assassinato de jornalistas de investigação constitui um ataque direto ao Estado de direito, uma vez que não só compromete a capacidade dos cidadãos e das instituições para responsabilizar aqueles que se encontram no poder, como também representa uma das formas mais extremas de censura, representando uma ameaça direta à liberdade de expressão e ao funcionamento das instituições democráticas;</w:t>
      </w:r>
    </w:p>
    <w:p w14:paraId="57C2777B" w14:textId="77777777" w:rsidR="00B04325" w:rsidRPr="006570AB" w:rsidRDefault="005D3A58" w:rsidP="00B04325">
      <w:pPr>
        <w:pStyle w:val="NormalHanging12a"/>
      </w:pPr>
      <w:r w:rsidRPr="006570AB">
        <w:t>12.</w:t>
      </w:r>
      <w:r w:rsidRPr="006570AB">
        <w:tab/>
        <w:t>Condena veemente a vigilância ilegal de jornalistas, especialmente através de software espião; continua consternado com a recusa da Comissão em aplicar todas as recomendações da Comissão de Inquérito do Parlamento sobre a utilização do software espião Pegasus e equivalentes e considera que se trata de uma omissão;</w:t>
      </w:r>
    </w:p>
    <w:p w14:paraId="5A6E9069" w14:textId="77777777" w:rsidR="00B04325" w:rsidRPr="006570AB" w:rsidRDefault="005D3A58" w:rsidP="00B04325">
      <w:pPr>
        <w:pStyle w:val="NormalHanging12a"/>
      </w:pPr>
      <w:r w:rsidRPr="006570AB">
        <w:t>13.</w:t>
      </w:r>
      <w:r w:rsidRPr="006570AB">
        <w:tab/>
        <w:t xml:space="preserve">Continua profundamente preocupado com o facto de a propriedade dos meios de </w:t>
      </w:r>
      <w:r w:rsidRPr="006570AB">
        <w:lastRenderedPageBreak/>
        <w:t>comunicação social, tanto nas mãos públicas como privadas, continuar altamente concentrada em muitos Estados-Membros, o que representa um risco para a diversidade de informações e pontos de vista; insta os Estados-Membros a adotarem quadros legislativos para evitar a concentração horizontal, assegurar a transparência da propriedade e da gestão e garantir mecanismos independentes de supervisão e conformidade, a fim de salvaguardar a</w:t>
      </w:r>
      <w:r w:rsidRPr="006570AB">
        <w:t xml:space="preserve"> independência editorial e jornalística e o papel dos meios de comunicação social enquanto guardiões públicos;</w:t>
      </w:r>
    </w:p>
    <w:p w14:paraId="5EA6E71B" w14:textId="77777777" w:rsidR="00B04325" w:rsidRPr="006570AB" w:rsidRDefault="005D3A58" w:rsidP="00B04325">
      <w:pPr>
        <w:pStyle w:val="NormalHanging12a"/>
      </w:pPr>
      <w:r w:rsidRPr="006570AB">
        <w:t>14.</w:t>
      </w:r>
      <w:r w:rsidRPr="006570AB">
        <w:tab/>
        <w:t>Insta os Estados-Membros e os países candidatos a assegurarem a proteção dos jornalistas e de outros profissionais da comunicação social na UE, em conformidade com as recomendações 2021/1534</w:t>
      </w:r>
      <w:r w:rsidRPr="006570AB">
        <w:rPr>
          <w:rStyle w:val="FootnoteReference"/>
        </w:rPr>
        <w:footnoteReference w:id="46"/>
      </w:r>
      <w:r w:rsidRPr="006570AB">
        <w:t xml:space="preserve"> e 2022/758</w:t>
      </w:r>
      <w:r w:rsidRPr="006570AB">
        <w:rPr>
          <w:rStyle w:val="FootnoteReference"/>
        </w:rPr>
        <w:footnoteReference w:id="47"/>
      </w:r>
      <w:r w:rsidRPr="006570AB">
        <w:t xml:space="preserve"> da Comissão;</w:t>
      </w:r>
      <w:bookmarkStart w:id="2" w:name="_Hlk212396285"/>
    </w:p>
    <w:p w14:paraId="43FCE447" w14:textId="77777777" w:rsidR="00B04325" w:rsidRPr="006570AB" w:rsidRDefault="005D3A58" w:rsidP="00B04325">
      <w:pPr>
        <w:pStyle w:val="NormalHanging12a"/>
      </w:pPr>
      <w:r w:rsidRPr="006570AB">
        <w:t>15.</w:t>
      </w:r>
      <w:r w:rsidRPr="006570AB">
        <w:tab/>
        <w:t>Exorta os Estados-Membros a aplicarem plenamente a Diretiva relativa a ações judiciais estratégicas contra a participação pública (Diretiva Anti-SLAPP)</w:t>
      </w:r>
      <w:r w:rsidRPr="006570AB">
        <w:rPr>
          <w:rStyle w:val="FootnoteReference"/>
        </w:rPr>
        <w:footnoteReference w:id="48"/>
      </w:r>
      <w:r w:rsidRPr="006570AB">
        <w:t>;</w:t>
      </w:r>
      <w:bookmarkEnd w:id="2"/>
    </w:p>
    <w:p w14:paraId="57CE6018" w14:textId="77777777" w:rsidR="00B04325" w:rsidRPr="006570AB" w:rsidRDefault="005D3A58" w:rsidP="00B04325">
      <w:pPr>
        <w:pStyle w:val="NormalHanging12a"/>
      </w:pPr>
      <w:r w:rsidRPr="006570AB">
        <w:t>16.</w:t>
      </w:r>
      <w:r w:rsidRPr="006570AB">
        <w:tab/>
        <w:t>Apela à Comissão que avalie se as sanções da UE para combater a desinformação cumprem o requisito de proporcionalidade previsto no direito da UE e no artigo 11.º da Carta; está firmemente convicto de que o direito a ser ouvido deve ser garantido antes da aplicação de tais medidas pelo Conselho, especialmente nos casos em que os direitos dos cidadãos da UE, em particular dos jornalistas, correm o risco de ser comprometidos;</w:t>
      </w:r>
    </w:p>
    <w:p w14:paraId="23494C91" w14:textId="77777777" w:rsidR="00B04325" w:rsidRPr="006570AB" w:rsidRDefault="005D3A58" w:rsidP="00B04325">
      <w:pPr>
        <w:pStyle w:val="NormalHanging12a"/>
        <w:rPr>
          <w:b/>
          <w:i/>
          <w:iCs/>
        </w:rPr>
      </w:pPr>
      <w:r w:rsidRPr="006570AB">
        <w:rPr>
          <w:b/>
          <w:i/>
        </w:rPr>
        <w:t>Espaço da sociedade civil</w:t>
      </w:r>
    </w:p>
    <w:p w14:paraId="4E0B13F7" w14:textId="77777777" w:rsidR="00B04325" w:rsidRPr="006570AB" w:rsidRDefault="005D3A58" w:rsidP="00B04325">
      <w:pPr>
        <w:pStyle w:val="NormalHanging12a"/>
      </w:pPr>
      <w:r w:rsidRPr="006570AB">
        <w:t>17.</w:t>
      </w:r>
      <w:r w:rsidRPr="006570AB">
        <w:tab/>
        <w:t>Destaca o papel crucial desempenhado por organizações de base e comunitárias, sindicatos, grupos de ativistas, defensores dos direitos humanos e organizações não governamentais (ONG) na promoção e defesa da democracia, da igualdade, do Estado de direito e dos direitos fundamentais, bem como na garantia da responsabilização por ações privadas e do Estado;</w:t>
      </w:r>
    </w:p>
    <w:p w14:paraId="1A09DAE7" w14:textId="77777777" w:rsidR="00B04325" w:rsidRPr="006570AB" w:rsidRDefault="005D3A58" w:rsidP="00B04325">
      <w:pPr>
        <w:pStyle w:val="NormalHanging12a"/>
      </w:pPr>
      <w:r w:rsidRPr="006570AB">
        <w:t>18.</w:t>
      </w:r>
      <w:r w:rsidRPr="006570AB">
        <w:tab/>
        <w:t>Condena o ataque sem precedentes e intensificado ao espaço cívico em toda a UE, com notáveis restrições ao espaço da sociedade civil e ao direito de reunião pacífica testemunhadas em vários Estados-Membros; está firmemente convicto de que a tendência mundial para o retrocesso democrático e a erosão do Estado de direito, bem como a titularização das agendas, intensificaram as restrições ao direito de reunião pacífica; insta os Estados-Membros a criarem um ambiente seguro e propício que garanta a liberdade d</w:t>
      </w:r>
      <w:r w:rsidRPr="006570AB">
        <w:t>e reunião;</w:t>
      </w:r>
    </w:p>
    <w:p w14:paraId="071F802D" w14:textId="77777777" w:rsidR="00B04325" w:rsidRPr="006570AB" w:rsidRDefault="005D3A58" w:rsidP="00B04325">
      <w:pPr>
        <w:pStyle w:val="NormalHanging12a"/>
      </w:pPr>
      <w:r w:rsidRPr="006570AB">
        <w:t>19.</w:t>
      </w:r>
      <w:r w:rsidRPr="006570AB">
        <w:tab/>
        <w:t xml:space="preserve">Exorta os Estados-Membros e a Comissão a melhorarem o quadro jurídico da sociedade civil, assegurando que qualquer medida que restrinja o direito de as associações </w:t>
      </w:r>
      <w:r w:rsidRPr="006570AB">
        <w:lastRenderedPageBreak/>
        <w:t>procurarem, garantirem e utilizarem recursos, incluindo recursos estrangeiros, tenha um dos objetivos legítimos previstos no artigo 11.º, n.º 2, da CEDH;</w:t>
      </w:r>
    </w:p>
    <w:p w14:paraId="5E84F0EC" w14:textId="77777777" w:rsidR="00B04325" w:rsidRPr="006570AB" w:rsidRDefault="005D3A58" w:rsidP="00B04325">
      <w:pPr>
        <w:pStyle w:val="NormalHanging12a"/>
      </w:pPr>
      <w:r w:rsidRPr="006570AB">
        <w:t>20.</w:t>
      </w:r>
      <w:r w:rsidRPr="006570AB">
        <w:tab/>
        <w:t>Manifesta preocupação com as crescentes restrições jurídicas e financeiras, as campanhas de difamação e a criminalização das organizações da sociedade civil e dos defensores dos direitos humanos; salienta que os requisitos de comunicação de informações aplicáveis às ONG não devem exceder os estritamente necessários e proporcionais aos objetivos específicos prosseguidos;</w:t>
      </w:r>
    </w:p>
    <w:p w14:paraId="2D1B7EE1" w14:textId="77777777" w:rsidR="00B04325" w:rsidRPr="006570AB" w:rsidRDefault="005D3A58" w:rsidP="00B04325">
      <w:pPr>
        <w:pStyle w:val="NormalHanging12a"/>
      </w:pPr>
      <w:r w:rsidRPr="006570AB">
        <w:t>21.</w:t>
      </w:r>
      <w:r w:rsidRPr="006570AB">
        <w:tab/>
        <w:t>Insta os Estados-Membros e a Comissão a assegurarem a atribuição de recursos financeiros adequados às organizações da sociedade civil e aos defensores dos direitos humanos; exorta os Estados-Membros a proporcionarem uma proteção eficaz aos defensores dos direitos humanos, incluindo mecanismos de resposta rápida a ameaças;</w:t>
      </w:r>
    </w:p>
    <w:p w14:paraId="12DF3BDB" w14:textId="77777777" w:rsidR="00B04325" w:rsidRPr="006570AB" w:rsidRDefault="005D3A58" w:rsidP="00B04325">
      <w:pPr>
        <w:pStyle w:val="NormalHanging12a"/>
        <w:rPr>
          <w:b/>
          <w:i/>
          <w:iCs/>
        </w:rPr>
      </w:pPr>
      <w:r w:rsidRPr="006570AB">
        <w:rPr>
          <w:b/>
          <w:i/>
        </w:rPr>
        <w:t>Direitos fundamentais</w:t>
      </w:r>
    </w:p>
    <w:p w14:paraId="19080A4A" w14:textId="77777777" w:rsidR="00B04325" w:rsidRPr="006570AB" w:rsidRDefault="005D3A58" w:rsidP="00B04325">
      <w:pPr>
        <w:pStyle w:val="NormalHanging12a"/>
      </w:pPr>
      <w:r w:rsidRPr="006570AB">
        <w:t>22.</w:t>
      </w:r>
      <w:r w:rsidRPr="006570AB">
        <w:tab/>
        <w:t>Congratula-se com a Estratégia para a Igualdade de Tratamento das Pessoas LGBTIQ+ 2026-2030 e insta a Comissão a apresentar uma proposta de proibição vinculativa, a nível da UE, das práticas de conversão em todos os Estados-Membros;</w:t>
      </w:r>
    </w:p>
    <w:p w14:paraId="647F8888" w14:textId="77777777" w:rsidR="00B04325" w:rsidRPr="006570AB" w:rsidRDefault="005D3A58" w:rsidP="00B04325">
      <w:pPr>
        <w:pStyle w:val="NormalHanging12a"/>
      </w:pPr>
      <w:r w:rsidRPr="006570AB">
        <w:t>23.</w:t>
      </w:r>
      <w:r w:rsidRPr="006570AB">
        <w:tab/>
        <w:t>Manifesta profunda preocupação com as medidas discriminatórias introduzidas em alguns Estados-Membros sob o pretexto de combater a «propaganda LGBTIQ» e a «ideologia de género»; salienta que a Comissão deve agir de forma rápida e decisiva quando os Estados-Membros contornam o direito da UE, em particular a Carta;</w:t>
      </w:r>
    </w:p>
    <w:p w14:paraId="0BA5A679" w14:textId="77777777" w:rsidR="00B04325" w:rsidRPr="006570AB" w:rsidRDefault="005D3A58" w:rsidP="00B04325">
      <w:pPr>
        <w:pStyle w:val="NormalHanging12a"/>
      </w:pPr>
      <w:r w:rsidRPr="006570AB">
        <w:t>24.</w:t>
      </w:r>
      <w:r w:rsidRPr="006570AB">
        <w:tab/>
        <w:t>Insta todos os Estados-Membros a protegerem os direitos das pessoas LGBTIQ+, em conformidade com o direito da UE, a Carta e a jurisprudência do TJUE e do TEDH; recorda que persistem obstáculos jurídicos ao reconhecimento transfronteiriço de uniões de facto ou de parentalidade entre pessoas do mesmo sexo em vários Estados-Membros, violando os princípios da livre circulação e da não discriminação;</w:t>
      </w:r>
    </w:p>
    <w:p w14:paraId="6CF013FF" w14:textId="77777777" w:rsidR="00B04325" w:rsidRPr="006570AB" w:rsidRDefault="005D3A58" w:rsidP="00B04325">
      <w:pPr>
        <w:pStyle w:val="NormalHanging12a"/>
      </w:pPr>
      <w:r w:rsidRPr="006570AB">
        <w:t>25.</w:t>
      </w:r>
      <w:r w:rsidRPr="006570AB">
        <w:tab/>
        <w:t xml:space="preserve">Manifesta preocupação com os níveis crescentes de racismo e xenofobia em toda a UE; condena os casos de crimes de ódio e de incitamento ao ódio motivados por racismo, xenofobia ou intolerância religiosa, ou por preconceitos contra a deficiência, a orientação sexual, a identidade de género, ou o estatuto minoritário de uma pessoa; insta a Comissão e os Estados-Membros a adotarem e aplicarem medidas eficazes para combater todas as formas de racismo, com a plena inclusão da sociedade civil e o contributo das </w:t>
      </w:r>
      <w:r w:rsidRPr="006570AB">
        <w:t>partes interessadas pertinentes, como a Agência dos Direitos Fundamentais da UE;</w:t>
      </w:r>
    </w:p>
    <w:p w14:paraId="513C05A3" w14:textId="77777777" w:rsidR="00B04325" w:rsidRPr="006570AB" w:rsidRDefault="005D3A58" w:rsidP="00B04325">
      <w:pPr>
        <w:pStyle w:val="NormalHanging12a"/>
      </w:pPr>
      <w:r w:rsidRPr="006570AB">
        <w:t>26.</w:t>
      </w:r>
      <w:r w:rsidRPr="006570AB">
        <w:tab/>
        <w:t xml:space="preserve">Condena o facto de alguns Estados-Membros terem aprovado leis, políticas e práticas que comprometem a proteção eficaz dos direitos fundamentais dos refugiados, requerentes de asilo e migrantes, em terra e no mar; insta a Comissão e os Estados-Membros a colocarem os direitos fundamentais dos migrantes, requerentes de asilo e refugiados, bem como o princípio da partilha de responsabilidades, no centro das suas políticas de migração e asilo, a fim de assegurar o respeito dos direitos das pessoas ao asilo e à </w:t>
      </w:r>
      <w:r w:rsidRPr="006570AB">
        <w:t>proteção internacional;</w:t>
      </w:r>
    </w:p>
    <w:p w14:paraId="06B11C8E" w14:textId="77777777" w:rsidR="00B04325" w:rsidRPr="006570AB" w:rsidRDefault="005D3A58" w:rsidP="00B04325">
      <w:pPr>
        <w:pStyle w:val="NormalHanging12a"/>
      </w:pPr>
      <w:r w:rsidRPr="006570AB">
        <w:t>27.</w:t>
      </w:r>
      <w:r w:rsidRPr="006570AB">
        <w:tab/>
        <w:t xml:space="preserve">Congratula-se com a decisão da Comissão de manter a sua proposta de diretiva relativa </w:t>
      </w:r>
      <w:r w:rsidRPr="006570AB">
        <w:lastRenderedPageBreak/>
        <w:t>à igualdade de tratamento</w:t>
      </w:r>
      <w:r w:rsidRPr="006570AB">
        <w:rPr>
          <w:rStyle w:val="FootnoteReference"/>
        </w:rPr>
        <w:footnoteReference w:id="49"/>
      </w:r>
      <w:r w:rsidRPr="006570AB">
        <w:t>, e insta o Conselho a finalizá-la e a adotá-la sem mais demora;</w:t>
      </w:r>
    </w:p>
    <w:p w14:paraId="53A11AFF" w14:textId="77777777" w:rsidR="00B04325" w:rsidRPr="006570AB" w:rsidRDefault="005D3A58" w:rsidP="00B04325">
      <w:pPr>
        <w:pStyle w:val="NormalHanging12a"/>
      </w:pPr>
      <w:r w:rsidRPr="006570AB">
        <w:t>28.</w:t>
      </w:r>
      <w:r w:rsidRPr="006570AB">
        <w:tab/>
        <w:t>Insta a Comissão e os Estados-Membros a tomarem medidas eficazes contra a violência baseada no género, que deve ser aditada à lista de «crimes da UE», e solicita uma proposta legislativa da UE sobre o combate à violação, tal como definida pela falta de consentimento;</w:t>
      </w:r>
    </w:p>
    <w:p w14:paraId="6695974E" w14:textId="77777777" w:rsidR="00B04325" w:rsidRPr="006570AB" w:rsidRDefault="005D3A58" w:rsidP="00B04325">
      <w:pPr>
        <w:pStyle w:val="NormalHanging12a"/>
      </w:pPr>
      <w:r w:rsidRPr="006570AB">
        <w:t>29.</w:t>
      </w:r>
      <w:r w:rsidRPr="006570AB">
        <w:tab/>
        <w:t>Reitera o seu apelo para que o acesso ao aborto seguro e legal seja consagrado na Carta;</w:t>
      </w:r>
    </w:p>
    <w:p w14:paraId="13DA700B" w14:textId="77777777" w:rsidR="00B04325" w:rsidRPr="006570AB" w:rsidRDefault="005D3A58" w:rsidP="00B04325">
      <w:pPr>
        <w:pStyle w:val="NormalHanging12a"/>
        <w:rPr>
          <w:b/>
          <w:i/>
          <w:iCs/>
        </w:rPr>
      </w:pPr>
      <w:r w:rsidRPr="006570AB">
        <w:rPr>
          <w:b/>
          <w:i/>
        </w:rPr>
        <w:t>O Estado de direito e o orçamento da UE</w:t>
      </w:r>
    </w:p>
    <w:p w14:paraId="3E090E45" w14:textId="77777777" w:rsidR="00B04325" w:rsidRPr="006570AB" w:rsidRDefault="005D3A58" w:rsidP="00B04325">
      <w:pPr>
        <w:pStyle w:val="NormalHanging12a"/>
      </w:pPr>
      <w:r w:rsidRPr="006570AB">
        <w:t>30.</w:t>
      </w:r>
      <w:r w:rsidRPr="006570AB">
        <w:tab/>
        <w:t xml:space="preserve">Manifesta profunda preocupação com as violações dos direitos fundamentais facilitadas ou associadas à utilização de fundos da UE em alguns </w:t>
      </w:r>
      <w:r w:rsidRPr="006570AB">
        <w:t>Estados-Membros, nomeadamente nos domínios da habitação e da segregação educativa, das condições de acolhimento dos requerentes de asilo, da institucionalização das pessoas com deficiência e das crianças e de determinadas iniciativas de regeneração urbana; insta a Comissão a incluir recomendações sobre estas violações no seu relatório anual sobre o Estado de direito; propõe que uma parte específica dos fundos da UE seja afetada ao acompanhamento independente das ações financiadas pela UE, incluindo avaliaçõ</w:t>
      </w:r>
      <w:r w:rsidRPr="006570AB">
        <w:t>es dos seus impactos jurídicos e em matéria de direitos fundamentais, bem como à investigação jurídica, aos litígios estratégicos e à avaliação independente de potenciais violações, com uma forte participação das organizações da sociedade civil;</w:t>
      </w:r>
    </w:p>
    <w:p w14:paraId="7C753059" w14:textId="77777777" w:rsidR="00B04325" w:rsidRPr="006570AB" w:rsidRDefault="005D3A58" w:rsidP="00B04325">
      <w:pPr>
        <w:pStyle w:val="NormalHanging12a"/>
      </w:pPr>
      <w:r w:rsidRPr="006570AB">
        <w:t>31.</w:t>
      </w:r>
      <w:r w:rsidRPr="006570AB">
        <w:tab/>
        <w:t>Insiste em que as medidas necessárias ao desbloqueamento dos fundos da UE, tal como definidas nas decisões pertinentes adotadas a título do Regulamento Disposições Comuns, do Regulamento que cria um Mecanismo de Recuperação e Resiliência</w:t>
      </w:r>
      <w:r w:rsidRPr="006570AB">
        <w:rPr>
          <w:rStyle w:val="FootnoteReference"/>
        </w:rPr>
        <w:footnoteReference w:id="50"/>
      </w:r>
      <w:r w:rsidRPr="006570AB">
        <w:t xml:space="preserve"> e do Regulamento Regime Geral de Condicionalidade, devem ser avaliadas de forma coerente enquanto pacote integral de medidas, insistindo também em que não devem ser efetuados pagamentos enquanto persistam deficiências; considera que a Comissão deve tomar novas medidas ao abrigo do Regulamento relativo à condicionalidade do Estado de direito no que diz respeito a outras violações do Estado de direito, como as relacionadas com o sistema judicial;</w:t>
      </w:r>
    </w:p>
    <w:p w14:paraId="36CCCAE2" w14:textId="77777777" w:rsidR="00B04325" w:rsidRPr="006570AB" w:rsidRDefault="005D3A58" w:rsidP="00B04325">
      <w:pPr>
        <w:pStyle w:val="NormalHanging12a"/>
      </w:pPr>
      <w:r w:rsidRPr="006570AB">
        <w:t>32.</w:t>
      </w:r>
      <w:r w:rsidRPr="006570AB">
        <w:tab/>
        <w:t>Congratula-se com a sugestão da proposta da Comissão para o quadro financeiro plurianual 2028-2034 de condicionar quase metade dos fundos ao respeito do Estado de direito e da Carta antes da sua aprovação;</w:t>
      </w:r>
    </w:p>
    <w:p w14:paraId="69900003" w14:textId="77777777" w:rsidR="00B04325" w:rsidRPr="006570AB" w:rsidRDefault="005D3A58" w:rsidP="00B04325">
      <w:pPr>
        <w:pStyle w:val="NormalHanging12a"/>
        <w:rPr>
          <w:b/>
          <w:i/>
          <w:iCs/>
        </w:rPr>
      </w:pPr>
      <w:r w:rsidRPr="006570AB">
        <w:rPr>
          <w:b/>
          <w:i/>
        </w:rPr>
        <w:t>O Estado de direito e a dimensão do mercado único</w:t>
      </w:r>
    </w:p>
    <w:p w14:paraId="545D70F8" w14:textId="77777777" w:rsidR="00B04325" w:rsidRPr="006570AB" w:rsidRDefault="005D3A58" w:rsidP="00B04325">
      <w:pPr>
        <w:pStyle w:val="NormalHanging12a"/>
      </w:pPr>
      <w:r w:rsidRPr="006570AB">
        <w:t>33.</w:t>
      </w:r>
      <w:r w:rsidRPr="006570AB">
        <w:tab/>
        <w:t xml:space="preserve">Reconhece que o relatório sobre o Estado de direito inclui uma dimensão relativa ao mercado único com vista a incidir em aspetos relativos ao Estado de direito que afetam o ambiente económico global, as empresas e os trabalhadores, com vista a garantir a defesa dos direitos, a punição da corrupção e a execução dos contratos; frisa que um sistema judicial funcional, um quadro sólido de luta contra a corrupção, o pluralismo </w:t>
      </w:r>
      <w:r w:rsidRPr="006570AB">
        <w:lastRenderedPageBreak/>
        <w:t xml:space="preserve">dos meios de comunicação social e um equilíbrio de poderes adequado têm, todos eles, </w:t>
      </w:r>
      <w:r w:rsidRPr="006570AB">
        <w:t>impacto económico e influência no funcionamento harmonioso do mercado único; propõe que, na sua avaliação, a Comissão colabore ainda mais com as partes interessadas e as organizações da sociedade civil, incluindo os sindicatos;</w:t>
      </w:r>
    </w:p>
    <w:p w14:paraId="1FC3B9EE" w14:textId="68A64078" w:rsidR="005D3A58" w:rsidRDefault="005D3A58" w:rsidP="00B04325">
      <w:pPr>
        <w:pStyle w:val="NormalHanging12a"/>
      </w:pPr>
      <w:r w:rsidRPr="006570AB">
        <w:t>34.</w:t>
      </w:r>
      <w:r w:rsidRPr="006570AB">
        <w:tab/>
        <w:t>Considera que a integração da dimensão do mercado único deve complementar, e não ofuscar, domínios fundamentais como o espaço cívico, o respeito pelos direitos fundamentais e a liberdade dos meios de comunicação social, que devem ser reconhecidos como pilares fundamentais no relatório;</w:t>
      </w:r>
    </w:p>
    <w:p w14:paraId="4D0421CC" w14:textId="77777777" w:rsidR="005D3A58" w:rsidRDefault="005D3A58">
      <w:pPr>
        <w:widowControl/>
      </w:pPr>
      <w:r>
        <w:br w:type="page"/>
      </w:r>
    </w:p>
    <w:p w14:paraId="32C09F27" w14:textId="77777777" w:rsidR="00B04325" w:rsidRPr="006570AB" w:rsidRDefault="005D3A58" w:rsidP="00B04325">
      <w:pPr>
        <w:pStyle w:val="NormalHanging12a"/>
        <w:rPr>
          <w:b/>
          <w:i/>
          <w:iCs/>
        </w:rPr>
      </w:pPr>
      <w:r w:rsidRPr="006570AB">
        <w:rPr>
          <w:b/>
          <w:i/>
        </w:rPr>
        <w:lastRenderedPageBreak/>
        <w:t>O Estado de direito no cerne do processo de alargamento e da ação externa da UE</w:t>
      </w:r>
    </w:p>
    <w:p w14:paraId="22A65DC8" w14:textId="77777777" w:rsidR="00B04325" w:rsidRPr="006570AB" w:rsidRDefault="005D3A58" w:rsidP="00B04325">
      <w:pPr>
        <w:pStyle w:val="NormalHanging12a"/>
      </w:pPr>
      <w:r w:rsidRPr="006570AB">
        <w:t>35.</w:t>
      </w:r>
      <w:r w:rsidRPr="006570AB">
        <w:tab/>
        <w:t>Reitera que os valores consagrados no artigo 2.º do TUE devem ser respeitados não só pelos atuais Estados-Membros, mas também pelos futuros Estados-Membros da UE durante o processo de adesão; incentiva uma avaliação rigorosa do Estado de direito em todos os países num processo de adesão; incentiva a Comissão a apresentar recomendações concretas aos países em fase de adesão sobre o Estado de direito e a assegurar a coerência com o relatório sobre o alargamento;</w:t>
      </w:r>
    </w:p>
    <w:p w14:paraId="6368877D" w14:textId="77777777" w:rsidR="00B04325" w:rsidRPr="006570AB" w:rsidRDefault="005D3A58" w:rsidP="00B04325">
      <w:pPr>
        <w:pStyle w:val="NormalHanging12a"/>
        <w:rPr>
          <w:b/>
          <w:i/>
          <w:iCs/>
        </w:rPr>
      </w:pPr>
      <w:r w:rsidRPr="006570AB">
        <w:rPr>
          <w:b/>
          <w:i/>
        </w:rPr>
        <w:t>Melhorar o processo de prestação de informações da Comissão</w:t>
      </w:r>
    </w:p>
    <w:p w14:paraId="3C22AB57" w14:textId="77777777" w:rsidR="00B04325" w:rsidRPr="006570AB" w:rsidRDefault="005D3A58" w:rsidP="00B04325">
      <w:pPr>
        <w:pStyle w:val="NormalHanging12a"/>
      </w:pPr>
      <w:r w:rsidRPr="006570AB">
        <w:t>36.</w:t>
      </w:r>
      <w:r w:rsidRPr="006570AB">
        <w:tab/>
        <w:t>Insta a Comissão a ser mais transparente sobre os critérios que utiliza para selecionar as informações provenientes da sociedade civil, dos organismos internacionais, das autoridades nacionais e de outras partes interessadas no processo de prestação de informações; observa que o processo de consulta poderia ser reforçado, garantindo um acompanhamento adequado com os intervenientes da sociedade civil sobre os contributos que prestam, e insiste em que o processo de prestação de informações seja baseado em da</w:t>
      </w:r>
      <w:r w:rsidRPr="006570AB">
        <w:t>dos concretos, transparente e imparcial;</w:t>
      </w:r>
    </w:p>
    <w:p w14:paraId="1913F5C9" w14:textId="77777777" w:rsidR="00B04325" w:rsidRPr="006570AB" w:rsidRDefault="005D3A58" w:rsidP="00B04325">
      <w:pPr>
        <w:pStyle w:val="NormalHanging12a"/>
      </w:pPr>
      <w:r w:rsidRPr="006570AB">
        <w:t>37.</w:t>
      </w:r>
      <w:r w:rsidRPr="006570AB">
        <w:tab/>
        <w:t xml:space="preserve">Salienta que o Grupo de Acompanhamento para a Democracia, o Estado de Direito e os Direitos Fundamentais da Comissão das Liberdades Cívicas, da Justiça e dos Assuntos Internos do Parlamento enviou várias delegações </w:t>
      </w:r>
      <w:r w:rsidRPr="006570AB">
        <w:rPr>
          <w:i/>
          <w:iCs/>
        </w:rPr>
        <w:t>ad hoc</w:t>
      </w:r>
      <w:r w:rsidRPr="006570AB">
        <w:t xml:space="preserve"> a alguns Estados-Membros nos últimos anos e que a situação do Estado de direito, da democracia e dos direitos fundamentais foi avaliada como apresentando maiores lacunas do que as salientadas nos relatórios da Comissão;  considera que o exercício de acompanhamento do Grupo de Acompanhamento para a Democracia, o Estado de direito e os Direitos Fundamentais deve ser devidamente tido em conta no âmbito do processo de consulta e na subsequente elaboração do relatório;</w:t>
      </w:r>
    </w:p>
    <w:p w14:paraId="2DC8D6F2" w14:textId="77777777" w:rsidR="00B04325" w:rsidRPr="006570AB" w:rsidRDefault="005D3A58" w:rsidP="00B04325">
      <w:pPr>
        <w:pStyle w:val="NormalHanging12a"/>
      </w:pPr>
      <w:r w:rsidRPr="006570AB">
        <w:t>38.</w:t>
      </w:r>
      <w:r w:rsidRPr="006570AB">
        <w:tab/>
        <w:t>Reitera a necessidade de um organismo de supervisão independente, composto por peritos independentes nos domínios jurídico, académico e dos direitos humanos, a participar na elaboração do relatório; insta a Comissão a reforçar a cooperação com os organismos da UE e internacionais;</w:t>
      </w:r>
    </w:p>
    <w:p w14:paraId="0CEABADD" w14:textId="77777777" w:rsidR="00B04325" w:rsidRPr="006570AB" w:rsidRDefault="005D3A58" w:rsidP="00B04325">
      <w:pPr>
        <w:pStyle w:val="NormalHanging12a"/>
      </w:pPr>
      <w:r w:rsidRPr="006570AB">
        <w:t>39.</w:t>
      </w:r>
      <w:r w:rsidRPr="006570AB">
        <w:tab/>
        <w:t>Considera que a Comissão deve ser mais clara na identificação e articulação da trajetória em que cada Estado-Membro se encontra, incluindo sinais de alerta precoce e a identificação de questões graves e sistémicas, e salienta que a Comissão deve assegurar a coerência entre as questões identificadas e as recomendações emitidas;</w:t>
      </w:r>
    </w:p>
    <w:p w14:paraId="240F6590" w14:textId="77777777" w:rsidR="00B04325" w:rsidRPr="006570AB" w:rsidRDefault="005D3A58" w:rsidP="00B04325">
      <w:pPr>
        <w:pStyle w:val="NormalHanging12a"/>
      </w:pPr>
      <w:r w:rsidRPr="006570AB">
        <w:t>40.</w:t>
      </w:r>
      <w:r w:rsidRPr="006570AB">
        <w:tab/>
        <w:t>Insta a Comissão a emitir recomendações mais operacionais, distinguindo as que dizem respeito a questões graves e sistémicas e estabelecendo medidas concretas, calendários e parâmetros de referência para a sua aplicação pelos Estados-Membros;</w:t>
      </w:r>
    </w:p>
    <w:p w14:paraId="7DB7FE68" w14:textId="77777777" w:rsidR="00B04325" w:rsidRPr="006570AB" w:rsidRDefault="005D3A58" w:rsidP="00B04325">
      <w:pPr>
        <w:pStyle w:val="NormalHanging12a"/>
      </w:pPr>
      <w:r w:rsidRPr="006570AB">
        <w:t>41.</w:t>
      </w:r>
      <w:r w:rsidRPr="006570AB">
        <w:tab/>
        <w:t>Solicita à Comissão que reforce o mecanismo de acompanhamento das recomendações não aplicadas, associando-as mais diretamente aos instrumentos de execução existentes, incluindo os processos por infração e a condicionalidade orçamental;</w:t>
      </w:r>
    </w:p>
    <w:p w14:paraId="16A7C55C" w14:textId="77777777" w:rsidR="00B04325" w:rsidRPr="006570AB" w:rsidRDefault="005D3A58" w:rsidP="00B04325">
      <w:pPr>
        <w:pStyle w:val="NormalHanging12a"/>
        <w:rPr>
          <w:b/>
        </w:rPr>
      </w:pPr>
      <w:r w:rsidRPr="006570AB">
        <w:rPr>
          <w:b/>
          <w:i/>
        </w:rPr>
        <w:t>Recomendações horizontais</w:t>
      </w:r>
    </w:p>
    <w:p w14:paraId="3D4B0B5A" w14:textId="77777777" w:rsidR="00B04325" w:rsidRPr="006570AB" w:rsidRDefault="005D3A58" w:rsidP="00B04325">
      <w:pPr>
        <w:pStyle w:val="NormalHanging12a"/>
      </w:pPr>
      <w:r w:rsidRPr="006570AB">
        <w:t>42.</w:t>
      </w:r>
      <w:r w:rsidRPr="006570AB">
        <w:tab/>
        <w:t xml:space="preserve">Considera que o diálogo interinstitucional e a cooperação ao nível da UE sobre o Estado </w:t>
      </w:r>
      <w:r w:rsidRPr="006570AB">
        <w:lastRenderedPageBreak/>
        <w:t>de direito devem ser reforçados; lamenta que, até à data, a Comissão e o Conselho tenham rejeitado a sua proposta de celebrar um acordo interinstitucional sobre a democracia, o Estado de direito e os direitos fundamentais; reafirma a sua disponibilidade para retomar as conversações sobre este acordo;</w:t>
      </w:r>
    </w:p>
    <w:p w14:paraId="02FF46A1" w14:textId="77777777" w:rsidR="00B04325" w:rsidRPr="006570AB" w:rsidRDefault="005D3A58" w:rsidP="00B04325">
      <w:pPr>
        <w:pStyle w:val="NormalHanging12a"/>
      </w:pPr>
      <w:r w:rsidRPr="006570AB">
        <w:t>43.</w:t>
      </w:r>
      <w:r w:rsidRPr="006570AB">
        <w:tab/>
        <w:t>Reitera o seu apelo à Comissão para que alargue o âmbito do relatório de modo a abranger todos os aspetos do artigo 2.º do TUE e inclua indicadores mais amplos, como a independência dos meios de comunicação social, o papel da sociedade civil, os direitos fundamentais, a liberdade académica e artística, a igualdade de género, a proteção das minorias e dos grupos vulneráveis, o respeito pelo direito internacional, eleições livres e justas e o funcionamento das instituições democráticas;</w:t>
      </w:r>
    </w:p>
    <w:p w14:paraId="1645342E" w14:textId="77777777" w:rsidR="00B04325" w:rsidRPr="006570AB" w:rsidRDefault="005D3A58" w:rsidP="00B04325">
      <w:pPr>
        <w:pStyle w:val="NormalHanging12a"/>
      </w:pPr>
      <w:r w:rsidRPr="006570AB">
        <w:t>44.</w:t>
      </w:r>
      <w:r w:rsidRPr="006570AB">
        <w:tab/>
        <w:t>Está firmemente convicto de que as instituições da UE devem cumprir as suas obrigações em matéria de Estado de direito e sublinha que a avaliação da adesão das instituições da UE aos valores consagrados no artigo 2.º do TUE, incluindo a coerência interna da União na defesa destes valores em todas as suas políticas e ações externas, é essencial para salvaguardar a credibilidade e a legitimidade da UE;</w:t>
      </w:r>
    </w:p>
    <w:p w14:paraId="77EF8A33" w14:textId="77777777" w:rsidR="00B04325" w:rsidRPr="006570AB" w:rsidRDefault="005D3A58" w:rsidP="00B04325">
      <w:pPr>
        <w:pStyle w:val="NormalHanging12a"/>
      </w:pPr>
      <w:r w:rsidRPr="006570AB">
        <w:t>45.</w:t>
      </w:r>
      <w:r w:rsidRPr="006570AB">
        <w:tab/>
        <w:t xml:space="preserve">Insta o Conselho a tornar o seu diálogo sobre o Estado de direito mais transparente, interativo e orientado para os resultados, nomeadamente através da emissão de conclusões pormenorizadas e da prestação de informações sobre as conclusões da Comissão e do Parlamento; lamenta a incapacidade do Conselho para realizar progressos significativos no procedimento em curso ao abrigo do artigo 7.º, n.º 1, do TUE e crê que qualquer novo atraso na ação do Conselho equivaleria a uma violação do princípio do Estado de </w:t>
      </w:r>
      <w:r w:rsidRPr="006570AB">
        <w:t>direito pelo próprio Conselho.</w:t>
      </w:r>
    </w:p>
    <w:p w14:paraId="3B95ADEE" w14:textId="77777777" w:rsidR="00B04325" w:rsidRPr="006570AB" w:rsidRDefault="005D3A58" w:rsidP="00B04325">
      <w:pPr>
        <w:pStyle w:val="NormalHanging12a"/>
      </w:pPr>
      <w:r w:rsidRPr="006570AB">
        <w:t>46.</w:t>
      </w:r>
      <w:r w:rsidRPr="006570AB">
        <w:tab/>
        <w:t>Encarrega a sua Presidente de transmitir a presente resolução ao Conselho e à Comissão.</w:t>
      </w:r>
    </w:p>
    <w:p w14:paraId="783E5069" w14:textId="77777777" w:rsidR="00B04325" w:rsidRPr="006570AB" w:rsidRDefault="00B04325" w:rsidP="00B04325">
      <w:pPr>
        <w:sectPr w:rsidR="00B04325" w:rsidRPr="006570AB" w:rsidSect="006570A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099FBAE4" w14:textId="77777777" w:rsidR="00B04325" w:rsidRPr="006570AB" w:rsidRDefault="005D3A58" w:rsidP="00B04325">
      <w:pPr>
        <w:pStyle w:val="PageHeading"/>
      </w:pPr>
      <w:bookmarkStart w:id="3" w:name="_Toc215220361"/>
      <w:r w:rsidRPr="006570AB">
        <w:lastRenderedPageBreak/>
        <w:t>EXPOSIÇÃO DE MOTIVOS</w:t>
      </w:r>
      <w:bookmarkEnd w:id="3"/>
    </w:p>
    <w:p w14:paraId="4FD18249" w14:textId="77777777" w:rsidR="00B04325" w:rsidRPr="006570AB" w:rsidRDefault="005D3A58" w:rsidP="00B04325">
      <w:pPr>
        <w:pStyle w:val="Normal12a"/>
      </w:pPr>
      <w:r w:rsidRPr="006570AB">
        <w:t>Enquanto relator do relatório de iniciativa sobre o relatório de 2025 da Comissão Europeia sobre o Estado de direito procurei responder à prioridade política expressa pela maioria dos grupos políticos na Comissão LIBE, bem como ao pedido da Comissão de publicar o nosso relatório anual mais cedo do que em anos anteriores. O calendário acelerado tornou difícil equilibrar uma análise exaustiva com os condicionalismos de um processo de redação comprimido.</w:t>
      </w:r>
    </w:p>
    <w:p w14:paraId="338012F8" w14:textId="77777777" w:rsidR="00B04325" w:rsidRPr="006570AB" w:rsidRDefault="00B04325" w:rsidP="00B04325">
      <w:pPr>
        <w:pStyle w:val="Normal12a"/>
      </w:pPr>
    </w:p>
    <w:p w14:paraId="536495E0" w14:textId="77777777" w:rsidR="00B04325" w:rsidRPr="006570AB" w:rsidRDefault="005D3A58" w:rsidP="00B04325">
      <w:pPr>
        <w:pStyle w:val="Normal12a"/>
      </w:pPr>
      <w:r w:rsidRPr="006570AB">
        <w:t xml:space="preserve">À luz destas limitações, optei por me concentrar no essencial de cada capítulo e destacar as áreas fundamentais em que os relatórios da Comissão poderiam ser reforçados. </w:t>
      </w:r>
    </w:p>
    <w:p w14:paraId="54D68DC9" w14:textId="77777777" w:rsidR="00B04325" w:rsidRPr="006570AB" w:rsidRDefault="00B04325" w:rsidP="00B04325">
      <w:pPr>
        <w:pStyle w:val="Normal12a"/>
      </w:pPr>
    </w:p>
    <w:p w14:paraId="460A48F0" w14:textId="77777777" w:rsidR="00B04325" w:rsidRPr="006570AB" w:rsidRDefault="005D3A58" w:rsidP="00B04325">
      <w:pPr>
        <w:pStyle w:val="Normal12a"/>
      </w:pPr>
      <w:r w:rsidRPr="006570AB">
        <w:t xml:space="preserve">Abstenho-me deliberadamente de designar Estados-Membros específicos. Tal representa uma concessão significativa da minha parte, uma vez que o Grupo The Left tem defendido </w:t>
      </w:r>
      <w:r w:rsidRPr="006570AB">
        <w:t>sistematicamente a identificação explícita de países em relatórios e propostas do Parlamento Europeu quando ocorrem violações do Estado de direito, da democracia ou dos direitos fundamentais. Estamos firmemente convictos de que a apresentação de exemplos concretos é essencial para a responsabilização e para demonstrar que todos os Estados-Membros são obrigados a respeitar as mesmas normas, sem prejuízo ou tendo em conta a sua posição na União. No entanto, a influência crescente da política nacional no Parla</w:t>
      </w:r>
      <w:r w:rsidRPr="006570AB">
        <w:t>mento de hoje torna extremamente difícil alcançar um acordo objetivo e imparcial entre os grupos políticos se forem mencionados Estados-Membros específicos. Por conseguinte, a fim de assegurar que o relatório continue a ser tão consensual, inclusivo e amplamente apoiado quanto possível, decidi abster-se de citar Estados-Membros específicos nesta ocasião.</w:t>
      </w:r>
    </w:p>
    <w:p w14:paraId="139CEEC4" w14:textId="77777777" w:rsidR="00B04325" w:rsidRPr="006570AB" w:rsidRDefault="00B04325" w:rsidP="00B04325">
      <w:pPr>
        <w:pStyle w:val="Normal12a"/>
      </w:pPr>
    </w:p>
    <w:p w14:paraId="068084F0" w14:textId="77777777" w:rsidR="00B04325" w:rsidRPr="006570AB" w:rsidRDefault="005D3A58" w:rsidP="00B04325">
      <w:pPr>
        <w:pStyle w:val="Normal12a"/>
      </w:pPr>
      <w:r w:rsidRPr="006570AB">
        <w:t>A minha principal prioridade tem sido honrar os compromissos de longa data do Parlamento Europeu, nomeadamente reafirmando a ligação intrínseca entre o Estado de direito e os direitos fundamentais e assegurando a participação de uma rede de peritos independentes no processo de apresentação de relatórios da Comissão. Esta abordagem é essencial para despolitizar a avaliação, evitar que questões críticas sejam ignoradas e assegurar que as tendências emergentes sejam articuladas de forma clara e coerente.</w:t>
      </w:r>
    </w:p>
    <w:p w14:paraId="0B78935A" w14:textId="77777777" w:rsidR="00B04325" w:rsidRPr="006570AB" w:rsidRDefault="00B04325" w:rsidP="00B04325">
      <w:pPr>
        <w:pStyle w:val="Normal12a"/>
      </w:pPr>
    </w:p>
    <w:p w14:paraId="2BB9A4F6" w14:textId="77777777" w:rsidR="00B04325" w:rsidRPr="006570AB" w:rsidRDefault="005D3A58" w:rsidP="00B04325">
      <w:pPr>
        <w:pStyle w:val="Normal12a"/>
      </w:pPr>
      <w:r w:rsidRPr="006570AB">
        <w:t>Outras prioridades incluem a proteção dos jornalistas e das organizações da sociedade civil; combater as violações dos direitos fundamentais facilitadas ou associadas à utilização — ou à exploração — dos fundos da UE em alguns Estados-Membros; e assegurar uma investigação exaustiva, imparcial e atempada dos casos de corrupção, dando especial prioridade aos que envolvem altos funcionários, como forma de salvaguardar o Estado de direito e a confiança do público nas instituições democráticas. Por último, as pr</w:t>
      </w:r>
      <w:r w:rsidRPr="006570AB">
        <w:t xml:space="preserve">óprias instituições da UE devem respeitar plenamente as suas obrigações em matéria de Estado de direito. A avaliação da sua adesão aos valores consagrados no artigo 2.º do TUE — incluindo a coerência interna da União na defesa destes valores em todas as suas políticas e ações externas — é indispensável </w:t>
      </w:r>
      <w:r w:rsidRPr="006570AB">
        <w:lastRenderedPageBreak/>
        <w:t>para manter a credibilidade e a legitimidade da UE.</w:t>
      </w:r>
    </w:p>
    <w:p w14:paraId="0BFA2CDD" w14:textId="77777777" w:rsidR="00B04325" w:rsidRPr="006570AB" w:rsidRDefault="00B04325" w:rsidP="00B04325">
      <w:pPr>
        <w:pStyle w:val="Normal12a"/>
      </w:pPr>
    </w:p>
    <w:p w14:paraId="1797D64E" w14:textId="77777777" w:rsidR="00B04325" w:rsidRPr="006570AB" w:rsidRDefault="005D3A58" w:rsidP="00B04325">
      <w:pPr>
        <w:pStyle w:val="Normal12a"/>
      </w:pPr>
      <w:r w:rsidRPr="006570AB">
        <w:t>Neste contexto, é igualmente essencial reforçar o papel dos direitos económicos e sociais no quadro do Estado de direito da União. Uma avaliação credível da situação do Estado de direito não pode ignorar o impacto profundo que a insegurança habitacional, a desigualdade de acesso a serviços essenciais e o agravamento das desigualdades sociais têm na capacidade das pessoas para exercerem os seus direitos fundamentais. Quando as pessoas não podem pagar uma habitação adequada, vivem em condições precárias ou en</w:t>
      </w:r>
      <w:r w:rsidRPr="006570AB">
        <w:t>frentam obstáculos sistémicos à proteção social, a sua igualdade de tratamento perante a lei torna-se teórica e não real. Uma abordagem holística do Estado de direito centrada nas pessoas deve, por conseguinte, abordar as condições socioeconómicas estruturais que enfraquecem a participação democrática e minam a confiança nas instituições públicas.</w:t>
      </w:r>
    </w:p>
    <w:p w14:paraId="370534C5" w14:textId="77777777" w:rsidR="00B04325" w:rsidRPr="006570AB" w:rsidRDefault="00B04325" w:rsidP="00B04325">
      <w:pPr>
        <w:pStyle w:val="Normal12a"/>
      </w:pPr>
    </w:p>
    <w:p w14:paraId="5DC63983" w14:textId="77777777" w:rsidR="00B04325" w:rsidRPr="006570AB" w:rsidRDefault="005D3A58" w:rsidP="00B04325">
      <w:pPr>
        <w:pStyle w:val="Normal12a"/>
      </w:pPr>
      <w:r w:rsidRPr="006570AB">
        <w:t>Estou também muito preocupado com a normalização das narrativas racistas no discurso público, nomeadamente por parte dos intervenientes políticos e das autoridades públicas. Esta retórica compromete a igualdade perante a lei, alimenta a discriminação e a hostilidade contra as comunidades racializadas e cria condições em que as pessoas não podem exercer os seus direitos fundamentais sem medo ou intimidação. A luta contra o racismo e as narrativas discriminatórias deve, por conseguinte, fazer parte integrante</w:t>
      </w:r>
      <w:r w:rsidRPr="006570AB">
        <w:t xml:space="preserve"> da agenda da União em matéria de Estado de direito.</w:t>
      </w:r>
    </w:p>
    <w:p w14:paraId="18994F87" w14:textId="77777777" w:rsidR="00B04325" w:rsidRPr="006570AB" w:rsidRDefault="00B04325" w:rsidP="00B04325">
      <w:pPr>
        <w:pStyle w:val="Normal12a"/>
      </w:pPr>
    </w:p>
    <w:p w14:paraId="4C8CA7F6" w14:textId="77777777" w:rsidR="00B04325" w:rsidRPr="006570AB" w:rsidRDefault="005D3A58" w:rsidP="00B04325">
      <w:pPr>
        <w:pStyle w:val="Normal12a"/>
      </w:pPr>
      <w:r w:rsidRPr="006570AB">
        <w:t>Em última análise, o objetivo de todas as instituições da UE deve ser fornecer uma avaliação da situação do Estado de direito em toda a UE que seja objetiva, credível e protegida de influências político-partidárias. Estou profundamente preocupado com o risco crescente de retrocesso do Estado de direito em vários Estados-Membros, em especial no contexto do aumento das narrativas de extrema-direita e da crescente securitização das políticas públicas. Neste momento, é essencial que as nossas avaliações continu</w:t>
      </w:r>
      <w:r w:rsidRPr="006570AB">
        <w:t>em firmemente alicerçadas em provas, na legislação e nos direitos fundamentais, em vez de serem moldadas por conveniência política. Só assegurando que o nosso trabalho é independente, rigoroso e não politizado poderemos manter a credibilidade e a legitimidade do quadro do Estado de direito da União.</w:t>
      </w:r>
    </w:p>
    <w:p w14:paraId="4B1471DE" w14:textId="77777777" w:rsidR="00B04325" w:rsidRPr="006570AB" w:rsidRDefault="00B04325" w:rsidP="00B04325">
      <w:pPr>
        <w:pStyle w:val="Normal12a"/>
      </w:pPr>
    </w:p>
    <w:p w14:paraId="6A6121E5" w14:textId="77777777" w:rsidR="00B04325" w:rsidRPr="006570AB" w:rsidRDefault="005D3A58" w:rsidP="00B04325">
      <w:pPr>
        <w:pStyle w:val="Normal12a"/>
      </w:pPr>
      <w:r w:rsidRPr="006570AB">
        <w:t>Tenciono apresentar alterações que introduzam considerandos que analisem as tendências gerais nos Estados-Membros. Estes considerandos destinam-se a complementar a parte dispositiva do relatório, identificando padrões, riscos emergentes e desafios sistémicos, reforçando assim a base analítica para as nossas recomendações.</w:t>
      </w:r>
    </w:p>
    <w:p w14:paraId="2B5E3CA3" w14:textId="77777777" w:rsidR="00B04325" w:rsidRPr="006570AB" w:rsidRDefault="00B04325" w:rsidP="00B04325">
      <w:pPr>
        <w:pStyle w:val="Normal12a"/>
      </w:pPr>
    </w:p>
    <w:p w14:paraId="59490903" w14:textId="77777777" w:rsidR="00B04325" w:rsidRPr="006570AB" w:rsidRDefault="005D3A58" w:rsidP="00B04325">
      <w:pPr>
        <w:pStyle w:val="Normal12a"/>
      </w:pPr>
      <w:r w:rsidRPr="006570AB">
        <w:t xml:space="preserve">Através desta abordagem, o relatório visa combinar um compromisso político atempado com propostas concretas para reforçar a eficácia, a transparência e o impacto dos relatórios da Comissão, contribuindo assim para um quadro mais sólido e coerente do Estado de direito na </w:t>
      </w:r>
      <w:r w:rsidRPr="006570AB">
        <w:lastRenderedPageBreak/>
        <w:t>União Europeia.</w:t>
      </w:r>
    </w:p>
    <w:p w14:paraId="61EBA316" w14:textId="77777777" w:rsidR="00B04325" w:rsidRPr="006570AB" w:rsidRDefault="00B04325" w:rsidP="00B04325">
      <w:pPr>
        <w:pStyle w:val="Normal12a"/>
      </w:pPr>
    </w:p>
    <w:p w14:paraId="27DC6B85" w14:textId="77777777" w:rsidR="00B04325" w:rsidRPr="006570AB" w:rsidRDefault="00B04325" w:rsidP="00B04325">
      <w:pPr>
        <w:pStyle w:val="Normal12a"/>
      </w:pPr>
    </w:p>
    <w:p w14:paraId="4E158FB4" w14:textId="77777777" w:rsidR="00B04325" w:rsidRPr="006570AB" w:rsidRDefault="00B04325" w:rsidP="00B04325"/>
    <w:p w14:paraId="2C36C3AF" w14:textId="77777777" w:rsidR="00100069" w:rsidRPr="006570AB" w:rsidRDefault="00100069" w:rsidP="00B04325"/>
    <w:sectPr w:rsidR="00100069" w:rsidRPr="006570AB" w:rsidSect="00DF1A84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BB267" w14:textId="77777777" w:rsidR="005D3A58" w:rsidRPr="006570AB" w:rsidRDefault="005D3A58">
      <w:r w:rsidRPr="006570AB">
        <w:separator/>
      </w:r>
    </w:p>
  </w:endnote>
  <w:endnote w:type="continuationSeparator" w:id="0">
    <w:p w14:paraId="287DA7B3" w14:textId="77777777" w:rsidR="005D3A58" w:rsidRPr="006570AB" w:rsidRDefault="005D3A58">
      <w:r w:rsidRPr="006570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3635F" w14:textId="77777777" w:rsidR="006570AB" w:rsidRPr="006570AB" w:rsidRDefault="006570AB" w:rsidP="006570AB">
    <w:pPr>
      <w:pStyle w:val="EPFooter"/>
    </w:pPr>
    <w:r w:rsidRPr="006570AB">
      <w:t>PE</w:t>
    </w:r>
    <w:r w:rsidRPr="006570AB">
      <w:rPr>
        <w:rStyle w:val="HideTWBExt"/>
      </w:rPr>
      <w:t>&lt;NoPE&gt;</w:t>
    </w:r>
    <w:r w:rsidRPr="006570AB">
      <w:t>779.664</w:t>
    </w:r>
    <w:r w:rsidRPr="006570AB">
      <w:rPr>
        <w:rStyle w:val="HideTWBExt"/>
      </w:rPr>
      <w:t>&lt;/NoPE&gt;&lt;Version&gt;</w:t>
    </w:r>
    <w:r w:rsidRPr="006570AB">
      <w:t>v01-00</w:t>
    </w:r>
    <w:r w:rsidRPr="006570AB">
      <w:rPr>
        <w:rStyle w:val="HideTWBExt"/>
      </w:rPr>
      <w:t>&lt;/Version&gt;</w:t>
    </w:r>
    <w:r w:rsidRPr="006570AB">
      <w:tab/>
    </w:r>
    <w:r w:rsidRPr="006570AB">
      <w:fldChar w:fldCharType="begin"/>
    </w:r>
    <w:r w:rsidRPr="006570AB">
      <w:instrText xml:space="preserve"> PAGE  \* MERGEFORMAT </w:instrText>
    </w:r>
    <w:r w:rsidRPr="006570AB">
      <w:fldChar w:fldCharType="separate"/>
    </w:r>
    <w:r w:rsidRPr="006570AB">
      <w:rPr>
        <w:noProof/>
      </w:rPr>
      <w:t>2</w:t>
    </w:r>
    <w:r w:rsidRPr="006570AB">
      <w:fldChar w:fldCharType="end"/>
    </w:r>
    <w:r w:rsidRPr="006570AB">
      <w:t>/</w:t>
    </w:r>
    <w:fldSimple w:instr=" NUMPAGES  \* MERGEFORMAT ">
      <w:r w:rsidRPr="006570AB">
        <w:rPr>
          <w:noProof/>
        </w:rPr>
        <w:t>19</w:t>
      </w:r>
    </w:fldSimple>
    <w:r w:rsidRPr="006570AB">
      <w:tab/>
    </w:r>
    <w:r w:rsidRPr="006570AB">
      <w:rPr>
        <w:rStyle w:val="HideTWBExt"/>
      </w:rPr>
      <w:t>&lt;PathFdR&gt;</w:t>
    </w:r>
    <w:r w:rsidRPr="006570AB">
      <w:t>PR\1332174PT.docx</w:t>
    </w:r>
    <w:r w:rsidRPr="006570AB">
      <w:rPr>
        <w:rStyle w:val="HideTWBExt"/>
      </w:rPr>
      <w:t>&lt;/PathFdR&gt;</w:t>
    </w:r>
  </w:p>
  <w:p w14:paraId="300FC597" w14:textId="52EE5BCC" w:rsidR="00B04325" w:rsidRPr="006570AB" w:rsidRDefault="006570AB" w:rsidP="006570AB">
    <w:pPr>
      <w:pStyle w:val="EPFooter2"/>
    </w:pPr>
    <w:r w:rsidRPr="006570AB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49276" w14:textId="77777777" w:rsidR="006570AB" w:rsidRPr="006570AB" w:rsidRDefault="006570AB" w:rsidP="006570AB">
    <w:pPr>
      <w:pStyle w:val="EPFooter"/>
    </w:pPr>
    <w:r w:rsidRPr="006570AB">
      <w:rPr>
        <w:rStyle w:val="HideTWBExt"/>
      </w:rPr>
      <w:t>&lt;PathFdR&gt;</w:t>
    </w:r>
    <w:r w:rsidRPr="006570AB">
      <w:t>PR\1332174PT.docx</w:t>
    </w:r>
    <w:r w:rsidRPr="006570AB">
      <w:rPr>
        <w:rStyle w:val="HideTWBExt"/>
      </w:rPr>
      <w:t>&lt;/PathFdR&gt;</w:t>
    </w:r>
    <w:r w:rsidRPr="006570AB">
      <w:tab/>
    </w:r>
    <w:r w:rsidRPr="006570AB">
      <w:fldChar w:fldCharType="begin"/>
    </w:r>
    <w:r w:rsidRPr="006570AB">
      <w:instrText xml:space="preserve"> PAGE  \* MERGEFORMAT </w:instrText>
    </w:r>
    <w:r w:rsidRPr="006570AB">
      <w:fldChar w:fldCharType="separate"/>
    </w:r>
    <w:r w:rsidRPr="006570AB">
      <w:rPr>
        <w:noProof/>
      </w:rPr>
      <w:t>15</w:t>
    </w:r>
    <w:r w:rsidRPr="006570AB">
      <w:fldChar w:fldCharType="end"/>
    </w:r>
    <w:r w:rsidRPr="006570AB">
      <w:t>/</w:t>
    </w:r>
    <w:fldSimple w:instr=" NUMPAGES  \* MERGEFORMAT ">
      <w:r w:rsidRPr="006570AB">
        <w:rPr>
          <w:noProof/>
        </w:rPr>
        <w:t>19</w:t>
      </w:r>
    </w:fldSimple>
    <w:r w:rsidRPr="006570AB">
      <w:tab/>
      <w:t>PE</w:t>
    </w:r>
    <w:r w:rsidRPr="006570AB">
      <w:rPr>
        <w:rStyle w:val="HideTWBExt"/>
      </w:rPr>
      <w:t>&lt;NoPE&gt;</w:t>
    </w:r>
    <w:r w:rsidRPr="006570AB">
      <w:t>779.664</w:t>
    </w:r>
    <w:r w:rsidRPr="006570AB">
      <w:rPr>
        <w:rStyle w:val="HideTWBExt"/>
      </w:rPr>
      <w:t>&lt;/NoPE&gt;&lt;Version&gt;</w:t>
    </w:r>
    <w:r w:rsidRPr="006570AB">
      <w:t>v01-00</w:t>
    </w:r>
    <w:r w:rsidRPr="006570AB">
      <w:rPr>
        <w:rStyle w:val="HideTWBExt"/>
      </w:rPr>
      <w:t>&lt;/Version&gt;</w:t>
    </w:r>
  </w:p>
  <w:p w14:paraId="60EEFE18" w14:textId="5D99AC5F" w:rsidR="00B04325" w:rsidRPr="006570AB" w:rsidRDefault="006570AB" w:rsidP="006570AB">
    <w:pPr>
      <w:pStyle w:val="EPFooter2"/>
    </w:pPr>
    <w:r w:rsidRPr="006570AB">
      <w:tab/>
    </w:r>
    <w:r w:rsidRPr="006570AB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8771B" w14:textId="77777777" w:rsidR="006570AB" w:rsidRPr="006570AB" w:rsidRDefault="006570AB" w:rsidP="006570AB">
    <w:pPr>
      <w:pStyle w:val="EPFooter"/>
    </w:pPr>
    <w:r w:rsidRPr="006570AB">
      <w:rPr>
        <w:rStyle w:val="HideTWBExt"/>
      </w:rPr>
      <w:t>&lt;PathFdR&gt;</w:t>
    </w:r>
    <w:r w:rsidRPr="006570AB">
      <w:t>PR\1332174PT.docx</w:t>
    </w:r>
    <w:r w:rsidRPr="006570AB">
      <w:rPr>
        <w:rStyle w:val="HideTWBExt"/>
      </w:rPr>
      <w:t>&lt;/PathFdR&gt;</w:t>
    </w:r>
    <w:r w:rsidRPr="006570AB">
      <w:tab/>
    </w:r>
    <w:r w:rsidRPr="006570AB">
      <w:tab/>
      <w:t>PE</w:t>
    </w:r>
    <w:r w:rsidRPr="006570AB">
      <w:rPr>
        <w:rStyle w:val="HideTWBExt"/>
      </w:rPr>
      <w:t>&lt;NoPE&gt;</w:t>
    </w:r>
    <w:r w:rsidRPr="006570AB">
      <w:t>779.664</w:t>
    </w:r>
    <w:r w:rsidRPr="006570AB">
      <w:rPr>
        <w:rStyle w:val="HideTWBExt"/>
      </w:rPr>
      <w:t>&lt;/NoPE&gt;&lt;Version&gt;</w:t>
    </w:r>
    <w:r w:rsidRPr="006570AB">
      <w:t>v01-00</w:t>
    </w:r>
    <w:r w:rsidRPr="006570AB">
      <w:rPr>
        <w:rStyle w:val="HideTWBExt"/>
      </w:rPr>
      <w:t>&lt;/Version&gt;</w:t>
    </w:r>
  </w:p>
  <w:p w14:paraId="79DE0FC5" w14:textId="4AA8C104" w:rsidR="00B04325" w:rsidRPr="006570AB" w:rsidRDefault="006570AB" w:rsidP="006570AB">
    <w:pPr>
      <w:pStyle w:val="EPFooter2"/>
    </w:pPr>
    <w:r w:rsidRPr="006570AB">
      <w:t>PT</w:t>
    </w:r>
    <w:r w:rsidRPr="006570AB">
      <w:tab/>
    </w:r>
    <w:r w:rsidRPr="006570AB">
      <w:rPr>
        <w:b w:val="0"/>
        <w:i/>
        <w:color w:val="C0C0C0"/>
        <w:sz w:val="22"/>
      </w:rPr>
      <w:t>Unida na diversidade</w:t>
    </w:r>
    <w:r w:rsidRPr="006570AB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0092" w14:textId="77777777" w:rsidR="00AB0D47" w:rsidRPr="006570AB" w:rsidRDefault="005D3A58" w:rsidP="00AB0D47">
    <w:pPr>
      <w:pStyle w:val="EPFooter"/>
    </w:pPr>
    <w:r w:rsidRPr="006570AB">
      <w:rPr>
        <w:rStyle w:val="HideTWBExt"/>
      </w:rPr>
      <w:t>&lt;PathFdR&gt;</w:t>
    </w:r>
    <w:r w:rsidR="004730D3" w:rsidRPr="006570AB">
      <w:t>PR\1332174EN.docx</w:t>
    </w:r>
    <w:r w:rsidRPr="006570AB">
      <w:rPr>
        <w:rStyle w:val="HideTWBExt"/>
      </w:rPr>
      <w:t>&lt;/PathFdR&gt;</w:t>
    </w:r>
    <w:r w:rsidRPr="006570AB">
      <w:tab/>
    </w:r>
    <w:r w:rsidRPr="006570AB">
      <w:tab/>
      <w:t>PE</w:t>
    </w:r>
    <w:r w:rsidRPr="006570AB">
      <w:rPr>
        <w:rStyle w:val="HideTWBExt"/>
      </w:rPr>
      <w:t>&lt;NoPE&gt;</w:t>
    </w:r>
    <w:r w:rsidRPr="006570AB">
      <w:t>779.664</w:t>
    </w:r>
    <w:r w:rsidRPr="006570AB">
      <w:rPr>
        <w:rStyle w:val="HideTWBExt"/>
      </w:rPr>
      <w:t>&lt;/NoPE&gt;&lt;Version&gt;</w:t>
    </w:r>
    <w:r w:rsidRPr="006570AB">
      <w:t>v01-00</w:t>
    </w:r>
    <w:r w:rsidRPr="006570AB">
      <w:rPr>
        <w:rStyle w:val="HideTWBExt"/>
      </w:rPr>
      <w:t>&lt;/Version&gt;</w:t>
    </w:r>
  </w:p>
  <w:p w14:paraId="7F799CC1" w14:textId="77777777" w:rsidR="00100069" w:rsidRPr="006570AB" w:rsidRDefault="005D3A58" w:rsidP="00AB0D47">
    <w:pPr>
      <w:pStyle w:val="EPFooter2"/>
    </w:pPr>
    <w:r w:rsidRPr="006570AB">
      <w:t>EN</w:t>
    </w:r>
    <w:r w:rsidRPr="006570AB">
      <w:tab/>
    </w:r>
    <w:r w:rsidRPr="006570AB">
      <w:rPr>
        <w:b w:val="0"/>
        <w:i/>
        <w:color w:val="C0C0C0"/>
        <w:sz w:val="22"/>
      </w:rPr>
      <w:t>United in diversity</w:t>
    </w:r>
    <w:r w:rsidRPr="006570AB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14752" w14:textId="77777777" w:rsidR="00E45878" w:rsidRPr="006570AB" w:rsidRDefault="005D3A58">
      <w:r w:rsidRPr="006570AB">
        <w:separator/>
      </w:r>
    </w:p>
  </w:footnote>
  <w:footnote w:type="continuationSeparator" w:id="0">
    <w:p w14:paraId="2621CEC2" w14:textId="77777777" w:rsidR="00E45878" w:rsidRPr="006570AB" w:rsidRDefault="005D3A58">
      <w:r w:rsidRPr="006570AB">
        <w:continuationSeparator/>
      </w:r>
    </w:p>
  </w:footnote>
  <w:footnote w:id="1">
    <w:p w14:paraId="532AB88F" w14:textId="65CA24A3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 L 433I de 22.12.2020, p. 1, ELI: </w:t>
      </w:r>
      <w:hyperlink r:id="rId1" w:history="1">
        <w:r w:rsidRPr="006570AB">
          <w:rPr>
            <w:rStyle w:val="Hyperlink"/>
          </w:rPr>
          <w:t>http://data.europa.eu/eli/reg/2020/2092/oj</w:t>
        </w:r>
      </w:hyperlink>
      <w:r w:rsidRPr="006570AB">
        <w:t>.</w:t>
      </w:r>
    </w:p>
  </w:footnote>
  <w:footnote w:id="2">
    <w:p w14:paraId="28F71500" w14:textId="08FD0541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 L 231 de 30.6.2021, p. 159, ELI: </w:t>
      </w:r>
      <w:hyperlink r:id="rId2" w:history="1">
        <w:r w:rsidRPr="006570AB">
          <w:rPr>
            <w:rStyle w:val="Hyperlink"/>
          </w:rPr>
          <w:t>http://data.europa.eu/eli/reg/2021/1060/oj</w:t>
        </w:r>
      </w:hyperlink>
      <w:r w:rsidRPr="006570AB">
        <w:t>.</w:t>
      </w:r>
    </w:p>
  </w:footnote>
  <w:footnote w:id="3">
    <w:p w14:paraId="29ED6CAE" w14:textId="5F7F2532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 L, 2024/2509, 26.9.2024, ELI: </w:t>
      </w:r>
      <w:hyperlink r:id="rId3" w:history="1">
        <w:r w:rsidRPr="006570AB">
          <w:rPr>
            <w:rStyle w:val="Hyperlink"/>
          </w:rPr>
          <w:t>http://data.europa.eu/eli/reg/2024/2509/oj</w:t>
        </w:r>
      </w:hyperlink>
      <w:r w:rsidRPr="006570AB">
        <w:t>.</w:t>
      </w:r>
    </w:p>
  </w:footnote>
  <w:footnote w:id="4">
    <w:p w14:paraId="146F1439" w14:textId="6CC264B8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 L 156 de 5.5.2021, p. 1, ELI: </w:t>
      </w:r>
      <w:hyperlink r:id="rId4" w:history="1">
        <w:r w:rsidRPr="004A3D6D">
          <w:rPr>
            <w:rStyle w:val="Hyperlink"/>
            <w:lang w:val="fi-FI"/>
          </w:rPr>
          <w:t>http://data.europa.eu/eli/reg/2021/692/oj</w:t>
        </w:r>
      </w:hyperlink>
    </w:p>
  </w:footnote>
  <w:footnote w:id="5">
    <w:p w14:paraId="04678D5A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215 de 19.6.2018, p. 162.</w:t>
      </w:r>
    </w:p>
  </w:footnote>
  <w:footnote w:id="6">
    <w:p w14:paraId="13A6637B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463 de 21.12.2018, p. 21.</w:t>
      </w:r>
    </w:p>
  </w:footnote>
  <w:footnote w:id="7">
    <w:p w14:paraId="7143187B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129 de 5.4.2019, p. 13.</w:t>
      </w:r>
    </w:p>
  </w:footnote>
  <w:footnote w:id="8">
    <w:p w14:paraId="360F2CBB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390 de 18.11.2019, p. 117.</w:t>
      </w:r>
    </w:p>
  </w:footnote>
  <w:footnote w:id="9">
    <w:p w14:paraId="7F33DA1F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433 de 23.12.2019, p. 66.</w:t>
      </w:r>
    </w:p>
  </w:footnote>
  <w:footnote w:id="10">
    <w:p w14:paraId="0343CF73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 C 363 de 28.10.2020, p. 13.</w:t>
      </w:r>
    </w:p>
  </w:footnote>
  <w:footnote w:id="11">
    <w:p w14:paraId="5B7A2FBD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 C 363 de 28.10.2020, p. 45.</w:t>
      </w:r>
    </w:p>
  </w:footnote>
  <w:footnote w:id="12">
    <w:p w14:paraId="79865201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395 de 29.9.2021, p. 2.</w:t>
      </w:r>
    </w:p>
  </w:footnote>
  <w:footnote w:id="13">
    <w:p w14:paraId="3104FA3C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395 de 29.9.2021, p. 63.</w:t>
      </w:r>
    </w:p>
  </w:footnote>
  <w:footnote w:id="14">
    <w:p w14:paraId="27008BAB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415 de 13.10.2021, p. 36.</w:t>
      </w:r>
    </w:p>
  </w:footnote>
  <w:footnote w:id="15">
    <w:p w14:paraId="5AFAD79E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445 de 29.10.2021, p. 70.</w:t>
      </w:r>
    </w:p>
  </w:footnote>
  <w:footnote w:id="16">
    <w:p w14:paraId="642EA096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67 de 8.2.2022, p. 86.</w:t>
      </w:r>
    </w:p>
  </w:footnote>
  <w:footnote w:id="17">
    <w:p w14:paraId="6BD392AD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81 de 18.2.2022, p. 27.</w:t>
      </w:r>
    </w:p>
  </w:footnote>
  <w:footnote w:id="18">
    <w:p w14:paraId="2EAEDE2D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99 de 1.3.2022, p. 146.</w:t>
      </w:r>
    </w:p>
  </w:footnote>
  <w:footnote w:id="19">
    <w:p w14:paraId="058E2A69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117 de 11.3.2022, p. 88.</w:t>
      </w:r>
    </w:p>
  </w:footnote>
  <w:footnote w:id="20">
    <w:p w14:paraId="39FDAB41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 C 205 de </w:t>
      </w:r>
      <w:r w:rsidRPr="006570AB">
        <w:t>20.5.2022, p. 2.</w:t>
      </w:r>
    </w:p>
  </w:footnote>
  <w:footnote w:id="21">
    <w:p w14:paraId="539F9D6D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251 de 30.6.2022, p. 48.</w:t>
      </w:r>
    </w:p>
  </w:footnote>
  <w:footnote w:id="22">
    <w:p w14:paraId="2D673D02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347 de 9.9.2022, p. 2.</w:t>
      </w:r>
    </w:p>
  </w:footnote>
  <w:footnote w:id="23">
    <w:p w14:paraId="6C9C4A78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347 de 9.9.2022, p. 168.</w:t>
      </w:r>
    </w:p>
  </w:footnote>
  <w:footnote w:id="24">
    <w:p w14:paraId="42E1C824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474 de 24.11.2021, p. 140.</w:t>
      </w:r>
    </w:p>
  </w:footnote>
  <w:footnote w:id="25">
    <w:p w14:paraId="6AC7F24E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479 de 16.12.2022, p. 18.</w:t>
      </w:r>
    </w:p>
  </w:footnote>
  <w:footnote w:id="26">
    <w:p w14:paraId="13A78363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493 de 27.12.2022, p. 108.</w:t>
      </w:r>
    </w:p>
  </w:footnote>
  <w:footnote w:id="27">
    <w:p w14:paraId="1C6839EB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125 de 5.4.2023, p. 80.</w:t>
      </w:r>
    </w:p>
  </w:footnote>
  <w:footnote w:id="28">
    <w:p w14:paraId="6582B4C0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125 de 5.4.2023, p. 463.</w:t>
      </w:r>
    </w:p>
  </w:footnote>
  <w:footnote w:id="29">
    <w:p w14:paraId="625D156C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149 de 28.4.2023, p. 15.</w:t>
      </w:r>
    </w:p>
  </w:footnote>
  <w:footnote w:id="30">
    <w:p w14:paraId="280BAAC0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149 de 28.4.2023, p. 22.</w:t>
      </w:r>
    </w:p>
  </w:footnote>
  <w:footnote w:id="31">
    <w:p w14:paraId="62A24B69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161 de 5.5.2023, p. 10.</w:t>
      </w:r>
    </w:p>
  </w:footnote>
  <w:footnote w:id="32">
    <w:p w14:paraId="0733D5D0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167 de 11.5.2023, p. 74.</w:t>
      </w:r>
    </w:p>
  </w:footnote>
  <w:footnote w:id="33">
    <w:p w14:paraId="6A9E37CB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>JO C 341 de 27.9.2023, p. 2.</w:t>
      </w:r>
    </w:p>
  </w:footnote>
  <w:footnote w:id="34">
    <w:p w14:paraId="52CF5F88" w14:textId="01E1D6D2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 C, C/2023/442, 1.12.2023, ELI: </w:t>
      </w:r>
      <w:hyperlink r:id="rId5" w:history="1">
        <w:r w:rsidRPr="006570AB">
          <w:rPr>
            <w:rStyle w:val="Hyperlink"/>
          </w:rPr>
          <w:t>http://data.europa.eu/eli/C/2023/442/oj</w:t>
        </w:r>
      </w:hyperlink>
      <w:r w:rsidRPr="006570AB">
        <w:t>.</w:t>
      </w:r>
    </w:p>
  </w:footnote>
  <w:footnote w:id="35">
    <w:p w14:paraId="7890B6C0" w14:textId="655D331A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 C, C/2024/6334, 7.11.2024, ELI: </w:t>
      </w:r>
      <w:hyperlink r:id="rId6" w:history="1">
        <w:r w:rsidRPr="006570AB">
          <w:rPr>
            <w:rStyle w:val="Hyperlink"/>
          </w:rPr>
          <w:t>http://data.europa.eu/eli/C/2024/6334/oj</w:t>
        </w:r>
      </w:hyperlink>
      <w:r w:rsidRPr="006570AB">
        <w:t>.</w:t>
      </w:r>
    </w:p>
  </w:footnote>
  <w:footnote w:id="36">
    <w:p w14:paraId="62BFD57D" w14:textId="635496E6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 C, C/2024/6743, 26.11.2024, ELI: </w:t>
      </w:r>
      <w:hyperlink r:id="rId7" w:history="1">
        <w:r w:rsidRPr="006570AB">
          <w:rPr>
            <w:rStyle w:val="Hyperlink"/>
          </w:rPr>
          <w:t>http://data.europa.eu/eli/C/2024/6743/oj</w:t>
        </w:r>
      </w:hyperlink>
      <w:r w:rsidRPr="006570AB">
        <w:t>.</w:t>
      </w:r>
    </w:p>
  </w:footnote>
  <w:footnote w:id="37">
    <w:p w14:paraId="746E126B" w14:textId="5DC76CDA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 C, C/2024/6746, 26.11.2024, ELI: </w:t>
      </w:r>
      <w:hyperlink r:id="rId8" w:history="1">
        <w:r w:rsidRPr="006570AB">
          <w:rPr>
            <w:rStyle w:val="Hyperlink"/>
          </w:rPr>
          <w:t>http://data.europa.eu/eli/C/2024/6746/oj</w:t>
        </w:r>
      </w:hyperlink>
      <w:r w:rsidRPr="006570AB">
        <w:t>.</w:t>
      </w:r>
    </w:p>
  </w:footnote>
  <w:footnote w:id="38">
    <w:p w14:paraId="3DC5964C" w14:textId="2C746A24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 C, C/2023/1223, 21.12.2023, ELI: </w:t>
      </w:r>
      <w:hyperlink r:id="rId9" w:history="1">
        <w:r w:rsidRPr="006570AB">
          <w:rPr>
            <w:rStyle w:val="Hyperlink"/>
          </w:rPr>
          <w:t>http://data.europa.eu/eli/C/2023/1223/oj</w:t>
        </w:r>
      </w:hyperlink>
      <w:r w:rsidRPr="006570AB">
        <w:t>.</w:t>
      </w:r>
    </w:p>
  </w:footnote>
  <w:footnote w:id="39">
    <w:p w14:paraId="6023AC29" w14:textId="149CB555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 C, C/2024/494, 23.1.2024, ELI: </w:t>
      </w:r>
      <w:hyperlink r:id="rId10" w:history="1">
        <w:r w:rsidRPr="006570AB">
          <w:rPr>
            <w:rStyle w:val="Hyperlink"/>
          </w:rPr>
          <w:t>http://data.europa.eu/eli/C/2024/494/oj</w:t>
        </w:r>
      </w:hyperlink>
      <w:r w:rsidRPr="006570AB">
        <w:t>.</w:t>
      </w:r>
    </w:p>
  </w:footnote>
  <w:footnote w:id="40">
    <w:p w14:paraId="539096D5" w14:textId="26BFD4EE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 C, C/2024/3995, 17.7.2024, ELI: </w:t>
      </w:r>
      <w:hyperlink r:id="rId11" w:history="1">
        <w:r w:rsidRPr="006570AB">
          <w:rPr>
            <w:rStyle w:val="Hyperlink"/>
          </w:rPr>
          <w:t>http://data.europa.eu/eli/C/2024/3995/oj</w:t>
        </w:r>
      </w:hyperlink>
      <w:r w:rsidRPr="006570AB">
        <w:t>.</w:t>
      </w:r>
    </w:p>
  </w:footnote>
  <w:footnote w:id="41">
    <w:p w14:paraId="6CF73F78" w14:textId="63BA4E73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 C, C/2024/2656, 29.4.2024, ELI: </w:t>
      </w:r>
      <w:hyperlink r:id="rId12" w:history="1">
        <w:r w:rsidRPr="006570AB">
          <w:rPr>
            <w:rStyle w:val="Hyperlink"/>
          </w:rPr>
          <w:t>http://data.europa.eu/eli/C/2024/2656/oj</w:t>
        </w:r>
      </w:hyperlink>
      <w:r w:rsidRPr="006570AB">
        <w:t>.</w:t>
      </w:r>
    </w:p>
  </w:footnote>
  <w:footnote w:id="42">
    <w:p w14:paraId="644AD37B" w14:textId="7A2F59FC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 C, C/2024/5739, 17.10.2024, ELI: </w:t>
      </w:r>
      <w:hyperlink r:id="rId13" w:history="1">
        <w:r w:rsidRPr="006570AB">
          <w:rPr>
            <w:rStyle w:val="Hyperlink"/>
          </w:rPr>
          <w:t>http://data.europa.eu/eli/C/2024/5739/oj</w:t>
        </w:r>
      </w:hyperlink>
      <w:r w:rsidRPr="006570AB">
        <w:t>.</w:t>
      </w:r>
    </w:p>
  </w:footnote>
  <w:footnote w:id="43">
    <w:p w14:paraId="259FFD50" w14:textId="508B0E34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 C, C/2024/5733, 17.10.2024, ELI: </w:t>
      </w:r>
      <w:hyperlink r:id="rId14" w:history="1">
        <w:r w:rsidRPr="006570AB">
          <w:rPr>
            <w:rStyle w:val="Hyperlink"/>
          </w:rPr>
          <w:t>http://data.europa.eu/eli/C/2024/5733/oj</w:t>
        </w:r>
      </w:hyperlink>
      <w:r w:rsidRPr="006570AB">
        <w:t>.</w:t>
      </w:r>
    </w:p>
  </w:footnote>
  <w:footnote w:id="44">
    <w:p w14:paraId="05C5A18F" w14:textId="5B114344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JO C, C/2025/3705, 17.9.2025, ELI: </w:t>
      </w:r>
      <w:hyperlink r:id="rId15" w:history="1">
        <w:r w:rsidRPr="006570AB">
          <w:rPr>
            <w:rStyle w:val="Hyperlink"/>
          </w:rPr>
          <w:t>http://data.europa.eu/eli/C/2025/3705/oj</w:t>
        </w:r>
      </w:hyperlink>
      <w:r w:rsidRPr="006570AB">
        <w:t>.</w:t>
      </w:r>
    </w:p>
  </w:footnote>
  <w:footnote w:id="45">
    <w:p w14:paraId="09D3A6F8" w14:textId="4383F2FA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rPr>
          <w:rStyle w:val="FootnoteReference"/>
        </w:rPr>
        <w:t xml:space="preserve"> </w:t>
      </w:r>
      <w:r w:rsidRPr="006570AB">
        <w:t xml:space="preserve">Para todas as atividades de acompanhamento do DRFMG, ver: no que respeita ao último mandato: </w:t>
      </w:r>
      <w:hyperlink r:id="rId16" w:history="1">
        <w:r w:rsidRPr="006570AB">
          <w:rPr>
            <w:rStyle w:val="Hyperlink"/>
          </w:rPr>
          <w:t>https://www.europarl.europa.eu/committees/en/libe-democracy-rule-of-law-and-fundament/product-details/20190103CDT02662</w:t>
        </w:r>
      </w:hyperlink>
      <w:r w:rsidRPr="006570AB">
        <w:t xml:space="preserve">, e no que respeita a este mandato: </w:t>
      </w:r>
      <w:hyperlink r:id="rId17" w:history="1">
        <w:r w:rsidRPr="006570AB">
          <w:rPr>
            <w:rStyle w:val="Hyperlink"/>
          </w:rPr>
          <w:t>https://www.europarl.europa.eu/committees/pt/working-group-democracy-rule-of-law-and-/product-details/20241205CDT13884</w:t>
        </w:r>
      </w:hyperlink>
      <w:r w:rsidRPr="006570AB">
        <w:t>.</w:t>
      </w:r>
    </w:p>
  </w:footnote>
  <w:footnote w:id="46">
    <w:p w14:paraId="17B93E87" w14:textId="6C1DAA43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t xml:space="preserve"> Recomendação (UE) 2021/1534 da Comissão, de 16 de setembro de 2021, relativa à garantia de proteção, segurança e capacitação dos jornalistas e outros profissionais da comunicação social na União Europeia (JO L 331 de 20.9.2021, p. 8, ELI: </w:t>
      </w:r>
      <w:hyperlink r:id="rId18" w:tooltip="Dá acesso a este documento através do URI do ELI." w:history="1">
        <w:r w:rsidRPr="006570AB">
          <w:rPr>
            <w:rStyle w:val="Hyperlink"/>
          </w:rPr>
          <w:t>http://data.europa.eu/eli/reco/2021/1534/oj</w:t>
        </w:r>
      </w:hyperlink>
      <w:r w:rsidRPr="006570AB">
        <w:t>).</w:t>
      </w:r>
    </w:p>
  </w:footnote>
  <w:footnote w:id="47">
    <w:p w14:paraId="38A090FE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t xml:space="preserve"> Recomendação (UE) 2022/758 da Comissão, de 27 de abril de 2022, relativa à proteção dos jornalistas e dos defensores dos direitos humanos envolvidos na participação pública contra processos judiciais manifestamente infundados ou abusivos («ações judiciais estratégicas contra a participação pública») (JO L 138 de 17.5.2022, p. 30, ELI: </w:t>
      </w:r>
    </w:p>
  </w:footnote>
  <w:footnote w:id="48">
    <w:p w14:paraId="02E732D9" w14:textId="7903194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t xml:space="preserve"> Diretiva (UE) 2024/1069 do Parlamento Europeu e do Conselho, de 11 de abril de 2024, relativa à proteção das pessoas envolvidas na participação pública contra pedidos manifestamente infundados ou processos judiciais abusivos («ações judiciais estratégicas contra a participação pública») (JO L, 2024/1069, 16.4.2024, ELI: </w:t>
      </w:r>
      <w:hyperlink r:id="rId19" w:history="1">
        <w:r w:rsidRPr="006570AB">
          <w:rPr>
            <w:rStyle w:val="Hyperlink"/>
          </w:rPr>
          <w:t>http://data.europa.eu/eli/dir/2024/1069/oj</w:t>
        </w:r>
      </w:hyperlink>
      <w:r w:rsidRPr="006570AB">
        <w:t>).</w:t>
      </w:r>
    </w:p>
  </w:footnote>
  <w:footnote w:id="49">
    <w:p w14:paraId="7A9668C0" w14:textId="77777777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t xml:space="preserve"> Proposta de Diretiva do Conselho que aplica o princípio da igualdade de tratamento entre as pessoas, independentemente da sua religião ou crença, deficiência, idade ou orientação sexual (COM(2008)0426).</w:t>
      </w:r>
    </w:p>
  </w:footnote>
  <w:footnote w:id="50">
    <w:p w14:paraId="773D7740" w14:textId="68E78011" w:rsidR="00B04325" w:rsidRPr="006570AB" w:rsidRDefault="005D3A58" w:rsidP="00B04325">
      <w:pPr>
        <w:pStyle w:val="FootnoteText"/>
      </w:pPr>
      <w:r w:rsidRPr="006570AB">
        <w:rPr>
          <w:rStyle w:val="FootnoteReference"/>
        </w:rPr>
        <w:footnoteRef/>
      </w:r>
      <w:r w:rsidRPr="006570AB">
        <w:t xml:space="preserve"> Regulamento (UE) 2021/241 do Parlamento Europeu e do Conselho, de 12 de fevereiro de 2021, que cria o Mecanismo de Recuperação e Resiliência (JO L 57 de 18.2.2021, p. 17, ELI: </w:t>
      </w:r>
      <w:hyperlink r:id="rId20" w:tooltip="Dá acesso a este documento através do URI do ELI." w:history="1">
        <w:r w:rsidRPr="006570AB">
          <w:rPr>
            <w:rStyle w:val="Hyperlink"/>
          </w:rPr>
          <w:t>http://data.europa.eu/eli/reg/2021/241/oj</w:t>
        </w:r>
      </w:hyperlink>
      <w:r w:rsidRPr="006570AB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61A41" w14:textId="77777777" w:rsidR="005D3A58" w:rsidRDefault="005D3A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9325A" w14:textId="77777777" w:rsidR="005D3A58" w:rsidRDefault="005D3A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5B501" w14:textId="77777777" w:rsidR="005D3A58" w:rsidRDefault="005D3A5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6AC78" w14:textId="77777777" w:rsidR="00482FD6" w:rsidRDefault="00482FD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B4DCE" w14:textId="77777777" w:rsidR="00482FD6" w:rsidRDefault="00482FD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34A0E" w14:textId="77777777" w:rsidR="00482FD6" w:rsidRDefault="00482F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9210010">
    <w:abstractNumId w:val="9"/>
  </w:num>
  <w:num w:numId="2" w16cid:durableId="1418551060">
    <w:abstractNumId w:val="9"/>
  </w:num>
  <w:num w:numId="3" w16cid:durableId="545025974">
    <w:abstractNumId w:val="7"/>
  </w:num>
  <w:num w:numId="4" w16cid:durableId="2144957366">
    <w:abstractNumId w:val="7"/>
  </w:num>
  <w:num w:numId="5" w16cid:durableId="865873065">
    <w:abstractNumId w:val="6"/>
  </w:num>
  <w:num w:numId="6" w16cid:durableId="2011134322">
    <w:abstractNumId w:val="6"/>
  </w:num>
  <w:num w:numId="7" w16cid:durableId="2124226690">
    <w:abstractNumId w:val="5"/>
  </w:num>
  <w:num w:numId="8" w16cid:durableId="216742078">
    <w:abstractNumId w:val="5"/>
  </w:num>
  <w:num w:numId="9" w16cid:durableId="500317389">
    <w:abstractNumId w:val="4"/>
  </w:num>
  <w:num w:numId="10" w16cid:durableId="1453404235">
    <w:abstractNumId w:val="4"/>
  </w:num>
  <w:num w:numId="11" w16cid:durableId="1332180851">
    <w:abstractNumId w:val="8"/>
  </w:num>
  <w:num w:numId="12" w16cid:durableId="178394465">
    <w:abstractNumId w:val="8"/>
  </w:num>
  <w:num w:numId="13" w16cid:durableId="1303078364">
    <w:abstractNumId w:val="3"/>
  </w:num>
  <w:num w:numId="14" w16cid:durableId="405348210">
    <w:abstractNumId w:val="3"/>
  </w:num>
  <w:num w:numId="15" w16cid:durableId="348333745">
    <w:abstractNumId w:val="2"/>
  </w:num>
  <w:num w:numId="16" w16cid:durableId="1361273997">
    <w:abstractNumId w:val="2"/>
  </w:num>
  <w:num w:numId="17" w16cid:durableId="2030108875">
    <w:abstractNumId w:val="1"/>
  </w:num>
  <w:num w:numId="18" w16cid:durableId="828985899">
    <w:abstractNumId w:val="1"/>
  </w:num>
  <w:num w:numId="19" w16cid:durableId="1053113521">
    <w:abstractNumId w:val="0"/>
  </w:num>
  <w:num w:numId="20" w16cid:durableId="2007634296">
    <w:abstractNumId w:val="0"/>
  </w:num>
  <w:num w:numId="21" w16cid:durableId="1463303466">
    <w:abstractNumId w:val="9"/>
  </w:num>
  <w:num w:numId="22" w16cid:durableId="1047218340">
    <w:abstractNumId w:val="7"/>
  </w:num>
  <w:num w:numId="23" w16cid:durableId="2057704700">
    <w:abstractNumId w:val="6"/>
  </w:num>
  <w:num w:numId="24" w16cid:durableId="1010067153">
    <w:abstractNumId w:val="5"/>
  </w:num>
  <w:num w:numId="25" w16cid:durableId="973484077">
    <w:abstractNumId w:val="4"/>
  </w:num>
  <w:num w:numId="26" w16cid:durableId="1424768018">
    <w:abstractNumId w:val="8"/>
  </w:num>
  <w:num w:numId="27" w16cid:durableId="1943803790">
    <w:abstractNumId w:val="3"/>
  </w:num>
  <w:num w:numId="28" w16cid:durableId="1853105475">
    <w:abstractNumId w:val="2"/>
  </w:num>
  <w:num w:numId="29" w16cid:durableId="1996451506">
    <w:abstractNumId w:val="1"/>
  </w:num>
  <w:num w:numId="30" w16cid:durableId="1373725184">
    <w:abstractNumId w:val="0"/>
  </w:num>
  <w:num w:numId="31" w16cid:durableId="1875534087">
    <w:abstractNumId w:val="9"/>
  </w:num>
  <w:num w:numId="32" w16cid:durableId="675378736">
    <w:abstractNumId w:val="7"/>
  </w:num>
  <w:num w:numId="33" w16cid:durableId="961807642">
    <w:abstractNumId w:val="6"/>
  </w:num>
  <w:num w:numId="34" w16cid:durableId="599683022">
    <w:abstractNumId w:val="5"/>
  </w:num>
  <w:num w:numId="35" w16cid:durableId="272249891">
    <w:abstractNumId w:val="4"/>
  </w:num>
  <w:num w:numId="36" w16cid:durableId="1184788767">
    <w:abstractNumId w:val="8"/>
  </w:num>
  <w:num w:numId="37" w16cid:durableId="1460032554">
    <w:abstractNumId w:val="3"/>
  </w:num>
  <w:num w:numId="38" w16cid:durableId="1967468266">
    <w:abstractNumId w:val="2"/>
  </w:num>
  <w:num w:numId="39" w16cid:durableId="751271184">
    <w:abstractNumId w:val="1"/>
  </w:num>
  <w:num w:numId="40" w16cid:durableId="1769690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KEY" w:val="LIBE"/>
    <w:docVar w:name="DOCDT" w:val="17/11/2025"/>
    <w:docVar w:name="LastEditedSection" w:val=" 1"/>
    <w:docVar w:name="MOTIONMNU" w:val=" 3"/>
    <w:docVar w:name="RULEMNU" w:val=" 1"/>
    <w:docVar w:name="strDocTypeID" w:val="PR_INI"/>
    <w:docVar w:name="strSubDir" w:val="1332"/>
    <w:docVar w:name="TITLEMNU" w:val=" 1"/>
    <w:docVar w:name="TXTAUTHOR" w:val="Konstantinos Arvanitis"/>
    <w:docVar w:name="TXTLANGUE" w:val="EN"/>
    <w:docVar w:name="TXTLANGUEMIN" w:val="en"/>
    <w:docVar w:name="TXTNRINI" w:val="2025/xxxx"/>
    <w:docVar w:name="TXTNRPE" w:val="779.664"/>
    <w:docVar w:name="TXTPEorAP" w:val="PE"/>
    <w:docVar w:name="TXTROUTE" w:val="PR\1332174EN.docx"/>
    <w:docVar w:name="TXTTITLE" w:val="The Commission’s 2025 Rule of Law Report"/>
    <w:docVar w:name="TXTVERSION" w:val="01-00"/>
  </w:docVars>
  <w:rsids>
    <w:rsidRoot w:val="00E45878"/>
    <w:rsid w:val="00012AF5"/>
    <w:rsid w:val="00040EAC"/>
    <w:rsid w:val="000552BA"/>
    <w:rsid w:val="0007541B"/>
    <w:rsid w:val="00082B37"/>
    <w:rsid w:val="00092197"/>
    <w:rsid w:val="000D2631"/>
    <w:rsid w:val="000E1CCE"/>
    <w:rsid w:val="00100069"/>
    <w:rsid w:val="001046B1"/>
    <w:rsid w:val="00105C44"/>
    <w:rsid w:val="001074F2"/>
    <w:rsid w:val="00134E29"/>
    <w:rsid w:val="00150C71"/>
    <w:rsid w:val="001531AE"/>
    <w:rsid w:val="001A1A5D"/>
    <w:rsid w:val="001B207D"/>
    <w:rsid w:val="0020202B"/>
    <w:rsid w:val="00232209"/>
    <w:rsid w:val="0023245A"/>
    <w:rsid w:val="0023723C"/>
    <w:rsid w:val="00253EF6"/>
    <w:rsid w:val="002544DF"/>
    <w:rsid w:val="00271F86"/>
    <w:rsid w:val="00276B35"/>
    <w:rsid w:val="002B55B2"/>
    <w:rsid w:val="002D6664"/>
    <w:rsid w:val="00335F69"/>
    <w:rsid w:val="0035395B"/>
    <w:rsid w:val="00361FF3"/>
    <w:rsid w:val="00395A66"/>
    <w:rsid w:val="003E4507"/>
    <w:rsid w:val="003E6413"/>
    <w:rsid w:val="004016B4"/>
    <w:rsid w:val="004200B3"/>
    <w:rsid w:val="00432B50"/>
    <w:rsid w:val="00447A5E"/>
    <w:rsid w:val="00455003"/>
    <w:rsid w:val="00466A1A"/>
    <w:rsid w:val="004730D3"/>
    <w:rsid w:val="00482FD6"/>
    <w:rsid w:val="004A3D6D"/>
    <w:rsid w:val="004A4A64"/>
    <w:rsid w:val="004C12F6"/>
    <w:rsid w:val="004C61E0"/>
    <w:rsid w:val="005178FF"/>
    <w:rsid w:val="00523EFA"/>
    <w:rsid w:val="00531F4C"/>
    <w:rsid w:val="0056015D"/>
    <w:rsid w:val="005644D1"/>
    <w:rsid w:val="00570F27"/>
    <w:rsid w:val="00584A07"/>
    <w:rsid w:val="005D3A58"/>
    <w:rsid w:val="006168DD"/>
    <w:rsid w:val="006272CD"/>
    <w:rsid w:val="006570AB"/>
    <w:rsid w:val="0068229F"/>
    <w:rsid w:val="00687E53"/>
    <w:rsid w:val="006E0849"/>
    <w:rsid w:val="006F1FAB"/>
    <w:rsid w:val="007023B1"/>
    <w:rsid w:val="00705D44"/>
    <w:rsid w:val="00720A37"/>
    <w:rsid w:val="00726C82"/>
    <w:rsid w:val="00774298"/>
    <w:rsid w:val="00790682"/>
    <w:rsid w:val="0079309A"/>
    <w:rsid w:val="007963C6"/>
    <w:rsid w:val="007B06AA"/>
    <w:rsid w:val="007B19F4"/>
    <w:rsid w:val="008058CB"/>
    <w:rsid w:val="00865656"/>
    <w:rsid w:val="008B04B1"/>
    <w:rsid w:val="008C4C65"/>
    <w:rsid w:val="0090583E"/>
    <w:rsid w:val="0095536F"/>
    <w:rsid w:val="00956282"/>
    <w:rsid w:val="0096114F"/>
    <w:rsid w:val="00996AC6"/>
    <w:rsid w:val="009B37F1"/>
    <w:rsid w:val="009C2921"/>
    <w:rsid w:val="009D1628"/>
    <w:rsid w:val="009E4ABB"/>
    <w:rsid w:val="00A07B89"/>
    <w:rsid w:val="00A142AC"/>
    <w:rsid w:val="00A45202"/>
    <w:rsid w:val="00A87F8E"/>
    <w:rsid w:val="00A97420"/>
    <w:rsid w:val="00AB0D47"/>
    <w:rsid w:val="00AE38F0"/>
    <w:rsid w:val="00AF310F"/>
    <w:rsid w:val="00B02273"/>
    <w:rsid w:val="00B04325"/>
    <w:rsid w:val="00B17532"/>
    <w:rsid w:val="00B26093"/>
    <w:rsid w:val="00BA2A57"/>
    <w:rsid w:val="00BA5076"/>
    <w:rsid w:val="00BB1B60"/>
    <w:rsid w:val="00BB70F1"/>
    <w:rsid w:val="00BB7557"/>
    <w:rsid w:val="00BC7C60"/>
    <w:rsid w:val="00C00074"/>
    <w:rsid w:val="00C21C5F"/>
    <w:rsid w:val="00C40CD7"/>
    <w:rsid w:val="00C611CA"/>
    <w:rsid w:val="00C63179"/>
    <w:rsid w:val="00C9378A"/>
    <w:rsid w:val="00C93A60"/>
    <w:rsid w:val="00CA1652"/>
    <w:rsid w:val="00CA17BB"/>
    <w:rsid w:val="00CD3E8A"/>
    <w:rsid w:val="00D11398"/>
    <w:rsid w:val="00D31D25"/>
    <w:rsid w:val="00D47BB0"/>
    <w:rsid w:val="00D843A0"/>
    <w:rsid w:val="00DB4680"/>
    <w:rsid w:val="00DD7B9D"/>
    <w:rsid w:val="00DF1A84"/>
    <w:rsid w:val="00E155CA"/>
    <w:rsid w:val="00E24627"/>
    <w:rsid w:val="00E24EDF"/>
    <w:rsid w:val="00E3537C"/>
    <w:rsid w:val="00E45878"/>
    <w:rsid w:val="00E61690"/>
    <w:rsid w:val="00E9129D"/>
    <w:rsid w:val="00F01748"/>
    <w:rsid w:val="00F076A5"/>
    <w:rsid w:val="00F1032A"/>
    <w:rsid w:val="00F3651F"/>
    <w:rsid w:val="00F714A9"/>
    <w:rsid w:val="00F76DA9"/>
    <w:rsid w:val="00FB5D98"/>
    <w:rsid w:val="00FC7B3F"/>
    <w:rsid w:val="00FD3897"/>
    <w:rsid w:val="00FF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CAFA1F"/>
  <w15:chartTrackingRefBased/>
  <w15:docId w15:val="{F0DC309F-77C8-467B-86E2-AA749B61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customStyle="1" w:styleId="Normal12a">
    <w:name w:val="Normal12a"/>
    <w:basedOn w:val="Normal"/>
    <w:rsid w:val="00276B35"/>
    <w:pPr>
      <w:spacing w:after="240"/>
    </w:pPr>
  </w:style>
  <w:style w:type="paragraph" w:customStyle="1" w:styleId="CoverNormal12a">
    <w:name w:val="CoverNormal12a"/>
    <w:basedOn w:val="Normal"/>
    <w:rsid w:val="00C21C5F"/>
    <w:pPr>
      <w:spacing w:after="240"/>
      <w:ind w:left="1418"/>
    </w:pPr>
  </w:style>
  <w:style w:type="paragraph" w:styleId="Footer">
    <w:name w:val="footer"/>
    <w:basedOn w:val="Normal"/>
    <w:link w:val="FooterChar"/>
    <w:semiHidden/>
    <w:rsid w:val="00A87F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87F8E"/>
    <w:rPr>
      <w:sz w:val="24"/>
    </w:rPr>
  </w:style>
  <w:style w:type="character" w:styleId="Hyperlink">
    <w:name w:val="Hyperlink"/>
    <w:basedOn w:val="DefaultParagraphFont"/>
    <w:uiPriority w:val="99"/>
    <w:unhideWhenUsed/>
    <w:rsid w:val="00A87F8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nhideWhenUsed/>
    <w:rsid w:val="00A87F8E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A87F8E"/>
  </w:style>
  <w:style w:type="character" w:styleId="FootnoteReference">
    <w:name w:val="footnote reference"/>
    <w:unhideWhenUsed/>
    <w:rsid w:val="00A87F8E"/>
    <w:rPr>
      <w:vertAlign w:val="superscript"/>
    </w:rPr>
  </w:style>
  <w:style w:type="character" w:styleId="CommentReference">
    <w:name w:val="annotation reference"/>
    <w:basedOn w:val="DefaultParagraphFont"/>
    <w:rsid w:val="00A87F8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7F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87F8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87F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87F8E"/>
    <w:rPr>
      <w:b/>
      <w:bCs/>
    </w:rPr>
  </w:style>
  <w:style w:type="paragraph" w:styleId="Revision">
    <w:name w:val="Revision"/>
    <w:hidden/>
    <w:uiPriority w:val="99"/>
    <w:semiHidden/>
    <w:rsid w:val="00BB1B60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B1B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8B04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6746/oj" TargetMode="External"/><Relationship Id="rId13" Type="http://schemas.openxmlformats.org/officeDocument/2006/relationships/hyperlink" Target="http://data.europa.eu/eli/C/2024/5739/oj" TargetMode="External"/><Relationship Id="rId18" Type="http://schemas.openxmlformats.org/officeDocument/2006/relationships/hyperlink" Target="http://data.europa.eu/eli/reco/2021/1534/oj" TargetMode="External"/><Relationship Id="rId3" Type="http://schemas.openxmlformats.org/officeDocument/2006/relationships/hyperlink" Target="http://data.europa.eu/eli/reg/2024/2509/oj" TargetMode="External"/><Relationship Id="rId7" Type="http://schemas.openxmlformats.org/officeDocument/2006/relationships/hyperlink" Target="http://data.europa.eu/eli/C/2024/6743/oj" TargetMode="External"/><Relationship Id="rId12" Type="http://schemas.openxmlformats.org/officeDocument/2006/relationships/hyperlink" Target="http://data.europa.eu/eli/C/2024/2656/oj" TargetMode="External"/><Relationship Id="rId17" Type="http://schemas.openxmlformats.org/officeDocument/2006/relationships/hyperlink" Target="https://www.europarl.europa.eu/committees/pt/working-group-democracy-rule-of-law-and-/product-details/20241205CDT13884" TargetMode="External"/><Relationship Id="rId2" Type="http://schemas.openxmlformats.org/officeDocument/2006/relationships/hyperlink" Target="http://data.europa.eu/eli/reg/2021/1060/oj" TargetMode="External"/><Relationship Id="rId16" Type="http://schemas.openxmlformats.org/officeDocument/2006/relationships/hyperlink" Target="https://www.europarl.europa.eu/committees/pt/libe-democracy-rule-of-law-and-fundament/product-details/20190103CDT02662" TargetMode="External"/><Relationship Id="rId20" Type="http://schemas.openxmlformats.org/officeDocument/2006/relationships/hyperlink" Target="http://data.europa.eu/eli/reg/2021/241/oj" TargetMode="External"/><Relationship Id="rId1" Type="http://schemas.openxmlformats.org/officeDocument/2006/relationships/hyperlink" Target="http://data.europa.eu/eli/reg/2020/2092/oj" TargetMode="External"/><Relationship Id="rId6" Type="http://schemas.openxmlformats.org/officeDocument/2006/relationships/hyperlink" Target="http://data.europa.eu/eli/C/2024/6334/oj" TargetMode="External"/><Relationship Id="rId11" Type="http://schemas.openxmlformats.org/officeDocument/2006/relationships/hyperlink" Target="http://data.europa.eu/eli/C/2024/3995/oj" TargetMode="External"/><Relationship Id="rId5" Type="http://schemas.openxmlformats.org/officeDocument/2006/relationships/hyperlink" Target="http://data.europa.eu/eli/C/2023/442/oj" TargetMode="External"/><Relationship Id="rId15" Type="http://schemas.openxmlformats.org/officeDocument/2006/relationships/hyperlink" Target="http://data.europa.eu/eli/C/2025/3705/oj" TargetMode="External"/><Relationship Id="rId10" Type="http://schemas.openxmlformats.org/officeDocument/2006/relationships/hyperlink" Target="http://data.europa.eu/eli/C/2024/494/oj" TargetMode="External"/><Relationship Id="rId19" Type="http://schemas.openxmlformats.org/officeDocument/2006/relationships/hyperlink" Target="http://data.europa.eu/eli/dir/2024/1069/oj" TargetMode="External"/><Relationship Id="rId4" Type="http://schemas.openxmlformats.org/officeDocument/2006/relationships/hyperlink" Target="http://data.europa.eu/eli/reg/2021/692/oj" TargetMode="External"/><Relationship Id="rId9" Type="http://schemas.openxmlformats.org/officeDocument/2006/relationships/hyperlink" Target="http://data.europa.eu/eli/C/2023/1223/oj" TargetMode="External"/><Relationship Id="rId14" Type="http://schemas.openxmlformats.org/officeDocument/2006/relationships/hyperlink" Target="http://data.europa.eu/eli/C/2024/573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344BA-7823-4056-A041-FDC2636DE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6776</Words>
  <Characters>35714</Characters>
  <Application>Microsoft Office Word</Application>
  <DocSecurity>0</DocSecurity>
  <Lines>605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42299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CIPRINI CORBUCCI Francesco</dc:creator>
  <cp:lastModifiedBy>SILVA Carla Marina</cp:lastModifiedBy>
  <cp:revision>2</cp:revision>
  <cp:lastPrinted>2025-11-20T08:26:00Z</cp:lastPrinted>
  <dcterms:created xsi:type="dcterms:W3CDTF">2025-11-28T10:05:00Z</dcterms:created>
  <dcterms:modified xsi:type="dcterms:W3CDTF">2025-11-28T10:05:00Z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1332174</vt:lpwstr>
  </property>
  <property fmtid="{D5CDD505-2E9C-101B-9397-08002B2CF9AE}" pid="4" name="&lt;Model&gt;">
    <vt:lpwstr>PR_INI</vt:lpwstr>
  </property>
  <property fmtid="{D5CDD505-2E9C-101B-9397-08002B2CF9AE}" pid="5" name="&lt;ModelCod&gt;">
    <vt:lpwstr>\\eiciBRUpr1\pdocep$\DocEP\DOCS\General\PR\PR_NonLeg\INI\PR_INI.dotx(18/02/2025 08:53:03)</vt:lpwstr>
  </property>
  <property fmtid="{D5CDD505-2E9C-101B-9397-08002B2CF9AE}" pid="6" name="&lt;ModelTra&gt;">
    <vt:lpwstr>\\eiciBRUpr1\pdocep$\DocEP\TRANSFIL\EN\PR_INI.EN(18/02/2025 08:54:04)</vt:lpwstr>
  </property>
  <property fmtid="{D5CDD505-2E9C-101B-9397-08002B2CF9AE}" pid="7" name="&lt;Type&gt;">
    <vt:lpwstr>PR</vt:lpwstr>
  </property>
  <property fmtid="{D5CDD505-2E9C-101B-9397-08002B2CF9AE}" pid="8" name="Bookout">
    <vt:lpwstr>OK - 2025/11/28 11:05</vt:lpwstr>
  </property>
  <property fmtid="{D5CDD505-2E9C-101B-9397-08002B2CF9AE}" pid="9" name="Created with">
    <vt:lpwstr>10.2.0 Build [20251001]</vt:lpwstr>
  </property>
  <property fmtid="{D5CDD505-2E9C-101B-9397-08002B2CF9AE}" pid="10" name="FooterPath">
    <vt:lpwstr>PR\1332174PT.docx</vt:lpwstr>
  </property>
  <property fmtid="{D5CDD505-2E9C-101B-9397-08002B2CF9AE}" pid="11" name="LastEdited with">
    <vt:lpwstr>10.2.0 Build [20251001]</vt:lpwstr>
  </property>
  <property fmtid="{D5CDD505-2E9C-101B-9397-08002B2CF9AE}" pid="12" name="PE number">
    <vt:lpwstr>779.664</vt:lpwstr>
  </property>
  <property fmtid="{D5CDD505-2E9C-101B-9397-08002B2CF9AE}" pid="13" name="SDLStudio">
    <vt:lpwstr/>
  </property>
  <property fmtid="{D5CDD505-2E9C-101B-9397-08002B2CF9AE}" pid="14" name="SendToEpades">
    <vt:lpwstr>OK - 2025/11/18 10:14</vt:lpwstr>
  </property>
</Properties>
</file>