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6172DB" w14:paraId="23949C9D" w14:textId="77777777" w:rsidTr="00C85D0F">
        <w:trPr>
          <w:trHeight w:hRule="exact" w:val="1418"/>
        </w:trPr>
        <w:tc>
          <w:tcPr>
            <w:tcW w:w="6804" w:type="dxa"/>
            <w:shd w:val="clear" w:color="auto" w:fill="auto"/>
            <w:vAlign w:val="center"/>
          </w:tcPr>
          <w:p w14:paraId="7ED76175" w14:textId="39AC432C" w:rsidR="00C05DD8" w:rsidRPr="006172DB" w:rsidRDefault="006172DB" w:rsidP="00C85D0F">
            <w:pPr>
              <w:pStyle w:val="EPName"/>
            </w:pPr>
            <w:r>
              <w:t>Europäisches Parlament</w:t>
            </w:r>
          </w:p>
          <w:p w14:paraId="27C2CE1A" w14:textId="3D99D2E2" w:rsidR="00C05DD8" w:rsidRPr="00F90FD4" w:rsidRDefault="00F90FD4" w:rsidP="00C85D0F">
            <w:pPr>
              <w:pStyle w:val="EPTerm"/>
            </w:pPr>
            <w:r>
              <w:t>2024-2029</w:t>
            </w:r>
          </w:p>
        </w:tc>
        <w:tc>
          <w:tcPr>
            <w:tcW w:w="2268" w:type="dxa"/>
            <w:shd w:val="clear" w:color="auto" w:fill="auto"/>
          </w:tcPr>
          <w:p w14:paraId="77697403" w14:textId="77777777" w:rsidR="00C05DD8" w:rsidRPr="006172DB" w:rsidRDefault="00C05DD8" w:rsidP="00C85D0F">
            <w:pPr>
              <w:pStyle w:val="EPLogo"/>
            </w:pPr>
            <w:r w:rsidRPr="006172DB">
              <w:rPr>
                <w:noProof/>
                <w:lang w:eastAsia="ja-JP"/>
              </w:rPr>
              <w:drawing>
                <wp:inline distT="0" distB="0" distL="0" distR="0" wp14:anchorId="0749B1FE" wp14:editId="313E0B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4900E3" w14:textId="77777777" w:rsidR="009612AA" w:rsidRPr="006172DB" w:rsidRDefault="009612AA" w:rsidP="009612AA">
      <w:pPr>
        <w:pStyle w:val="LineTop"/>
      </w:pPr>
    </w:p>
    <w:p w14:paraId="66B3D3BD" w14:textId="306F6F82" w:rsidR="009612AA" w:rsidRPr="006172DB" w:rsidRDefault="009612AA" w:rsidP="009612AA">
      <w:pPr>
        <w:pStyle w:val="EPBody"/>
      </w:pPr>
      <w:r>
        <w:rPr>
          <w:rStyle w:val="HideTWBExt"/>
        </w:rPr>
        <w:t>&lt;</w:t>
      </w:r>
      <w:r>
        <w:rPr>
          <w:rStyle w:val="HideTWBExt"/>
          <w:i w:val="0"/>
        </w:rPr>
        <w:t>Commission</w:t>
      </w:r>
      <w:r>
        <w:rPr>
          <w:rStyle w:val="HideTWBExt"/>
        </w:rPr>
        <w:t>&gt;</w:t>
      </w:r>
      <w:r>
        <w:rPr>
          <w:rStyle w:val="HideTWBInt"/>
        </w:rPr>
        <w:t>{LIBE}</w:t>
      </w:r>
      <w:r>
        <w:t>Ausschuss für bürgerliche Freiheiten, Justiz und Inneres</w:t>
      </w:r>
      <w:r>
        <w:rPr>
          <w:rStyle w:val="HideTWBExt"/>
        </w:rPr>
        <w:t>&lt;/</w:t>
      </w:r>
      <w:r>
        <w:rPr>
          <w:rStyle w:val="HideTWBExt"/>
          <w:i w:val="0"/>
        </w:rPr>
        <w:t>Commission</w:t>
      </w:r>
      <w:r>
        <w:rPr>
          <w:rStyle w:val="HideTWBExt"/>
        </w:rPr>
        <w:t>&gt;</w:t>
      </w:r>
    </w:p>
    <w:p w14:paraId="1BCEDA3F" w14:textId="77777777" w:rsidR="009612AA" w:rsidRPr="006172DB" w:rsidRDefault="009612AA" w:rsidP="009612AA">
      <w:pPr>
        <w:pStyle w:val="LineBottom"/>
      </w:pPr>
    </w:p>
    <w:p w14:paraId="69975B88" w14:textId="532C5475" w:rsidR="00363B94" w:rsidRPr="006172DB" w:rsidRDefault="00363B94">
      <w:pPr>
        <w:pStyle w:val="CoverReference"/>
      </w:pPr>
      <w:r>
        <w:rPr>
          <w:rStyle w:val="HideTWBExt"/>
          <w:b w:val="0"/>
        </w:rPr>
        <w:t>&lt;RefProc&gt;</w:t>
      </w:r>
      <w:r>
        <w:t>2025/0145</w:t>
      </w:r>
      <w:r>
        <w:rPr>
          <w:rStyle w:val="HideTWBExt"/>
          <w:b w:val="0"/>
        </w:rPr>
        <w:t>&lt;/RefProc&gt;&lt;RefTypeProc&gt;</w:t>
      </w:r>
      <w:r>
        <w:t>(NLE)</w:t>
      </w:r>
      <w:r>
        <w:rPr>
          <w:rStyle w:val="HideTWBExt"/>
          <w:b w:val="0"/>
        </w:rPr>
        <w:t>&lt;/RefTypeProc&gt;</w:t>
      </w:r>
    </w:p>
    <w:p w14:paraId="6E9F5688" w14:textId="6A238A68" w:rsidR="00363B94" w:rsidRPr="006172DB" w:rsidRDefault="00363B94">
      <w:pPr>
        <w:pStyle w:val="CoverDate"/>
      </w:pPr>
      <w:r>
        <w:rPr>
          <w:rStyle w:val="HideTWBExt"/>
        </w:rPr>
        <w:t>&lt;Date&gt;</w:t>
      </w:r>
      <w:r>
        <w:rPr>
          <w:rStyle w:val="HideTWBInt"/>
        </w:rPr>
        <w:t>{05/02/2026}</w:t>
      </w:r>
      <w:r>
        <w:t>5.2.2026</w:t>
      </w:r>
      <w:r>
        <w:rPr>
          <w:rStyle w:val="HideTWBExt"/>
        </w:rPr>
        <w:t>&lt;/Date&gt;</w:t>
      </w:r>
    </w:p>
    <w:p w14:paraId="71C78F59" w14:textId="77777777" w:rsidR="00363B94" w:rsidRPr="006172DB" w:rsidRDefault="00363B94">
      <w:pPr>
        <w:pStyle w:val="CoverDocType"/>
      </w:pPr>
      <w:r>
        <w:rPr>
          <w:rStyle w:val="HideTWBExt"/>
          <w:b w:val="0"/>
        </w:rPr>
        <w:t>&lt;RefProcLect&gt;</w:t>
      </w:r>
      <w:r>
        <w:t>***</w:t>
      </w:r>
      <w:r>
        <w:rPr>
          <w:rStyle w:val="HideTWBExt"/>
          <w:b w:val="0"/>
        </w:rPr>
        <w:t>&lt;/RefProcLect&gt;</w:t>
      </w:r>
    </w:p>
    <w:p w14:paraId="0FD33190" w14:textId="3D8910A2" w:rsidR="00363B94" w:rsidRPr="006172DB" w:rsidRDefault="00363B94">
      <w:pPr>
        <w:pStyle w:val="CoverDocType24a"/>
      </w:pPr>
      <w:r>
        <w:rPr>
          <w:rStyle w:val="HideTWBExt"/>
          <w:b w:val="0"/>
        </w:rPr>
        <w:t>&lt;TitreType&gt;</w:t>
      </w:r>
      <w:r>
        <w:t>ENTWURF EINER EMPFEHLUNG</w:t>
      </w:r>
      <w:r>
        <w:rPr>
          <w:rStyle w:val="HideTWBExt"/>
          <w:b w:val="0"/>
        </w:rPr>
        <w:t>&lt;/TitreType&gt;</w:t>
      </w:r>
    </w:p>
    <w:p w14:paraId="342107E7" w14:textId="1CB5FB05" w:rsidR="00363B94" w:rsidRPr="006172DB" w:rsidRDefault="00363B94">
      <w:pPr>
        <w:pStyle w:val="CoverNormal"/>
      </w:pPr>
      <w:r>
        <w:rPr>
          <w:rStyle w:val="HideTWBExt"/>
        </w:rPr>
        <w:t>&lt;Titre&gt;</w:t>
      </w:r>
      <w:r>
        <w:t>zu dem Entwurf eines Beschlusses des Rates über den Abschluss des Abkommens zwischen der Europäischen Union und dem Königreich Norwegen über die Übermittlung von Fluggastdatensätzen (PNR-Daten) zum Zwecke der Verhütung, Aufdeckung, Ermittlung und Verfolgung von terroristischen Straftaten und schwerer Kriminalität im Namen der Union</w:t>
      </w:r>
      <w:r>
        <w:rPr>
          <w:rStyle w:val="HideTWBExt"/>
        </w:rPr>
        <w:t>&lt;/Titre&gt;</w:t>
      </w:r>
    </w:p>
    <w:p w14:paraId="7238F14C" w14:textId="3854B22A" w:rsidR="00363B94" w:rsidRPr="006172DB" w:rsidRDefault="00363B94">
      <w:pPr>
        <w:pStyle w:val="CoverNormal24a"/>
      </w:pPr>
      <w:r>
        <w:rPr>
          <w:rStyle w:val="HideTWBExt"/>
        </w:rPr>
        <w:t>&lt;DocRef&gt;</w:t>
      </w:r>
      <w:r>
        <w:t>(11280/2025 – C10-0279/2025 – 2025/0145(NLE))</w:t>
      </w:r>
      <w:r>
        <w:rPr>
          <w:rStyle w:val="HideTWBExt"/>
        </w:rPr>
        <w:t>&lt;/DocRef&gt;</w:t>
      </w:r>
    </w:p>
    <w:p w14:paraId="0D8DDC49" w14:textId="42F88FBB" w:rsidR="00363B94" w:rsidRPr="006172DB" w:rsidRDefault="00363B94">
      <w:pPr>
        <w:pStyle w:val="CoverNormal24a"/>
      </w:pPr>
      <w:r>
        <w:rPr>
          <w:rStyle w:val="HideTWBExt"/>
        </w:rPr>
        <w:t>&lt;Commission&gt;</w:t>
      </w:r>
      <w:r>
        <w:rPr>
          <w:rStyle w:val="HideTWBInt"/>
        </w:rPr>
        <w:t>{LIBE}</w:t>
      </w:r>
      <w:r>
        <w:t>Ausschuss für bürgerliche Freiheiten, Justiz und Inneres</w:t>
      </w:r>
      <w:r>
        <w:rPr>
          <w:rStyle w:val="HideTWBExt"/>
        </w:rPr>
        <w:t>&lt;/Commission&gt;</w:t>
      </w:r>
    </w:p>
    <w:p w14:paraId="164890BF" w14:textId="14331F11" w:rsidR="00363B94" w:rsidRPr="006172DB" w:rsidRDefault="00F90FD4">
      <w:pPr>
        <w:pStyle w:val="CoverNormal24a"/>
      </w:pPr>
      <w:r>
        <w:t xml:space="preserve">Berichterstatter: </w:t>
      </w:r>
      <w:r>
        <w:rPr>
          <w:rStyle w:val="HideTWBExt"/>
        </w:rPr>
        <w:t>&lt;Depute&gt;</w:t>
      </w:r>
      <w:r>
        <w:t>Jaroslav Bžoch</w:t>
      </w:r>
      <w:r>
        <w:rPr>
          <w:rStyle w:val="HideTWBExt"/>
        </w:rPr>
        <w:t>&lt;/Depute&gt;</w:t>
      </w:r>
    </w:p>
    <w:p w14:paraId="78E5BA03" w14:textId="77777777" w:rsidR="00B42885" w:rsidRPr="006172DB" w:rsidRDefault="00B42885" w:rsidP="00B42885">
      <w:pPr>
        <w:pStyle w:val="CoverNormal"/>
      </w:pPr>
    </w:p>
    <w:p w14:paraId="38777D2B" w14:textId="5A978B70" w:rsidR="00F90FD4" w:rsidRDefault="00363B94" w:rsidP="00016E55">
      <w:r>
        <w:br w:type="page"/>
      </w:r>
      <w:fldSimple w:instr=" TITLE  \* MERGEFORMAT ">
        <w:r w:rsidR="00F714AC" w:rsidRPr="00F714AC">
          <w:rPr>
            <w:lang w:val="fr-FR"/>
          </w:rPr>
          <w:t>PR_NLE-AP_Agreement</w:t>
        </w:r>
      </w:fldSimple>
    </w:p>
    <w:p w14:paraId="5B09AA0B" w14:textId="77777777" w:rsidR="00F90FD4" w:rsidRDefault="00F90FD4" w:rsidP="00016E55">
      <w:pPr>
        <w:rPr>
          <w:lang w:val="fr-FR"/>
        </w:rPr>
      </w:pPr>
    </w:p>
    <w:p w14:paraId="1CCD5685" w14:textId="77777777" w:rsidR="00F90FD4" w:rsidRDefault="00F90FD4"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90FD4" w14:paraId="2D2C65B9" w14:textId="77777777">
        <w:tc>
          <w:tcPr>
            <w:tcW w:w="5811" w:type="dxa"/>
          </w:tcPr>
          <w:p w14:paraId="0C7CDCB9" w14:textId="77777777" w:rsidR="00F90FD4" w:rsidRDefault="00F90FD4" w:rsidP="00016E55">
            <w:pPr>
              <w:pStyle w:val="Lgendetitre"/>
            </w:pPr>
            <w:r>
              <w:t>Erklärung der benutzten Zeichen</w:t>
            </w:r>
          </w:p>
        </w:tc>
      </w:tr>
      <w:tr w:rsidR="00F90FD4" w:rsidRPr="00EC6B7F" w14:paraId="3A9784D9" w14:textId="77777777" w:rsidTr="007948A1">
        <w:trPr>
          <w:cantSplit/>
          <w:trHeight w:val="1944"/>
        </w:trPr>
        <w:tc>
          <w:tcPr>
            <w:tcW w:w="5811" w:type="dxa"/>
            <w:tcBorders>
              <w:bottom w:val="single" w:sz="4" w:space="0" w:color="auto"/>
            </w:tcBorders>
          </w:tcPr>
          <w:p w14:paraId="1B472CBF" w14:textId="77777777" w:rsidR="00F90FD4" w:rsidRPr="00EC6B7F" w:rsidRDefault="00F90FD4" w:rsidP="004F7F1B">
            <w:pPr>
              <w:pStyle w:val="Lgendesigne"/>
            </w:pPr>
            <w:r>
              <w:tab/>
              <w:t>*</w:t>
            </w:r>
            <w:r>
              <w:tab/>
              <w:t>Anhörungsverfahren</w:t>
            </w:r>
          </w:p>
          <w:p w14:paraId="148C5A41" w14:textId="77777777" w:rsidR="00F90FD4" w:rsidRPr="00EC6B7F" w:rsidRDefault="00F90FD4" w:rsidP="004F7F1B">
            <w:pPr>
              <w:pStyle w:val="Lgendesigne"/>
            </w:pPr>
            <w:r>
              <w:tab/>
              <w:t>***</w:t>
            </w:r>
            <w:r>
              <w:tab/>
              <w:t>Zustimmungsverfahren</w:t>
            </w:r>
          </w:p>
          <w:p w14:paraId="676F324C" w14:textId="77777777" w:rsidR="00F90FD4" w:rsidRPr="00EC6B7F" w:rsidRDefault="00F90FD4" w:rsidP="004F7F1B">
            <w:pPr>
              <w:pStyle w:val="Lgendesigne"/>
            </w:pPr>
            <w:r>
              <w:tab/>
              <w:t>***I</w:t>
            </w:r>
            <w:r>
              <w:tab/>
              <w:t>Ordentliches Gesetzgebungsverfahren (erste Lesung)</w:t>
            </w:r>
          </w:p>
          <w:p w14:paraId="2FE980C7" w14:textId="77777777" w:rsidR="00F90FD4" w:rsidRPr="00EC6B7F" w:rsidRDefault="00F90FD4" w:rsidP="004F7F1B">
            <w:pPr>
              <w:pStyle w:val="Lgendesigne"/>
            </w:pPr>
            <w:r>
              <w:tab/>
              <w:t>***II</w:t>
            </w:r>
            <w:r>
              <w:tab/>
              <w:t>Ordentliches Gesetzgebungsverfahren (zweite Lesung)</w:t>
            </w:r>
          </w:p>
          <w:p w14:paraId="2BFE0CBD" w14:textId="77777777" w:rsidR="00F90FD4" w:rsidRPr="00EC6B7F" w:rsidRDefault="00F90FD4" w:rsidP="004F7F1B">
            <w:pPr>
              <w:pStyle w:val="Lgendesigne"/>
            </w:pPr>
            <w:r>
              <w:tab/>
              <w:t>***III</w:t>
            </w:r>
            <w:r>
              <w:tab/>
              <w:t>Ordentliches Gesetzgebungsverfahren (dritte Lesung)</w:t>
            </w:r>
          </w:p>
          <w:p w14:paraId="4C3B7C36" w14:textId="77777777" w:rsidR="00F90FD4" w:rsidRPr="00EC6B7F" w:rsidRDefault="00F90FD4" w:rsidP="00016E55">
            <w:pPr>
              <w:pStyle w:val="Lgendestandard"/>
            </w:pPr>
          </w:p>
          <w:p w14:paraId="2118FD62" w14:textId="77777777" w:rsidR="00F90FD4" w:rsidRPr="00EC6B7F" w:rsidRDefault="00F90FD4" w:rsidP="00EC6B7F">
            <w:pPr>
              <w:pStyle w:val="Lgendestandard"/>
            </w:pPr>
            <w:r>
              <w:t>(Die Angabe des Verfahrens beruht auf der im Entwurf eines Rechtsakts vorgeschlagenen Rechtsgrundlage.)</w:t>
            </w:r>
          </w:p>
          <w:p w14:paraId="56BD634E" w14:textId="77777777" w:rsidR="00F90FD4" w:rsidRPr="00EC6B7F" w:rsidRDefault="00F90FD4" w:rsidP="008F7344">
            <w:pPr>
              <w:pStyle w:val="Lgendestandard"/>
            </w:pPr>
          </w:p>
        </w:tc>
      </w:tr>
    </w:tbl>
    <w:p w14:paraId="61D046AE" w14:textId="77777777" w:rsidR="00F90FD4" w:rsidRPr="00EC6B7F" w:rsidRDefault="00F90FD4" w:rsidP="00016E55"/>
    <w:p w14:paraId="201E01FF" w14:textId="0E3476DA" w:rsidR="00363B94" w:rsidRPr="00F90FD4" w:rsidRDefault="00363B94" w:rsidP="00613F2E">
      <w:pPr>
        <w:widowControl/>
        <w:tabs>
          <w:tab w:val="center" w:pos="4677"/>
        </w:tabs>
      </w:pPr>
    </w:p>
    <w:p w14:paraId="3A3F65AF" w14:textId="7CC65E93" w:rsidR="00363B94" w:rsidRPr="006172DB" w:rsidRDefault="00363B94">
      <w:pPr>
        <w:pStyle w:val="TOCHeading"/>
      </w:pPr>
      <w:r>
        <w:br w:type="page"/>
      </w:r>
      <w:r>
        <w:lastRenderedPageBreak/>
        <w:t>INHALT</w:t>
      </w:r>
    </w:p>
    <w:p w14:paraId="2D2CC072" w14:textId="33BD6B22" w:rsidR="00363B94" w:rsidRPr="006172DB" w:rsidRDefault="006172DB">
      <w:pPr>
        <w:pStyle w:val="TOCPage"/>
      </w:pPr>
      <w:r>
        <w:t>Seite</w:t>
      </w:r>
    </w:p>
    <w:p w14:paraId="4BD5BFE6" w14:textId="1218B2E1" w:rsidR="00F714AC"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6172DB">
        <w:fldChar w:fldCharType="begin"/>
      </w:r>
      <w:r w:rsidRPr="006172DB">
        <w:instrText xml:space="preserve"> TOC \t "PageHeading</w:instrText>
      </w:r>
      <w:r w:rsidR="00F90FD4">
        <w:instrText>;</w:instrText>
      </w:r>
      <w:r w:rsidRPr="006172DB">
        <w:instrText xml:space="preserve">1" </w:instrText>
      </w:r>
      <w:r w:rsidRPr="006172DB">
        <w:fldChar w:fldCharType="separate"/>
      </w:r>
      <w:r w:rsidR="00F714AC">
        <w:rPr>
          <w:noProof/>
        </w:rPr>
        <w:t>ENTWURF EINER LEGISLATIVEN ENTSCHLIESSUNG DES EUROPÄISCHEN PARLAMENTS</w:t>
      </w:r>
      <w:r w:rsidR="00F714AC">
        <w:rPr>
          <w:noProof/>
        </w:rPr>
        <w:tab/>
      </w:r>
      <w:r w:rsidR="00F714AC">
        <w:rPr>
          <w:noProof/>
        </w:rPr>
        <w:fldChar w:fldCharType="begin"/>
      </w:r>
      <w:r w:rsidR="00F714AC">
        <w:rPr>
          <w:noProof/>
        </w:rPr>
        <w:instrText xml:space="preserve"> PAGEREF _Toc222415675 \h </w:instrText>
      </w:r>
      <w:r w:rsidR="00F714AC">
        <w:rPr>
          <w:noProof/>
        </w:rPr>
      </w:r>
      <w:r w:rsidR="00F714AC">
        <w:rPr>
          <w:noProof/>
        </w:rPr>
        <w:fldChar w:fldCharType="separate"/>
      </w:r>
      <w:r w:rsidR="00F714AC">
        <w:rPr>
          <w:noProof/>
        </w:rPr>
        <w:t>5</w:t>
      </w:r>
      <w:r w:rsidR="00F714AC">
        <w:rPr>
          <w:noProof/>
        </w:rPr>
        <w:fldChar w:fldCharType="end"/>
      </w:r>
    </w:p>
    <w:p w14:paraId="622FC327" w14:textId="1EF4F866" w:rsidR="00F714AC" w:rsidRDefault="00F714A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_Toc222415676 \h </w:instrText>
      </w:r>
      <w:r>
        <w:rPr>
          <w:noProof/>
        </w:rPr>
      </w:r>
      <w:r>
        <w:rPr>
          <w:noProof/>
        </w:rPr>
        <w:fldChar w:fldCharType="separate"/>
      </w:r>
      <w:r>
        <w:rPr>
          <w:noProof/>
        </w:rPr>
        <w:t>6</w:t>
      </w:r>
      <w:r>
        <w:rPr>
          <w:noProof/>
        </w:rPr>
        <w:fldChar w:fldCharType="end"/>
      </w:r>
    </w:p>
    <w:p w14:paraId="5D5E9EE2" w14:textId="4D929209" w:rsidR="00F714AC" w:rsidRDefault="00F714A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ANLAGE: ERKLÄRUNG ZU BEITRÄGEN</w:t>
      </w:r>
      <w:r>
        <w:rPr>
          <w:noProof/>
        </w:rPr>
        <w:tab/>
      </w:r>
      <w:r>
        <w:rPr>
          <w:noProof/>
        </w:rPr>
        <w:fldChar w:fldCharType="begin"/>
      </w:r>
      <w:r>
        <w:rPr>
          <w:noProof/>
        </w:rPr>
        <w:instrText xml:space="preserve"> PAGEREF _Toc222415677 \h </w:instrText>
      </w:r>
      <w:r>
        <w:rPr>
          <w:noProof/>
        </w:rPr>
      </w:r>
      <w:r>
        <w:rPr>
          <w:noProof/>
        </w:rPr>
        <w:fldChar w:fldCharType="separate"/>
      </w:r>
      <w:r>
        <w:rPr>
          <w:noProof/>
        </w:rPr>
        <w:t>8</w:t>
      </w:r>
      <w:r>
        <w:rPr>
          <w:noProof/>
        </w:rPr>
        <w:fldChar w:fldCharType="end"/>
      </w:r>
    </w:p>
    <w:p w14:paraId="237F19E6" w14:textId="12023DA3" w:rsidR="004E1650" w:rsidRPr="006172DB" w:rsidRDefault="00EF48F2" w:rsidP="00F04010">
      <w:r w:rsidRPr="006172DB">
        <w:fldChar w:fldCharType="end"/>
      </w:r>
    </w:p>
    <w:p w14:paraId="5E1146EC" w14:textId="00A1E81B" w:rsidR="00363B94" w:rsidRPr="006172DB" w:rsidRDefault="00363B94" w:rsidP="0006167F">
      <w:pPr>
        <w:pStyle w:val="PageHeading"/>
      </w:pPr>
      <w:r>
        <w:br w:type="page"/>
      </w:r>
      <w:r>
        <w:lastRenderedPageBreak/>
        <w:br w:type="page"/>
      </w:r>
      <w:bookmarkStart w:id="0" w:name="_Toc222415675"/>
      <w:r>
        <w:lastRenderedPageBreak/>
        <w:t>ENTWURF EINER LEGISLATIVEN ENTSCHLIESSUNG DES EUROPÄISCHEN PARLAMENTS</w:t>
      </w:r>
      <w:bookmarkEnd w:id="0"/>
    </w:p>
    <w:p w14:paraId="57DAB8AE" w14:textId="5901F7CB" w:rsidR="00363B94" w:rsidRPr="006172DB" w:rsidRDefault="00F90FD4">
      <w:pPr>
        <w:pStyle w:val="NormalBold"/>
      </w:pPr>
      <w:r>
        <w:t xml:space="preserve">zu dem </w:t>
      </w:r>
      <w:bookmarkStart w:id="1" w:name="_Hlk221277797"/>
      <w:r>
        <w:t>Entwurf eines Beschlusses des Rates über den Abschluss des Abkommens zwischen der Europäischen Union und dem Königreich Norwegen über die Übermittlung von Fluggastdatensätzen (PNR-Daten) zum Zwecke der Verhütung, Aufdeckung, Ermittlung und Verfolgung von terroristischen Straftaten und schwerer Kriminalität im Namen der Union</w:t>
      </w:r>
      <w:bookmarkEnd w:id="1"/>
    </w:p>
    <w:p w14:paraId="7CEBC918" w14:textId="56D4961E" w:rsidR="00363B94" w:rsidRPr="006172DB" w:rsidRDefault="006172DB">
      <w:pPr>
        <w:pStyle w:val="NormalBold12a"/>
      </w:pPr>
      <w:r>
        <w:t>(11280/2025 – C10-0279/2025 – 2025/0145(NLE))</w:t>
      </w:r>
    </w:p>
    <w:p w14:paraId="7C8E8E68" w14:textId="6CBCB62E" w:rsidR="00363B94" w:rsidRPr="006172DB" w:rsidRDefault="006172DB" w:rsidP="00893FBD">
      <w:pPr>
        <w:pStyle w:val="NormalBold"/>
      </w:pPr>
      <w:r>
        <w:t>(Zustimmung)</w:t>
      </w:r>
    </w:p>
    <w:p w14:paraId="03FA332E" w14:textId="3F2C4F45" w:rsidR="00363B94" w:rsidRPr="006172DB" w:rsidRDefault="006172DB">
      <w:pPr>
        <w:pStyle w:val="EPComma"/>
      </w:pPr>
      <w:r>
        <w:rPr>
          <w:i/>
        </w:rPr>
        <w:t>Das Europäische Parlament</w:t>
      </w:r>
      <w:r>
        <w:t>,</w:t>
      </w:r>
    </w:p>
    <w:p w14:paraId="7B3071E9" w14:textId="77777777" w:rsidR="00F90FD4" w:rsidRPr="005438F6" w:rsidRDefault="00F90FD4" w:rsidP="00F90FD4">
      <w:pPr>
        <w:pStyle w:val="NormalHanging12a"/>
      </w:pPr>
      <w:r>
        <w:t>–</w:t>
      </w:r>
      <w:r>
        <w:tab/>
        <w:t>unter Hinweis auf den Entwurf eines Beschlusses des Rates (11280/2025),</w:t>
      </w:r>
    </w:p>
    <w:p w14:paraId="0C8EE21F" w14:textId="77777777" w:rsidR="00F90FD4" w:rsidRPr="005438F6" w:rsidRDefault="00F90FD4" w:rsidP="00F90FD4">
      <w:pPr>
        <w:pStyle w:val="NormalHanging12a"/>
      </w:pPr>
      <w:r>
        <w:t>–</w:t>
      </w:r>
      <w:r>
        <w:tab/>
        <w:t>unter Hinweis auf den Entwurf eines Abkommens zwischen der Europäischen Union und dem Königreich Norwegen über die Übermittlung von Fluggastdatensätzen (PNR-Daten) zum Zwecke der Verhütung, Aufdeckung, Ermittlung und Verfolgung von terroristischen Straftaten und schwerer Kriminalität (</w:t>
      </w:r>
      <w:bookmarkStart w:id="2" w:name="_Hlk221278511"/>
      <w:r>
        <w:t>11281/2025</w:t>
      </w:r>
      <w:bookmarkEnd w:id="2"/>
      <w:r>
        <w:t>),</w:t>
      </w:r>
    </w:p>
    <w:p w14:paraId="60857715" w14:textId="473E8B6F" w:rsidR="00F90FD4" w:rsidRPr="005438F6" w:rsidRDefault="00F90FD4" w:rsidP="00F90FD4">
      <w:pPr>
        <w:pStyle w:val="NormalHanging12a"/>
      </w:pPr>
      <w:r>
        <w:t>–</w:t>
      </w:r>
      <w:r>
        <w:tab/>
        <w:t>unter Hinweis auf das vom Rat gemäß Artikel 16 Absatz 2, Artikel 87 Absatz 2 Buchstabe a und Artikel 218 Absatz 6 Unterabsatz 2 Buchstabe a des Vertrags über die Arbeitsweise der Europäischen Union unterbreitete Ersuchen um Zustimmung (C10</w:t>
      </w:r>
      <w:r w:rsidR="0016302A">
        <w:noBreakHyphen/>
      </w:r>
      <w:r>
        <w:t>0279/2025),</w:t>
      </w:r>
    </w:p>
    <w:p w14:paraId="7B3646D4" w14:textId="77777777" w:rsidR="00F90FD4" w:rsidRPr="005438F6" w:rsidRDefault="00F90FD4" w:rsidP="00F90FD4">
      <w:pPr>
        <w:pStyle w:val="NormalHanging12a"/>
      </w:pPr>
      <w:r>
        <w:t>–</w:t>
      </w:r>
      <w:r>
        <w:tab/>
        <w:t>gestützt auf Artikel 107 Absätze 1 und 4 und Artikel 117 Absatz 7 seiner Geschäftsordnung,</w:t>
      </w:r>
    </w:p>
    <w:p w14:paraId="6C4829ED" w14:textId="27A90365" w:rsidR="00F90FD4" w:rsidRPr="005438F6" w:rsidRDefault="00F90FD4" w:rsidP="00F90FD4">
      <w:pPr>
        <w:pStyle w:val="NormalHanging12a"/>
      </w:pPr>
      <w:r>
        <w:t>–</w:t>
      </w:r>
      <w:r>
        <w:tab/>
        <w:t>unter Hinweis auf die Empfehlung des Ausschusses für bürgerliche Freiheiten, Justiz und Inneres (A10</w:t>
      </w:r>
      <w:r w:rsidR="0016302A">
        <w:noBreakHyphen/>
      </w:r>
      <w:r>
        <w:t>0000/2026),</w:t>
      </w:r>
    </w:p>
    <w:p w14:paraId="277D4D21" w14:textId="77777777" w:rsidR="00F90FD4" w:rsidRPr="005438F6" w:rsidRDefault="00F90FD4" w:rsidP="00F90FD4">
      <w:pPr>
        <w:pStyle w:val="NormalHanging12a"/>
      </w:pPr>
      <w:r>
        <w:t>1.</w:t>
      </w:r>
      <w:r>
        <w:tab/>
        <w:t>gibt seine Zustimmung zum Abschluss des Abkommens;</w:t>
      </w:r>
    </w:p>
    <w:p w14:paraId="50452282" w14:textId="5C6E886A" w:rsidR="00F90FD4" w:rsidRDefault="00F90FD4" w:rsidP="00F90FD4">
      <w:pPr>
        <w:pStyle w:val="NormalHanging12a"/>
      </w:pPr>
      <w:r>
        <w:t>2.</w:t>
      </w:r>
      <w:r>
        <w:tab/>
        <w:t>beauftragt seine Präsidentin, den Standpunkt des Parlaments dem Rat und der Kommission sowie den Regierungen und Parlamenten der Mitgliedstaaten und des Königreichs Norwegen zu übermitteln.</w:t>
      </w:r>
    </w:p>
    <w:p w14:paraId="57E08C2D" w14:textId="77777777" w:rsidR="00F90FD4" w:rsidRDefault="00F90FD4">
      <w:pPr>
        <w:widowControl/>
      </w:pPr>
      <w:r>
        <w:br w:type="page"/>
      </w:r>
    </w:p>
    <w:p w14:paraId="66D4DF62" w14:textId="40C3CD80" w:rsidR="00F90FD4" w:rsidRPr="005438F6" w:rsidRDefault="00F90FD4" w:rsidP="00F90FD4">
      <w:pPr>
        <w:pStyle w:val="PageHeading"/>
      </w:pPr>
      <w:bookmarkStart w:id="3" w:name="_Toc222415676"/>
      <w:r>
        <w:lastRenderedPageBreak/>
        <w:t>BEGRÜNDUNG</w:t>
      </w:r>
      <w:bookmarkEnd w:id="3"/>
    </w:p>
    <w:p w14:paraId="0F8A9390" w14:textId="77777777" w:rsidR="00F90FD4" w:rsidRPr="005438F6" w:rsidRDefault="00F90FD4" w:rsidP="00F90FD4">
      <w:r>
        <w:t>Mit dem Vorschlag für einen Beschluss des Rates soll das Abkommen zwischen der Europäischen Union und dem Königreich Norwegen über die Übermittlung von Fluggastdatensätzen (PNR-Daten) zum Zwecke der Verhütung, Aufdeckung, Ermittlung und Verfolgung von terroristischen Straftaten und schwerer Kriminalität (im Folgenden „Abkommen“) gebilligt werden.</w:t>
      </w:r>
    </w:p>
    <w:p w14:paraId="524BB070" w14:textId="77777777" w:rsidR="00F90FD4" w:rsidRPr="005438F6" w:rsidRDefault="00F90FD4" w:rsidP="00F90FD4"/>
    <w:p w14:paraId="3CBC8A36" w14:textId="77777777" w:rsidR="00F90FD4" w:rsidRPr="005438F6" w:rsidRDefault="00F90FD4" w:rsidP="00F90FD4">
      <w:r>
        <w:t>Norwegen und die Mitgliedstaaten der EU, die Vertragsparteien des Übereinkommens von Schengen sind, tragen die gemeinsame Verantwortung für die Gewährleistung der inneren Sicherheit in einem gemeinsamen Raum ohne Kontrollen an den Binnengrenzen, unter anderem durch den Austausch sachdienlicher Informationen. Fluggastdatensätze (im Folgenden „PNR-Daten“) sind Angaben der Fluggäste, die während der Flugbuchung und des Check-in-Prozesses erhoben werden und die die Fluggesellschaften für ihre eigenen geschäftlichen Zwecke in ihren Buchungs- und Abfertigungssystemen erfassen und speichern. Im Rahmen der geltenden Abkommen über die Verarbeitung von PNR-Daten mit Drittländern hat sich gezeigt, dass diese Daten zu mehr Sicherheit des Schengen-Raums beitragen können. Solche Abkommen verbessern die Verhütung und Aufdeckung von Terrorismus und schwerer Kriminalität, einschließlich des unerlaubten Handels mit Drogen und Feuerwaffen sowie Menschenhandel, an den EU-Außengrenzen. Sie sehen einen risikobasierten datengesteuerten Ansatz vor, den die Mitgliedstaaten als Ausgleichsmaßnahme für den Wegfall von Kontrollen an den Binnengrenzen innerhalb des Schengen-Raums nutzen können.</w:t>
      </w:r>
    </w:p>
    <w:p w14:paraId="280F0512" w14:textId="77777777" w:rsidR="00F90FD4" w:rsidRPr="005438F6" w:rsidRDefault="00F90FD4" w:rsidP="00F90FD4"/>
    <w:p w14:paraId="63425A01" w14:textId="09F86880" w:rsidR="00F90FD4" w:rsidRPr="005438F6" w:rsidRDefault="00F90FD4" w:rsidP="00F90FD4">
      <w:r>
        <w:t xml:space="preserve">Obwohl Norwegen gemäß der Verordnung </w:t>
      </w:r>
      <w:r w:rsidR="0016302A">
        <w:t xml:space="preserve">(EU) </w:t>
      </w:r>
      <w:r>
        <w:t>2016/679 (Datenschutzgrundverordnung) nicht als Drittland gilt, findet dieser Rechtsrahmen keine Anwendung auf die Verarbeitung personenbezogener Daten, einschließlich PNR-Daten, durch norwegische Strafverfolgungsbehörden zum Zwecke der Verhütung, Ermittlung, Aufdeckung oder Verfolgung von Straftaten oder der Strafvollstreckung. Gleichzeitig ist Norwegen an die Rechtsakte der Union gebunden, die eine Weiterentwicklung der Bestimmungen des Schengen-Besitzstands darstellen. Die Richtlinie (EU) 2016/680 (im Folgenden „PNR-Richtlinie“) stellt jedoch keine Weiterentwicklung des Schengen-Besitzstands dar, weshalb sich Norwegen nicht an der Umsetzung dieses Rechtsakts beteiligt.</w:t>
      </w:r>
    </w:p>
    <w:p w14:paraId="0383C9BC" w14:textId="77777777" w:rsidR="00F90FD4" w:rsidRPr="005438F6" w:rsidRDefault="00F90FD4" w:rsidP="00F90FD4"/>
    <w:p w14:paraId="71DEDDF4" w14:textId="77777777" w:rsidR="00F90FD4" w:rsidRPr="005438F6" w:rsidRDefault="00F90FD4" w:rsidP="00F90FD4">
      <w:r>
        <w:t>Nach dem derzeitigen Rechtsrahmen darf Norwegen keine PNR-Daten zu Flügen, die von Fluggesellschaften zwischen der Union und Norwegen durchgeführt werden, rechtmäßig erhalten und verarbeiten. Daher empfahl die Kommission am 6. September 2023, Verhandlungen über das Abkommen aufzunehmen. Am 4. März 2024 erteilte der Rat seine Genehmigung, und die Verhandlungen wurden am 21. März 2024 aufgenommen. Am 9. April 2025 wurden die Verhandlungen formell abgeschlossen, und das Abkommen wurde am 22. September 2025 vom Rat angenommen. Im Oktober 2025 erfolgte die Unterzeichnung durch Kommissar Magnus Brunner und Staatssekretär Joakim Øren.</w:t>
      </w:r>
    </w:p>
    <w:p w14:paraId="0DF5BD60" w14:textId="77777777" w:rsidR="00F90FD4" w:rsidRPr="005438F6" w:rsidRDefault="00F90FD4" w:rsidP="00F90FD4"/>
    <w:p w14:paraId="276EB65C" w14:textId="77777777" w:rsidR="00F90FD4" w:rsidRPr="005438F6" w:rsidRDefault="00F90FD4" w:rsidP="00F90FD4">
      <w:r>
        <w:t xml:space="preserve">Der Hauptzweck dieses Abkommens besteht darin, eine Sicherheitslücke im Schengen-Raum zu schließen und damit den Fluggesellschaften die Übermittlung von PNR-Daten nach Norwegen und umgekehrt zu ermöglichen. Die Übermittlung und Verarbeitung personenbezogener Daten, einschließlich PNR-Daten, unterliegt jedoch strengen Beschränkungen und wirksamen Schutzmaßnahmen. Gemäß der Stellungnahme 16/2025 des </w:t>
      </w:r>
      <w:r>
        <w:lastRenderedPageBreak/>
        <w:t>Europäischen Datenschutzbeauftragten vom 24. Juli 2025 haben sich die Bestimmungen des Abkommens über die Übermittlung und Verarbeitung von PNR-Daten als zufriedenstellend erwiesen. Die Kommission hat die Berichterstatter diesbezüglich am 28. Januar 2026 informiert und bestätigt, dass das Abkommen nicht nur bezüglich der Sicherheit, sondern auch im Hinblick auf den Datenschutz und die Privatsphäre hohe Standards setzt.</w:t>
      </w:r>
    </w:p>
    <w:p w14:paraId="5D56C0E3" w14:textId="77777777" w:rsidR="00F90FD4" w:rsidRPr="005438F6" w:rsidRDefault="00F90FD4" w:rsidP="00F90FD4"/>
    <w:p w14:paraId="4D1E80AF" w14:textId="7FC7DBC7" w:rsidR="00F90FD4" w:rsidRDefault="00F90FD4" w:rsidP="00F90FD4">
      <w:r>
        <w:t>Vor diesem Hintergrund wird empfohlen, dass das Europäische Parlament dem Entwurf eines Beschlusses des Rates zustimmt.</w:t>
      </w:r>
    </w:p>
    <w:p w14:paraId="3E0B6903" w14:textId="77777777" w:rsidR="00F90FD4" w:rsidRDefault="00F90FD4">
      <w:pPr>
        <w:widowControl/>
        <w:sectPr w:rsidR="00F90FD4" w:rsidSect="00F90FD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61939F0" w14:textId="33E93FF0" w:rsidR="00F90FD4" w:rsidRDefault="00F90FD4" w:rsidP="007041CC">
      <w:pPr>
        <w:pStyle w:val="PageHeading"/>
        <w:rPr>
          <w:noProof/>
        </w:rPr>
      </w:pPr>
      <w:bookmarkStart w:id="4" w:name="FootprintPageRR"/>
      <w:bookmarkStart w:id="5" w:name="_Toc222415677"/>
      <w:r>
        <w:lastRenderedPageBreak/>
        <w:t>ANLAGE: ERKLÄRUNG ZU BEITRÄGEN</w:t>
      </w:r>
      <w:bookmarkEnd w:id="5"/>
    </w:p>
    <w:p w14:paraId="1DA96A26" w14:textId="58A24899" w:rsidR="00F90FD4" w:rsidRPr="0099178F" w:rsidRDefault="00F90FD4" w:rsidP="00B31C6A">
      <w:pPr>
        <w:pStyle w:val="Normal24a"/>
        <w:spacing w:after="240"/>
      </w:pPr>
      <w:r>
        <w:rPr>
          <w:rStyle w:val="HideTWBExt"/>
        </w:rPr>
        <w:t>&lt;FootprintIntro&gt;</w:t>
      </w:r>
      <w:r>
        <w:t>Der Berichterstatter erklärt unter seiner ausschließlichen Verantwortung, dass er in seinen Bericht keine Beiträge von Interessenvertretern, die in den Anwendungsbereich der Interinstitutionellen Vereinbarung über ein verbindliches Transparenz-Register</w:t>
      </w:r>
      <w:r>
        <w:rPr>
          <w:rStyle w:val="FootnoteReference"/>
        </w:rPr>
        <w:footnoteReference w:id="1"/>
      </w:r>
      <w:r>
        <w:t xml:space="preserve"> fallen, oder von Vertretern von Behörden von Drittländern, einschließlich ihrer diplomatischen Vertretungen und Botschaften, aufgenommen hat, die gemäß Anlage I Artikel 8 der Geschäftsordnung in dieser Anlage aufgeführt werden müssen.</w:t>
      </w:r>
      <w:r>
        <w:rPr>
          <w:rStyle w:val="HideTWBExt"/>
        </w:rPr>
        <w:t>&lt;/FootprintIntro&gt;</w:t>
      </w:r>
    </w:p>
    <w:bookmarkEnd w:id="4"/>
    <w:p w14:paraId="4E49C999" w14:textId="1A969556" w:rsidR="00363B94" w:rsidRPr="006172DB" w:rsidRDefault="00363B94" w:rsidP="00F90FD4"/>
    <w:sectPr w:rsidR="00363B94" w:rsidRPr="006172DB" w:rsidSect="00F90FD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8383B" w14:textId="77777777" w:rsidR="006172DB" w:rsidRPr="006172DB" w:rsidRDefault="006172DB">
      <w:r w:rsidRPr="006172DB">
        <w:separator/>
      </w:r>
    </w:p>
  </w:endnote>
  <w:endnote w:type="continuationSeparator" w:id="0">
    <w:p w14:paraId="5F1BB237" w14:textId="77777777" w:rsidR="006172DB" w:rsidRPr="006172DB" w:rsidRDefault="006172DB">
      <w:r w:rsidRPr="006172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22F19" w14:textId="28607340" w:rsidR="0085501C" w:rsidRPr="006172DB" w:rsidRDefault="0085501C" w:rsidP="00B6769C">
    <w:pPr>
      <w:pStyle w:val="EPFooter"/>
    </w:pPr>
    <w:r w:rsidRPr="006172DB">
      <w:t>PE</w:t>
    </w:r>
    <w:r w:rsidRPr="006172DB">
      <w:rPr>
        <w:rStyle w:val="HideTWBExt"/>
      </w:rPr>
      <w:t>&lt;NoPE&gt;</w:t>
    </w:r>
    <w:r w:rsidR="00F90FD4" w:rsidRPr="00F90FD4">
      <w:t>784.331</w:t>
    </w:r>
    <w:r w:rsidRPr="006172DB">
      <w:rPr>
        <w:rStyle w:val="HideTWBExt"/>
      </w:rPr>
      <w:t>&lt;/NoPE&gt;&lt;Version&gt;</w:t>
    </w:r>
    <w:r w:rsidR="006172DB" w:rsidRPr="006172DB">
      <w:t>v</w:t>
    </w:r>
    <w:r w:rsidR="00F90FD4" w:rsidRPr="00F90FD4">
      <w:t>01-00</w:t>
    </w:r>
    <w:r w:rsidRPr="006172DB">
      <w:rPr>
        <w:rStyle w:val="HideTWBExt"/>
      </w:rPr>
      <w:t>&lt;/Version&gt;</w:t>
    </w:r>
    <w:r w:rsidRPr="006172DB">
      <w:tab/>
    </w:r>
    <w:r w:rsidR="00337C92" w:rsidRPr="006172DB">
      <w:fldChar w:fldCharType="begin"/>
    </w:r>
    <w:r w:rsidR="00337C92" w:rsidRPr="006172DB">
      <w:instrText xml:space="preserve"> PAGE </w:instrText>
    </w:r>
    <w:r w:rsidR="00337C92" w:rsidRPr="006172DB">
      <w:fldChar w:fldCharType="separate"/>
    </w:r>
    <w:r w:rsidR="005027B1" w:rsidRPr="006172DB">
      <w:rPr>
        <w:noProof/>
      </w:rPr>
      <w:t>4</w:t>
    </w:r>
    <w:r w:rsidR="00337C92" w:rsidRPr="006172DB">
      <w:fldChar w:fldCharType="end"/>
    </w:r>
    <w:r w:rsidR="00337C92" w:rsidRPr="006172DB">
      <w:t>/</w:t>
    </w:r>
    <w:r w:rsidR="005027B1" w:rsidRPr="006172DB">
      <w:fldChar w:fldCharType="begin"/>
    </w:r>
    <w:r w:rsidR="005027B1" w:rsidRPr="006172DB">
      <w:instrText xml:space="preserve"> NUMPAGES </w:instrText>
    </w:r>
    <w:r w:rsidR="005027B1" w:rsidRPr="006172DB">
      <w:fldChar w:fldCharType="separate"/>
    </w:r>
    <w:r w:rsidR="005027B1" w:rsidRPr="006172DB">
      <w:rPr>
        <w:noProof/>
      </w:rPr>
      <w:t>5</w:t>
    </w:r>
    <w:r w:rsidR="005027B1" w:rsidRPr="006172DB">
      <w:rPr>
        <w:noProof/>
      </w:rPr>
      <w:fldChar w:fldCharType="end"/>
    </w:r>
    <w:r w:rsidRPr="006172DB">
      <w:tab/>
    </w:r>
    <w:r w:rsidRPr="006172DB">
      <w:rPr>
        <w:rStyle w:val="HideTWBExt"/>
      </w:rPr>
      <w:t>&lt;PathFdR&gt;</w:t>
    </w:r>
    <w:r w:rsidR="00F90FD4" w:rsidRPr="00F90FD4">
      <w:t>PR\1336948DE.docx</w:t>
    </w:r>
    <w:r w:rsidRPr="006172DB">
      <w:rPr>
        <w:rStyle w:val="HideTWBExt"/>
      </w:rPr>
      <w:t>&lt;/PathFdR&gt;</w:t>
    </w:r>
  </w:p>
  <w:p w14:paraId="57157586" w14:textId="49A89057" w:rsidR="0085501C" w:rsidRPr="006172DB" w:rsidRDefault="0080613B">
    <w:pPr>
      <w:pStyle w:val="EPFooter2"/>
    </w:pPr>
    <w:r w:rsidRPr="006172DB">
      <w:fldChar w:fldCharType="begin"/>
    </w:r>
    <w:r w:rsidRPr="006172DB">
      <w:instrText xml:space="preserve"> DOCPROPERTY "&lt;Extension&gt;" </w:instrText>
    </w:r>
    <w:r w:rsidRPr="006172DB">
      <w:fldChar w:fldCharType="separate"/>
    </w:r>
    <w:r w:rsidR="003853C6">
      <w:t>DE</w:t>
    </w:r>
    <w:r w:rsidRPr="006172DB">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9788C" w14:textId="3303F659" w:rsidR="0085501C" w:rsidRPr="006172DB" w:rsidRDefault="0085501C" w:rsidP="00B6769C">
    <w:pPr>
      <w:pStyle w:val="EPFooter"/>
    </w:pPr>
    <w:r w:rsidRPr="006172DB">
      <w:rPr>
        <w:rStyle w:val="HideTWBExt"/>
      </w:rPr>
      <w:t>&lt;PathFdR&gt;</w:t>
    </w:r>
    <w:r w:rsidR="00F90FD4" w:rsidRPr="00F90FD4">
      <w:t>PR\1336948DE.docx</w:t>
    </w:r>
    <w:r w:rsidRPr="006172DB">
      <w:rPr>
        <w:rStyle w:val="HideTWBExt"/>
      </w:rPr>
      <w:t>&lt;/PathFdR&gt;</w:t>
    </w:r>
    <w:r w:rsidRPr="006172DB">
      <w:tab/>
    </w:r>
    <w:r w:rsidR="00337C92" w:rsidRPr="006172DB">
      <w:fldChar w:fldCharType="begin"/>
    </w:r>
    <w:r w:rsidR="00337C92" w:rsidRPr="006172DB">
      <w:instrText xml:space="preserve"> PAGE </w:instrText>
    </w:r>
    <w:r w:rsidR="00337C92" w:rsidRPr="006172DB">
      <w:fldChar w:fldCharType="separate"/>
    </w:r>
    <w:r w:rsidR="005027B1" w:rsidRPr="006172DB">
      <w:rPr>
        <w:noProof/>
      </w:rPr>
      <w:t>5</w:t>
    </w:r>
    <w:r w:rsidR="00337C92" w:rsidRPr="006172DB">
      <w:fldChar w:fldCharType="end"/>
    </w:r>
    <w:r w:rsidR="00337C92" w:rsidRPr="006172DB">
      <w:t>/</w:t>
    </w:r>
    <w:r w:rsidR="005027B1" w:rsidRPr="006172DB">
      <w:fldChar w:fldCharType="begin"/>
    </w:r>
    <w:r w:rsidR="005027B1" w:rsidRPr="006172DB">
      <w:instrText xml:space="preserve"> NUMPAGES </w:instrText>
    </w:r>
    <w:r w:rsidR="005027B1" w:rsidRPr="006172DB">
      <w:fldChar w:fldCharType="separate"/>
    </w:r>
    <w:r w:rsidR="005027B1" w:rsidRPr="006172DB">
      <w:rPr>
        <w:noProof/>
      </w:rPr>
      <w:t>5</w:t>
    </w:r>
    <w:r w:rsidR="005027B1" w:rsidRPr="006172DB">
      <w:rPr>
        <w:noProof/>
      </w:rPr>
      <w:fldChar w:fldCharType="end"/>
    </w:r>
    <w:r w:rsidRPr="006172DB">
      <w:tab/>
      <w:t>PE</w:t>
    </w:r>
    <w:r w:rsidRPr="006172DB">
      <w:rPr>
        <w:rStyle w:val="HideTWBExt"/>
      </w:rPr>
      <w:t>&lt;NoPE&gt;</w:t>
    </w:r>
    <w:r w:rsidR="00F90FD4" w:rsidRPr="00F90FD4">
      <w:t>784.331</w:t>
    </w:r>
    <w:r w:rsidRPr="006172DB">
      <w:rPr>
        <w:rStyle w:val="HideTWBExt"/>
      </w:rPr>
      <w:t>&lt;/NoPE&gt;&lt;Version&gt;</w:t>
    </w:r>
    <w:r w:rsidR="006172DB" w:rsidRPr="006172DB">
      <w:t>v</w:t>
    </w:r>
    <w:r w:rsidR="00F90FD4" w:rsidRPr="00F90FD4">
      <w:t>01-00</w:t>
    </w:r>
    <w:r w:rsidRPr="006172DB">
      <w:rPr>
        <w:rStyle w:val="HideTWBExt"/>
      </w:rPr>
      <w:t>&lt;/Version&gt;</w:t>
    </w:r>
  </w:p>
  <w:p w14:paraId="61028413" w14:textId="62DF0742" w:rsidR="0085501C" w:rsidRPr="006172DB" w:rsidRDefault="00337C92">
    <w:pPr>
      <w:pStyle w:val="EPFooter2"/>
    </w:pPr>
    <w:r w:rsidRPr="006172DB">
      <w:tab/>
    </w:r>
    <w:r w:rsidR="0085501C" w:rsidRPr="006172DB">
      <w:tab/>
    </w:r>
    <w:r w:rsidR="0080613B" w:rsidRPr="006172DB">
      <w:fldChar w:fldCharType="begin"/>
    </w:r>
    <w:r w:rsidR="0080613B" w:rsidRPr="006172DB">
      <w:instrText xml:space="preserve"> DOCPROPERTY "&lt;Extension&gt;" </w:instrText>
    </w:r>
    <w:r w:rsidR="0080613B" w:rsidRPr="006172DB">
      <w:fldChar w:fldCharType="separate"/>
    </w:r>
    <w:r w:rsidR="003853C6">
      <w:t>DE</w:t>
    </w:r>
    <w:r w:rsidR="0080613B" w:rsidRPr="006172D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A1A4E" w14:textId="6F084688" w:rsidR="0085501C" w:rsidRPr="006172DB" w:rsidRDefault="0085501C" w:rsidP="00B6769C">
    <w:pPr>
      <w:pStyle w:val="EPFooter"/>
    </w:pPr>
    <w:r w:rsidRPr="006172DB">
      <w:rPr>
        <w:rStyle w:val="HideTWBExt"/>
      </w:rPr>
      <w:t>&lt;PathFdR&gt;</w:t>
    </w:r>
    <w:r w:rsidR="00F90FD4" w:rsidRPr="00F90FD4">
      <w:t>PR\1336948DE.docx</w:t>
    </w:r>
    <w:r w:rsidRPr="006172DB">
      <w:rPr>
        <w:rStyle w:val="HideTWBExt"/>
      </w:rPr>
      <w:t>&lt;/PathFdR&gt;</w:t>
    </w:r>
    <w:r w:rsidRPr="006172DB">
      <w:tab/>
    </w:r>
    <w:r w:rsidRPr="006172DB">
      <w:tab/>
      <w:t>PE</w:t>
    </w:r>
    <w:r w:rsidRPr="006172DB">
      <w:rPr>
        <w:rStyle w:val="HideTWBExt"/>
      </w:rPr>
      <w:t>&lt;NoPE&gt;</w:t>
    </w:r>
    <w:r w:rsidR="00F90FD4" w:rsidRPr="00F90FD4">
      <w:t>784.331</w:t>
    </w:r>
    <w:r w:rsidRPr="006172DB">
      <w:rPr>
        <w:rStyle w:val="HideTWBExt"/>
      </w:rPr>
      <w:t>&lt;/NoPE&gt;&lt;Version&gt;</w:t>
    </w:r>
    <w:r w:rsidR="006172DB" w:rsidRPr="006172DB">
      <w:t>v</w:t>
    </w:r>
    <w:r w:rsidR="00F90FD4" w:rsidRPr="00F90FD4">
      <w:t>01-00</w:t>
    </w:r>
    <w:r w:rsidRPr="006172DB">
      <w:rPr>
        <w:rStyle w:val="HideTWBExt"/>
      </w:rPr>
      <w:t>&lt;/Version&gt;</w:t>
    </w:r>
  </w:p>
  <w:p w14:paraId="20AFF25D" w14:textId="60829A4C" w:rsidR="0085501C" w:rsidRPr="006172DB" w:rsidRDefault="0080613B" w:rsidP="009612AA">
    <w:pPr>
      <w:pStyle w:val="EPFooter2"/>
      <w:tabs>
        <w:tab w:val="clear" w:pos="4535"/>
        <w:tab w:val="center" w:pos="4536"/>
      </w:tabs>
    </w:pPr>
    <w:r w:rsidRPr="006172DB">
      <w:fldChar w:fldCharType="begin"/>
    </w:r>
    <w:r w:rsidRPr="006172DB">
      <w:instrText xml:space="preserve"> DOCPROPERTY "&lt;Extension&gt;" </w:instrText>
    </w:r>
    <w:r w:rsidRPr="006172DB">
      <w:fldChar w:fldCharType="separate"/>
    </w:r>
    <w:r w:rsidR="003853C6">
      <w:t>DE</w:t>
    </w:r>
    <w:r w:rsidRPr="006172DB">
      <w:fldChar w:fldCharType="end"/>
    </w:r>
    <w:r w:rsidR="0085501C" w:rsidRPr="006172DB">
      <w:tab/>
    </w:r>
    <w:r w:rsidR="00F90FD4">
      <w:rPr>
        <w:b w:val="0"/>
        <w:i/>
        <w:color w:val="C0C0C0"/>
        <w:sz w:val="22"/>
        <w:szCs w:val="22"/>
      </w:rPr>
      <w:t>In Vielfalt geeint</w:t>
    </w:r>
    <w:r w:rsidR="0085501C" w:rsidRPr="006172DB">
      <w:tab/>
    </w:r>
    <w:r w:rsidRPr="006172DB">
      <w:fldChar w:fldCharType="begin"/>
    </w:r>
    <w:r w:rsidRPr="006172DB">
      <w:instrText xml:space="preserve"> DOCPROPERTY "&lt;Extension&gt;" </w:instrText>
    </w:r>
    <w:r w:rsidRPr="006172DB">
      <w:fldChar w:fldCharType="separate"/>
    </w:r>
    <w:r w:rsidR="003853C6">
      <w:t>DE</w:t>
    </w:r>
    <w:r w:rsidRPr="006172D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CE1F8" w14:textId="77777777" w:rsidR="006172DB" w:rsidRPr="006172DB" w:rsidRDefault="006172DB">
      <w:r w:rsidRPr="006172DB">
        <w:separator/>
      </w:r>
    </w:p>
  </w:footnote>
  <w:footnote w:type="continuationSeparator" w:id="0">
    <w:p w14:paraId="004136EF" w14:textId="77777777" w:rsidR="006172DB" w:rsidRPr="006172DB" w:rsidRDefault="006172DB">
      <w:r w:rsidRPr="006172DB">
        <w:continuationSeparator/>
      </w:r>
    </w:p>
  </w:footnote>
  <w:footnote w:id="1">
    <w:p w14:paraId="195201EC" w14:textId="7976E2DB" w:rsidR="00F90FD4" w:rsidRDefault="00F90FD4">
      <w:pPr>
        <w:pStyle w:val="FootnoteText"/>
      </w:pPr>
      <w:r>
        <w:rPr>
          <w:rStyle w:val="FootnoteReference"/>
        </w:rPr>
        <w:footnoteRef/>
      </w:r>
      <w:r>
        <w:t xml:space="preserve"> Interinstitutionelle Vereinbarung vom 20. Mai 2021 zwischen dem Europäischen Parlament, dem Rat der Europäischen Union und der Europäischen Kommission über ein verbindliches Transparenz-Register (ABl. L 207 vom 11.6.2021, S. 1, ELI: </w:t>
      </w:r>
      <w:hyperlink r:id="rId1"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A70C4" w14:textId="77777777" w:rsidR="00F90FD4" w:rsidRDefault="00F90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E00A0" w14:textId="77777777" w:rsidR="00F90FD4" w:rsidRDefault="00F90F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4871" w14:textId="77777777" w:rsidR="00F90FD4" w:rsidRDefault="00F90F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901205165">
    <w:abstractNumId w:val="9"/>
  </w:num>
  <w:num w:numId="2" w16cid:durableId="1375303578">
    <w:abstractNumId w:val="9"/>
  </w:num>
  <w:num w:numId="3" w16cid:durableId="710766235">
    <w:abstractNumId w:val="7"/>
  </w:num>
  <w:num w:numId="4" w16cid:durableId="1266304201">
    <w:abstractNumId w:val="7"/>
  </w:num>
  <w:num w:numId="5" w16cid:durableId="439683659">
    <w:abstractNumId w:val="6"/>
  </w:num>
  <w:num w:numId="6" w16cid:durableId="1839155344">
    <w:abstractNumId w:val="6"/>
  </w:num>
  <w:num w:numId="7" w16cid:durableId="856847730">
    <w:abstractNumId w:val="5"/>
  </w:num>
  <w:num w:numId="8" w16cid:durableId="1529415687">
    <w:abstractNumId w:val="5"/>
  </w:num>
  <w:num w:numId="9" w16cid:durableId="1458836959">
    <w:abstractNumId w:val="4"/>
  </w:num>
  <w:num w:numId="10" w16cid:durableId="785932663">
    <w:abstractNumId w:val="4"/>
  </w:num>
  <w:num w:numId="11" w16cid:durableId="291055671">
    <w:abstractNumId w:val="8"/>
  </w:num>
  <w:num w:numId="12" w16cid:durableId="983659661">
    <w:abstractNumId w:val="8"/>
  </w:num>
  <w:num w:numId="13" w16cid:durableId="1911577176">
    <w:abstractNumId w:val="3"/>
  </w:num>
  <w:num w:numId="14" w16cid:durableId="1741901181">
    <w:abstractNumId w:val="3"/>
  </w:num>
  <w:num w:numId="15" w16cid:durableId="685248008">
    <w:abstractNumId w:val="2"/>
  </w:num>
  <w:num w:numId="16" w16cid:durableId="1947956826">
    <w:abstractNumId w:val="2"/>
  </w:num>
  <w:num w:numId="17" w16cid:durableId="656304357">
    <w:abstractNumId w:val="1"/>
  </w:num>
  <w:num w:numId="18" w16cid:durableId="650909232">
    <w:abstractNumId w:val="1"/>
  </w:num>
  <w:num w:numId="19" w16cid:durableId="1632440534">
    <w:abstractNumId w:val="0"/>
  </w:num>
  <w:num w:numId="20" w16cid:durableId="442696966">
    <w:abstractNumId w:val="0"/>
  </w:num>
  <w:num w:numId="21" w16cid:durableId="483622113">
    <w:abstractNumId w:val="9"/>
  </w:num>
  <w:num w:numId="22" w16cid:durableId="1765370651">
    <w:abstractNumId w:val="7"/>
  </w:num>
  <w:num w:numId="23" w16cid:durableId="1291208633">
    <w:abstractNumId w:val="6"/>
  </w:num>
  <w:num w:numId="24" w16cid:durableId="2094814433">
    <w:abstractNumId w:val="5"/>
  </w:num>
  <w:num w:numId="25" w16cid:durableId="1595939805">
    <w:abstractNumId w:val="4"/>
  </w:num>
  <w:num w:numId="26" w16cid:durableId="211813514">
    <w:abstractNumId w:val="8"/>
  </w:num>
  <w:num w:numId="27" w16cid:durableId="358626555">
    <w:abstractNumId w:val="3"/>
  </w:num>
  <w:num w:numId="28" w16cid:durableId="1909073990">
    <w:abstractNumId w:val="2"/>
  </w:num>
  <w:num w:numId="29" w16cid:durableId="317458548">
    <w:abstractNumId w:val="1"/>
  </w:num>
  <w:num w:numId="30" w16cid:durableId="2091611681">
    <w:abstractNumId w:val="0"/>
  </w:num>
  <w:num w:numId="31" w16cid:durableId="1218972324">
    <w:abstractNumId w:val="9"/>
  </w:num>
  <w:num w:numId="32" w16cid:durableId="2098790569">
    <w:abstractNumId w:val="7"/>
  </w:num>
  <w:num w:numId="33" w16cid:durableId="479149859">
    <w:abstractNumId w:val="6"/>
  </w:num>
  <w:num w:numId="34" w16cid:durableId="1602372130">
    <w:abstractNumId w:val="5"/>
  </w:num>
  <w:num w:numId="35" w16cid:durableId="917904031">
    <w:abstractNumId w:val="4"/>
  </w:num>
  <w:num w:numId="36" w16cid:durableId="1856068335">
    <w:abstractNumId w:val="8"/>
  </w:num>
  <w:num w:numId="37" w16cid:durableId="792330422">
    <w:abstractNumId w:val="3"/>
  </w:num>
  <w:num w:numId="38" w16cid:durableId="55443457">
    <w:abstractNumId w:val="2"/>
  </w:num>
  <w:num w:numId="39" w16cid:durableId="167214018">
    <w:abstractNumId w:val="1"/>
  </w:num>
  <w:num w:numId="40" w16cid:durableId="46683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1"/>
    <w:docVar w:name="AUTHORMNU" w:val=" 1"/>
    <w:docVar w:name="COMKEY" w:val="LIBE"/>
    <w:docVar w:name="CONTRIBUTIONMNU" w:val=" 2"/>
    <w:docVar w:name="DOCDT" w:val="05/02/2026"/>
    <w:docVar w:name="LastEditedSection" w:val=" 1"/>
    <w:docVar w:name="NVAR1" w:val="0"/>
    <w:docVar w:name="strDocTypeID" w:val="PR_NLE-AP_Agreement"/>
    <w:docVar w:name="strSubDir" w:val="1336"/>
    <w:docVar w:name="TITLEMNU" w:val=" 2"/>
    <w:docVar w:name="TXTAUTHOR" w:val="Jaroslav Bžoch"/>
    <w:docVar w:name="TXTLANGUE" w:val="DE"/>
    <w:docVar w:name="TXTLANGUEMIN" w:val="de"/>
    <w:docVar w:name="TXTNRC" w:val="0279/2025"/>
    <w:docVar w:name="TXTNRCOUNC" w:val="11280"/>
    <w:docVar w:name="TXTNRNLE" w:val="2025/0145"/>
    <w:docVar w:name="TXTNRPE" w:val="784.331"/>
    <w:docVar w:name="TXTPEorAP" w:val="PE"/>
    <w:docVar w:name="TXTROUTE" w:val="PR\1336948DE.docx"/>
    <w:docVar w:name="TXTVERSION" w:val="01-00"/>
  </w:docVars>
  <w:rsids>
    <w:rsidRoot w:val="006172DB"/>
    <w:rsid w:val="00001D52"/>
    <w:rsid w:val="0000443F"/>
    <w:rsid w:val="000053E3"/>
    <w:rsid w:val="0006167F"/>
    <w:rsid w:val="00061EFE"/>
    <w:rsid w:val="00095D8B"/>
    <w:rsid w:val="000A2F73"/>
    <w:rsid w:val="000C123D"/>
    <w:rsid w:val="000D2127"/>
    <w:rsid w:val="000D78AF"/>
    <w:rsid w:val="0016302A"/>
    <w:rsid w:val="00180664"/>
    <w:rsid w:val="001874D8"/>
    <w:rsid w:val="001D02E3"/>
    <w:rsid w:val="001F7BBE"/>
    <w:rsid w:val="0021049A"/>
    <w:rsid w:val="0022685A"/>
    <w:rsid w:val="002E2E20"/>
    <w:rsid w:val="002F5A83"/>
    <w:rsid w:val="003072BE"/>
    <w:rsid w:val="00337C92"/>
    <w:rsid w:val="00363B94"/>
    <w:rsid w:val="003853C6"/>
    <w:rsid w:val="003B598C"/>
    <w:rsid w:val="004174FC"/>
    <w:rsid w:val="00460BD6"/>
    <w:rsid w:val="004859B3"/>
    <w:rsid w:val="004C083C"/>
    <w:rsid w:val="004E1650"/>
    <w:rsid w:val="005027B1"/>
    <w:rsid w:val="0053367A"/>
    <w:rsid w:val="00542CF5"/>
    <w:rsid w:val="00544D48"/>
    <w:rsid w:val="005877C0"/>
    <w:rsid w:val="005A6B14"/>
    <w:rsid w:val="005D0B97"/>
    <w:rsid w:val="005F5D6C"/>
    <w:rsid w:val="006132CE"/>
    <w:rsid w:val="00613F2E"/>
    <w:rsid w:val="006172DB"/>
    <w:rsid w:val="006A1A75"/>
    <w:rsid w:val="006A2CF5"/>
    <w:rsid w:val="006F1B6F"/>
    <w:rsid w:val="00791637"/>
    <w:rsid w:val="0080122F"/>
    <w:rsid w:val="0080613B"/>
    <w:rsid w:val="00822206"/>
    <w:rsid w:val="008368CB"/>
    <w:rsid w:val="0085501C"/>
    <w:rsid w:val="00893FBD"/>
    <w:rsid w:val="008B75A4"/>
    <w:rsid w:val="008D23C6"/>
    <w:rsid w:val="008D3030"/>
    <w:rsid w:val="008E3848"/>
    <w:rsid w:val="00924EE0"/>
    <w:rsid w:val="009612AA"/>
    <w:rsid w:val="009E39A7"/>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F44DF"/>
    <w:rsid w:val="00D04E0B"/>
    <w:rsid w:val="00D62DA0"/>
    <w:rsid w:val="00D6543C"/>
    <w:rsid w:val="00DF594D"/>
    <w:rsid w:val="00E14FEE"/>
    <w:rsid w:val="00E71368"/>
    <w:rsid w:val="00E93816"/>
    <w:rsid w:val="00EA59ED"/>
    <w:rsid w:val="00EF48F2"/>
    <w:rsid w:val="00F04010"/>
    <w:rsid w:val="00F714AC"/>
    <w:rsid w:val="00F90FD4"/>
    <w:rsid w:val="00FC699E"/>
    <w:rsid w:val="00FD288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B39EC"/>
  <w15:chartTrackingRefBased/>
  <w15:docId w15:val="{00B462A9-6F4D-4519-BFC4-BD0F6A59A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F90FD4"/>
    <w:pPr>
      <w:tabs>
        <w:tab w:val="right" w:pos="454"/>
        <w:tab w:val="left" w:pos="737"/>
      </w:tabs>
      <w:ind w:left="737" w:hanging="737"/>
    </w:pPr>
    <w:rPr>
      <w:snapToGrid w:val="0"/>
      <w:sz w:val="18"/>
      <w:lang w:eastAsia="en-US"/>
    </w:rPr>
  </w:style>
  <w:style w:type="paragraph" w:customStyle="1" w:styleId="Lgendetitre">
    <w:name w:val="Légende titre"/>
    <w:basedOn w:val="Normal"/>
    <w:rsid w:val="00F90FD4"/>
    <w:pPr>
      <w:spacing w:before="240" w:after="240"/>
    </w:pPr>
    <w:rPr>
      <w:b/>
      <w:i/>
      <w:snapToGrid w:val="0"/>
      <w:lang w:eastAsia="en-US"/>
    </w:rPr>
  </w:style>
  <w:style w:type="paragraph" w:customStyle="1" w:styleId="Lgendestandard">
    <w:name w:val="Légende standard"/>
    <w:basedOn w:val="Normal"/>
    <w:rsid w:val="00F90FD4"/>
    <w:rPr>
      <w:sz w:val="18"/>
    </w:rPr>
  </w:style>
  <w:style w:type="paragraph" w:customStyle="1" w:styleId="Normal24a">
    <w:name w:val="Normal24a"/>
    <w:basedOn w:val="Normal"/>
    <w:rsid w:val="00F90FD4"/>
    <w:pPr>
      <w:spacing w:after="480"/>
    </w:pPr>
  </w:style>
  <w:style w:type="paragraph" w:customStyle="1" w:styleId="NormalBoldCenter">
    <w:name w:val="NormalBoldCenter"/>
    <w:basedOn w:val="Normal"/>
    <w:rsid w:val="00F90FD4"/>
    <w:pPr>
      <w:jc w:val="center"/>
    </w:pPr>
    <w:rPr>
      <w:b/>
    </w:rPr>
  </w:style>
  <w:style w:type="paragraph" w:customStyle="1" w:styleId="Footprint12b">
    <w:name w:val="Footprint12b"/>
    <w:basedOn w:val="Normal"/>
    <w:rsid w:val="00F90FD4"/>
    <w:pPr>
      <w:spacing w:before="240"/>
    </w:pPr>
    <w:rPr>
      <w:szCs w:val="24"/>
    </w:rPr>
  </w:style>
  <w:style w:type="paragraph" w:customStyle="1" w:styleId="NormalSingle">
    <w:name w:val="NormalSingle"/>
    <w:basedOn w:val="Normal"/>
    <w:qFormat/>
    <w:rsid w:val="00F90FD4"/>
    <w:rPr>
      <w:szCs w:val="24"/>
    </w:rPr>
  </w:style>
  <w:style w:type="paragraph" w:styleId="FootnoteText">
    <w:name w:val="footnote text"/>
    <w:basedOn w:val="Normal"/>
    <w:link w:val="FootnoteTextChar"/>
    <w:rsid w:val="00F90FD4"/>
    <w:rPr>
      <w:sz w:val="20"/>
    </w:rPr>
  </w:style>
  <w:style w:type="character" w:customStyle="1" w:styleId="FootnoteTextChar">
    <w:name w:val="Footnote Text Char"/>
    <w:basedOn w:val="DefaultParagraphFont"/>
    <w:link w:val="FootnoteText"/>
    <w:rsid w:val="00F90FD4"/>
    <w:rPr>
      <w:lang w:val="de-DE"/>
    </w:rPr>
  </w:style>
  <w:style w:type="character" w:styleId="FootnoteReference">
    <w:name w:val="footnote reference"/>
    <w:basedOn w:val="DefaultParagraphFont"/>
    <w:rsid w:val="00F90FD4"/>
    <w:rPr>
      <w:vertAlign w:val="superscript"/>
    </w:rPr>
  </w:style>
  <w:style w:type="character" w:styleId="Hyperlink">
    <w:name w:val="Hyperlink"/>
    <w:basedOn w:val="DefaultParagraphFont"/>
    <w:rsid w:val="00F90FD4"/>
    <w:rPr>
      <w:color w:val="0563C1" w:themeColor="hyperlink"/>
      <w:u w:val="single"/>
    </w:rPr>
  </w:style>
  <w:style w:type="character" w:styleId="UnresolvedMention">
    <w:name w:val="Unresolved Mention"/>
    <w:basedOn w:val="DefaultParagraphFont"/>
    <w:uiPriority w:val="99"/>
    <w:semiHidden/>
    <w:unhideWhenUsed/>
    <w:rsid w:val="00F90FD4"/>
    <w:rPr>
      <w:color w:val="605E5C"/>
      <w:shd w:val="clear" w:color="auto" w:fill="E1DFDD"/>
    </w:rPr>
  </w:style>
  <w:style w:type="paragraph" w:styleId="Footer">
    <w:name w:val="footer"/>
    <w:basedOn w:val="Normal"/>
    <w:link w:val="FooterChar"/>
    <w:semiHidden/>
    <w:rsid w:val="00542CF5"/>
    <w:pPr>
      <w:tabs>
        <w:tab w:val="center" w:pos="4513"/>
        <w:tab w:val="right" w:pos="9026"/>
      </w:tabs>
    </w:pPr>
  </w:style>
  <w:style w:type="character" w:customStyle="1" w:styleId="FooterChar">
    <w:name w:val="Footer Char"/>
    <w:basedOn w:val="DefaultParagraphFont"/>
    <w:link w:val="Footer"/>
    <w:semiHidden/>
    <w:rsid w:val="00542CF5"/>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931</Words>
  <Characters>6570</Characters>
  <Application>Microsoft Office Word</Application>
  <DocSecurity>0</DocSecurity>
  <Lines>146</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KIELMANN Christine</dc:creator>
  <cp:keywords/>
  <cp:lastModifiedBy>KIELMANN Christine</cp:lastModifiedBy>
  <cp:revision>2</cp:revision>
  <cp:lastPrinted>2002-12-11T09:25:00Z</cp:lastPrinted>
  <dcterms:created xsi:type="dcterms:W3CDTF">2026-02-19T16:47:00Z</dcterms:created>
  <dcterms:modified xsi:type="dcterms:W3CDTF">2026-02-19T16:47:00Z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10.2.1 Build [20260110]</vt:lpwstr>
  </property>
  <property fmtid="{D5CDD505-2E9C-101B-9397-08002B2CF9AE}" pid="4" name="LastEdited with">
    <vt:lpwstr>10.2.1 Build [20260110]</vt:lpwstr>
  </property>
  <property fmtid="{D5CDD505-2E9C-101B-9397-08002B2CF9AE}" pid="5" name="&lt;FdR&gt;">
    <vt:lpwstr>1336948</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\\eiciBRUpr1\pdocep$\DocEP\TRANSFIL\DE\PR_NLE-AP_Agreement.DE(25/09/2024 10:32:00)</vt:lpwstr>
  </property>
  <property fmtid="{D5CDD505-2E9C-101B-9397-08002B2CF9AE}" pid="9" name="&lt;Model&gt;">
    <vt:lpwstr>PR_NLE-AP_Agreement</vt:lpwstr>
  </property>
  <property fmtid="{D5CDD505-2E9C-101B-9397-08002B2CF9AE}" pid="10" name="FooterPath">
    <vt:lpwstr>PR\1336948DE.docx</vt:lpwstr>
  </property>
  <property fmtid="{D5CDD505-2E9C-101B-9397-08002B2CF9AE}" pid="11" name="PE number">
    <vt:lpwstr>784.331</vt:lpwstr>
  </property>
  <property fmtid="{D5CDD505-2E9C-101B-9397-08002B2CF9AE}" pid="12" name="Bookout">
    <vt:lpwstr>OK - 2026/02/19 17:46</vt:lpwstr>
  </property>
  <property fmtid="{D5CDD505-2E9C-101B-9397-08002B2CF9AE}" pid="13" name="SDLStudio">
    <vt:lpwstr/>
  </property>
</Properties>
</file>