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77A30" w:rsidRPr="007C70B8" w14:paraId="348D8F78" w14:textId="77777777" w:rsidTr="00C85D0F">
        <w:trPr>
          <w:trHeight w:hRule="exact" w:val="1418"/>
        </w:trPr>
        <w:tc>
          <w:tcPr>
            <w:tcW w:w="6804" w:type="dxa"/>
            <w:shd w:val="clear" w:color="auto" w:fill="auto"/>
            <w:vAlign w:val="center"/>
          </w:tcPr>
          <w:p w14:paraId="16A6359A" w14:textId="77777777" w:rsidR="00C05DD8" w:rsidRPr="007C70B8" w:rsidRDefault="00220E62" w:rsidP="00C85D0F">
            <w:pPr>
              <w:pStyle w:val="EPName"/>
            </w:pPr>
            <w:bookmarkStart w:id="0" w:name="iStart"/>
            <w:bookmarkEnd w:id="0"/>
            <w:r w:rsidRPr="007C70B8">
              <w:t>Európai Parlament</w:t>
            </w:r>
          </w:p>
          <w:p w14:paraId="01632559" w14:textId="77777777" w:rsidR="00C05DD8" w:rsidRPr="007C70B8" w:rsidRDefault="00220E62" w:rsidP="00C85D0F">
            <w:pPr>
              <w:pStyle w:val="EPTerm"/>
            </w:pPr>
            <w:r w:rsidRPr="007C70B8">
              <w:t>2024-2029</w:t>
            </w:r>
          </w:p>
        </w:tc>
        <w:tc>
          <w:tcPr>
            <w:tcW w:w="2268" w:type="dxa"/>
            <w:shd w:val="clear" w:color="auto" w:fill="auto"/>
          </w:tcPr>
          <w:p w14:paraId="539C76FC" w14:textId="77777777" w:rsidR="00C05DD8" w:rsidRPr="007C70B8" w:rsidRDefault="00220E62" w:rsidP="00C85D0F">
            <w:pPr>
              <w:pStyle w:val="EPLogo"/>
            </w:pPr>
            <w:r w:rsidRPr="007C70B8">
              <w:rPr>
                <w:noProof/>
                <w:lang w:eastAsia="ja-JP"/>
              </w:rPr>
              <w:drawing>
                <wp:inline distT="0" distB="0" distL="0" distR="0" wp14:anchorId="44320B9D" wp14:editId="4EF450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5C5BF71" w14:textId="77777777" w:rsidR="009612AA" w:rsidRPr="007C70B8" w:rsidRDefault="009612AA" w:rsidP="009612AA">
      <w:pPr>
        <w:pStyle w:val="LineTop"/>
      </w:pPr>
    </w:p>
    <w:p w14:paraId="7E4E2B83" w14:textId="77777777" w:rsidR="009612AA" w:rsidRPr="007C70B8" w:rsidRDefault="00220E62" w:rsidP="009612AA">
      <w:pPr>
        <w:pStyle w:val="EPBody"/>
      </w:pPr>
      <w:r w:rsidRPr="007C70B8">
        <w:rPr>
          <w:rStyle w:val="HideTWBExt"/>
        </w:rPr>
        <w:t>&lt;</w:t>
      </w:r>
      <w:r w:rsidRPr="007C70B8">
        <w:rPr>
          <w:rStyle w:val="HideTWBExt"/>
          <w:i w:val="0"/>
        </w:rPr>
        <w:t>Commission</w:t>
      </w:r>
      <w:r w:rsidRPr="007C70B8">
        <w:rPr>
          <w:rStyle w:val="HideTWBExt"/>
        </w:rPr>
        <w:t>&gt;</w:t>
      </w:r>
      <w:r w:rsidRPr="007C70B8">
        <w:rPr>
          <w:rStyle w:val="HideTWBInt"/>
          <w:color w:val="auto"/>
        </w:rPr>
        <w:t>{LIBE}</w:t>
      </w:r>
      <w:r w:rsidRPr="007C70B8">
        <w:t>Állampolgári Jogi, Bel- és Igazságügyi Bizottság</w:t>
      </w:r>
      <w:r w:rsidRPr="007C70B8">
        <w:rPr>
          <w:rStyle w:val="HideTWBExt"/>
        </w:rPr>
        <w:t>&lt;/</w:t>
      </w:r>
      <w:r w:rsidRPr="007C70B8">
        <w:rPr>
          <w:rStyle w:val="HideTWBExt"/>
          <w:i w:val="0"/>
        </w:rPr>
        <w:t>Commission</w:t>
      </w:r>
      <w:r w:rsidRPr="007C70B8">
        <w:rPr>
          <w:rStyle w:val="HideTWBExt"/>
        </w:rPr>
        <w:t>&gt;</w:t>
      </w:r>
    </w:p>
    <w:p w14:paraId="17E83C26" w14:textId="77777777" w:rsidR="009612AA" w:rsidRPr="007C70B8" w:rsidRDefault="009612AA" w:rsidP="009612AA">
      <w:pPr>
        <w:pStyle w:val="LineBottom"/>
      </w:pPr>
    </w:p>
    <w:p w14:paraId="43584583" w14:textId="77777777" w:rsidR="00363B94" w:rsidRPr="007C70B8" w:rsidRDefault="00220E62">
      <w:pPr>
        <w:pStyle w:val="CoverReference"/>
      </w:pPr>
      <w:r w:rsidRPr="007C70B8">
        <w:rPr>
          <w:rStyle w:val="HideTWBExt"/>
          <w:b w:val="0"/>
        </w:rPr>
        <w:t>&lt;RefProc&gt;</w:t>
      </w:r>
      <w:r w:rsidRPr="007C70B8">
        <w:t>2025/0145</w:t>
      </w:r>
      <w:r w:rsidRPr="007C70B8">
        <w:rPr>
          <w:rStyle w:val="HideTWBExt"/>
          <w:b w:val="0"/>
        </w:rPr>
        <w:t>&lt;/RefProc&gt;&lt;RefTypeProc&gt;</w:t>
      </w:r>
      <w:r w:rsidRPr="007C70B8">
        <w:t>(NLE)</w:t>
      </w:r>
      <w:r w:rsidRPr="007C70B8">
        <w:rPr>
          <w:rStyle w:val="HideTWBExt"/>
          <w:b w:val="0"/>
        </w:rPr>
        <w:t>&lt;/RefTypeProc&gt;</w:t>
      </w:r>
    </w:p>
    <w:p w14:paraId="2C6F85E9" w14:textId="77777777" w:rsidR="00363B94" w:rsidRPr="007C70B8" w:rsidRDefault="00220E62">
      <w:pPr>
        <w:pStyle w:val="CoverDate"/>
      </w:pPr>
      <w:r w:rsidRPr="007C70B8">
        <w:rPr>
          <w:rStyle w:val="HideTWBExt"/>
        </w:rPr>
        <w:t>&lt;Date&gt;</w:t>
      </w:r>
      <w:r w:rsidRPr="007C70B8">
        <w:rPr>
          <w:rStyle w:val="HideTWBInt"/>
          <w:color w:val="auto"/>
        </w:rPr>
        <w:t>{05/02/2026}</w:t>
      </w:r>
      <w:r w:rsidRPr="007C70B8">
        <w:t>5.2.2026</w:t>
      </w:r>
      <w:r w:rsidRPr="007C70B8">
        <w:rPr>
          <w:rStyle w:val="HideTWBExt"/>
        </w:rPr>
        <w:t>&lt;/Date&gt;</w:t>
      </w:r>
    </w:p>
    <w:p w14:paraId="4D7114E2" w14:textId="77777777" w:rsidR="00363B94" w:rsidRPr="007C70B8" w:rsidRDefault="00220E62">
      <w:pPr>
        <w:pStyle w:val="CoverDocType"/>
      </w:pPr>
      <w:r w:rsidRPr="007C70B8">
        <w:rPr>
          <w:rStyle w:val="HideTWBExt"/>
          <w:b w:val="0"/>
        </w:rPr>
        <w:t>&lt;RefProcLect&gt;</w:t>
      </w:r>
      <w:r w:rsidRPr="007C70B8">
        <w:t>***</w:t>
      </w:r>
      <w:r w:rsidRPr="007C70B8">
        <w:rPr>
          <w:rStyle w:val="HideTWBExt"/>
          <w:b w:val="0"/>
        </w:rPr>
        <w:t>&lt;/RefProcLect&gt;</w:t>
      </w:r>
    </w:p>
    <w:p w14:paraId="063B08C2" w14:textId="77777777" w:rsidR="00363B94" w:rsidRPr="007C70B8" w:rsidRDefault="00220E62">
      <w:pPr>
        <w:pStyle w:val="CoverDocType24a"/>
      </w:pPr>
      <w:r w:rsidRPr="007C70B8">
        <w:rPr>
          <w:rStyle w:val="HideTWBExt"/>
          <w:b w:val="0"/>
        </w:rPr>
        <w:t>&lt;TitreType&gt;</w:t>
      </w:r>
      <w:r w:rsidRPr="007C70B8">
        <w:t>AJÁNLÁSTERVEZET</w:t>
      </w:r>
      <w:r w:rsidRPr="007C70B8">
        <w:rPr>
          <w:rStyle w:val="HideTWBExt"/>
          <w:b w:val="0"/>
        </w:rPr>
        <w:t>&lt;/TitreType&gt;</w:t>
      </w:r>
    </w:p>
    <w:p w14:paraId="21CBA81C" w14:textId="77777777" w:rsidR="00363B94" w:rsidRPr="007C70B8" w:rsidRDefault="00220E62">
      <w:pPr>
        <w:pStyle w:val="CoverNormal"/>
      </w:pPr>
      <w:r w:rsidRPr="007C70B8">
        <w:rPr>
          <w:rStyle w:val="HideTWBExt"/>
        </w:rPr>
        <w:t>&lt;Titre&gt;</w:t>
      </w:r>
      <w:r w:rsidRPr="007C70B8">
        <w:t>az Európai Unió és a Norvég Királyság közötti, az utasnyilvántartási adatállomány (PNR) adatainak a terrorista bűncselekmények és a súlyos bűncselekmények megelőzése, felderítése, nyomozása és a vádeljárás lefolytatása céljából történő továbbításáról szóló megállapodásnak az Unió nevében történő megkötéséről szóló tanácsi határozattervezetről</w:t>
      </w:r>
      <w:r w:rsidRPr="007C70B8">
        <w:rPr>
          <w:rStyle w:val="HideTWBExt"/>
        </w:rPr>
        <w:t>&lt;/Titre&gt;</w:t>
      </w:r>
    </w:p>
    <w:p w14:paraId="1CFD0567" w14:textId="77777777" w:rsidR="00363B94" w:rsidRPr="007C70B8" w:rsidRDefault="00220E62">
      <w:pPr>
        <w:pStyle w:val="CoverNormal24a"/>
      </w:pPr>
      <w:r w:rsidRPr="007C70B8">
        <w:rPr>
          <w:rStyle w:val="HideTWBExt"/>
        </w:rPr>
        <w:t>&lt;DocRef&gt;</w:t>
      </w:r>
      <w:r w:rsidRPr="007C70B8">
        <w:t>(11280/2025 – C10</w:t>
      </w:r>
      <w:r w:rsidRPr="007C70B8">
        <w:noBreakHyphen/>
        <w:t>0279/2025 – 2025/0145(NLE))</w:t>
      </w:r>
      <w:r w:rsidRPr="007C70B8">
        <w:rPr>
          <w:rStyle w:val="HideTWBExt"/>
        </w:rPr>
        <w:t>&lt;/DocRef&gt;</w:t>
      </w:r>
    </w:p>
    <w:p w14:paraId="31C501FB" w14:textId="77777777" w:rsidR="00363B94" w:rsidRPr="007C70B8" w:rsidRDefault="00220E62">
      <w:pPr>
        <w:pStyle w:val="CoverNormal24a"/>
      </w:pPr>
      <w:r w:rsidRPr="007C70B8">
        <w:rPr>
          <w:rStyle w:val="HideTWBExt"/>
        </w:rPr>
        <w:t>&lt;Commission&gt;</w:t>
      </w:r>
      <w:r w:rsidRPr="007C70B8">
        <w:rPr>
          <w:rStyle w:val="HideTWBInt"/>
          <w:color w:val="auto"/>
        </w:rPr>
        <w:t>{LIBE}</w:t>
      </w:r>
      <w:r w:rsidRPr="007C70B8">
        <w:t>Állampolgári Jogi, Bel- és Igazságügyi Bizottság</w:t>
      </w:r>
      <w:r w:rsidRPr="007C70B8">
        <w:rPr>
          <w:rStyle w:val="HideTWBExt"/>
        </w:rPr>
        <w:t>&lt;/Commission&gt;</w:t>
      </w:r>
    </w:p>
    <w:p w14:paraId="6DE9D18C" w14:textId="77777777" w:rsidR="00363B94" w:rsidRPr="007C70B8" w:rsidRDefault="00220E62">
      <w:pPr>
        <w:pStyle w:val="CoverNormal24a"/>
      </w:pPr>
      <w:r w:rsidRPr="007C70B8">
        <w:t xml:space="preserve">Előadó: </w:t>
      </w:r>
      <w:r w:rsidRPr="007C70B8">
        <w:rPr>
          <w:rStyle w:val="HideTWBExt"/>
        </w:rPr>
        <w:t>&lt;Depute&gt;</w:t>
      </w:r>
      <w:r w:rsidRPr="007C70B8">
        <w:t>Jaroslav Bžoch</w:t>
      </w:r>
      <w:r w:rsidRPr="007C70B8">
        <w:rPr>
          <w:rStyle w:val="HideTWBExt"/>
        </w:rPr>
        <w:t>&lt;/Depute&gt;</w:t>
      </w:r>
    </w:p>
    <w:p w14:paraId="3E18E01F" w14:textId="77777777" w:rsidR="00B42885" w:rsidRPr="007C70B8" w:rsidRDefault="00B42885" w:rsidP="00B42885">
      <w:pPr>
        <w:pStyle w:val="CoverNormal"/>
      </w:pPr>
    </w:p>
    <w:p w14:paraId="5B5ACD44" w14:textId="0DDBF3BD" w:rsidR="00A55926" w:rsidRPr="007C70B8" w:rsidRDefault="00220E62" w:rsidP="00016E55">
      <w:r w:rsidRPr="007C70B8">
        <w:br w:type="page"/>
      </w:r>
      <w:r w:rsidRPr="007C70B8">
        <w:lastRenderedPageBreak/>
        <w:fldChar w:fldCharType="begin"/>
      </w:r>
      <w:r w:rsidRPr="007C70B8">
        <w:instrText xml:space="preserve"> TITLE  \* MERGEFORMAT </w:instrText>
      </w:r>
      <w:r w:rsidRPr="007C70B8">
        <w:fldChar w:fldCharType="separate"/>
      </w:r>
      <w:r>
        <w:t>PR_NLE-AP_Agreement</w:t>
      </w:r>
      <w:r w:rsidRPr="007C70B8">
        <w:fldChar w:fldCharType="end"/>
      </w:r>
    </w:p>
    <w:p w14:paraId="458198E6" w14:textId="77777777" w:rsidR="00A55926" w:rsidRPr="007C70B8" w:rsidRDefault="00A55926" w:rsidP="00016E55"/>
    <w:p w14:paraId="17D37850" w14:textId="77777777" w:rsidR="00A55926" w:rsidRPr="007C70B8" w:rsidRDefault="00A55926"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777A30" w:rsidRPr="007C70B8" w14:paraId="7BFFAF1A" w14:textId="77777777">
        <w:tc>
          <w:tcPr>
            <w:tcW w:w="5811" w:type="dxa"/>
          </w:tcPr>
          <w:p w14:paraId="26BB56DA" w14:textId="77777777" w:rsidR="00A55926" w:rsidRPr="007C70B8" w:rsidRDefault="00220E62" w:rsidP="00016E55">
            <w:pPr>
              <w:pStyle w:val="Lgendetitre"/>
            </w:pPr>
            <w:r w:rsidRPr="007C70B8">
              <w:t>Az eljárások jelölései</w:t>
            </w:r>
          </w:p>
        </w:tc>
      </w:tr>
      <w:tr w:rsidR="00777A30" w:rsidRPr="007C70B8" w14:paraId="7C8E719C" w14:textId="77777777" w:rsidTr="004247A2">
        <w:trPr>
          <w:cantSplit/>
          <w:trHeight w:val="1807"/>
        </w:trPr>
        <w:tc>
          <w:tcPr>
            <w:tcW w:w="5811" w:type="dxa"/>
            <w:tcBorders>
              <w:bottom w:val="single" w:sz="4" w:space="0" w:color="auto"/>
            </w:tcBorders>
          </w:tcPr>
          <w:p w14:paraId="1AED6458" w14:textId="77777777" w:rsidR="00A55926" w:rsidRPr="007C70B8" w:rsidRDefault="00220E62" w:rsidP="00717061">
            <w:pPr>
              <w:pStyle w:val="Lgendesigne"/>
            </w:pPr>
            <w:r w:rsidRPr="007C70B8">
              <w:tab/>
              <w:t>*</w:t>
            </w:r>
            <w:r w:rsidRPr="007C70B8">
              <w:tab/>
              <w:t>Konzultációs eljárás</w:t>
            </w:r>
          </w:p>
          <w:p w14:paraId="202F4D07" w14:textId="77777777" w:rsidR="00A55926" w:rsidRPr="007C70B8" w:rsidRDefault="00220E62" w:rsidP="00717061">
            <w:pPr>
              <w:pStyle w:val="Lgendesigne"/>
            </w:pPr>
            <w:r w:rsidRPr="007C70B8">
              <w:tab/>
              <w:t>***</w:t>
            </w:r>
            <w:r w:rsidRPr="007C70B8">
              <w:tab/>
              <w:t>Egyetértési eljárás</w:t>
            </w:r>
          </w:p>
          <w:p w14:paraId="51AABCD7" w14:textId="77777777" w:rsidR="00A55926" w:rsidRPr="007C70B8" w:rsidRDefault="00220E62" w:rsidP="00717061">
            <w:pPr>
              <w:pStyle w:val="Lgendesigne"/>
            </w:pPr>
            <w:r w:rsidRPr="007C70B8">
              <w:tab/>
              <w:t>***I</w:t>
            </w:r>
            <w:r w:rsidRPr="007C70B8">
              <w:tab/>
              <w:t>Rendes jogalkotási eljárás (első olvasat)</w:t>
            </w:r>
          </w:p>
          <w:p w14:paraId="1E1B5FE5" w14:textId="77777777" w:rsidR="00A55926" w:rsidRPr="007C70B8" w:rsidRDefault="00220E62" w:rsidP="00717061">
            <w:pPr>
              <w:pStyle w:val="Lgendesigne"/>
            </w:pPr>
            <w:r w:rsidRPr="007C70B8">
              <w:tab/>
              <w:t>***II</w:t>
            </w:r>
            <w:r w:rsidRPr="007C70B8">
              <w:tab/>
            </w:r>
            <w:r w:rsidRPr="007C70B8">
              <w:t>Rendes jogalkotási eljárás (második olvasat)</w:t>
            </w:r>
          </w:p>
          <w:p w14:paraId="1B3A9B3A" w14:textId="77777777" w:rsidR="00A55926" w:rsidRPr="007C70B8" w:rsidRDefault="00220E62" w:rsidP="00717061">
            <w:pPr>
              <w:pStyle w:val="Lgendesigne"/>
            </w:pPr>
            <w:r w:rsidRPr="007C70B8">
              <w:tab/>
              <w:t>***III</w:t>
            </w:r>
            <w:r w:rsidRPr="007C70B8">
              <w:tab/>
              <w:t>Rendes jogalkotási eljárás (harmadik olvasat)</w:t>
            </w:r>
          </w:p>
          <w:p w14:paraId="3261BB0A" w14:textId="77777777" w:rsidR="00A55926" w:rsidRPr="007C70B8" w:rsidRDefault="00A55926" w:rsidP="00717061">
            <w:pPr>
              <w:pStyle w:val="Lgendestandard"/>
            </w:pPr>
          </w:p>
          <w:p w14:paraId="6A514699" w14:textId="77777777" w:rsidR="00A55926" w:rsidRPr="007C70B8" w:rsidRDefault="00220E62" w:rsidP="00717061">
            <w:pPr>
              <w:pStyle w:val="Lgendestandard"/>
            </w:pPr>
            <w:r w:rsidRPr="007C70B8">
              <w:t>(Az eljárás típusa a jogszabálytervezetben javasolt jogalaptól függ.)</w:t>
            </w:r>
          </w:p>
          <w:p w14:paraId="4B0E3EDD" w14:textId="77777777" w:rsidR="00A55926" w:rsidRPr="007C70B8" w:rsidRDefault="00A55926" w:rsidP="00B837B7">
            <w:pPr>
              <w:pStyle w:val="Lgendestandard"/>
            </w:pPr>
          </w:p>
        </w:tc>
      </w:tr>
    </w:tbl>
    <w:p w14:paraId="7FA958E4" w14:textId="77777777" w:rsidR="00A55926" w:rsidRPr="007C70B8" w:rsidRDefault="00A55926" w:rsidP="00016E55"/>
    <w:p w14:paraId="1EC42056" w14:textId="77777777" w:rsidR="00363B94" w:rsidRPr="007C70B8" w:rsidRDefault="00363B94" w:rsidP="00613F2E">
      <w:pPr>
        <w:widowControl/>
        <w:tabs>
          <w:tab w:val="center" w:pos="4677"/>
        </w:tabs>
      </w:pPr>
    </w:p>
    <w:p w14:paraId="6519404F" w14:textId="77777777" w:rsidR="00363B94" w:rsidRPr="007C70B8" w:rsidRDefault="00220E62">
      <w:pPr>
        <w:pStyle w:val="TOCHeading"/>
      </w:pPr>
      <w:r w:rsidRPr="007C70B8">
        <w:br w:type="page"/>
      </w:r>
      <w:r w:rsidRPr="007C70B8">
        <w:lastRenderedPageBreak/>
        <w:t>TARTALOM</w:t>
      </w:r>
    </w:p>
    <w:p w14:paraId="14C4F1F7" w14:textId="77777777" w:rsidR="00363B94" w:rsidRPr="007C70B8" w:rsidRDefault="00220E62">
      <w:pPr>
        <w:pStyle w:val="TOCPage"/>
      </w:pPr>
      <w:r w:rsidRPr="007C70B8">
        <w:t>Oldal</w:t>
      </w:r>
    </w:p>
    <w:p w14:paraId="5EA29A2A" w14:textId="2060901D" w:rsidR="00220E62" w:rsidRDefault="00220E62">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7C70B8">
        <w:fldChar w:fldCharType="begin"/>
      </w:r>
      <w:r w:rsidRPr="007C70B8">
        <w:instrText xml:space="preserve"> TOC \t "PageHeading</w:instrText>
      </w:r>
      <w:r w:rsidR="00BA4F74" w:rsidRPr="007C70B8">
        <w:instrText>;</w:instrText>
      </w:r>
      <w:r w:rsidRPr="007C70B8">
        <w:instrText xml:space="preserve">1" </w:instrText>
      </w:r>
      <w:r w:rsidRPr="007C70B8">
        <w:fldChar w:fldCharType="separate"/>
      </w:r>
      <w:r>
        <w:rPr>
          <w:noProof/>
        </w:rPr>
        <w:t>AZ EURÓPAI PARLAMENT JOGALKOTÁSI ÁLLÁSFOGLALÁS-TERVEZETE</w:t>
      </w:r>
      <w:r>
        <w:rPr>
          <w:noProof/>
        </w:rPr>
        <w:tab/>
      </w:r>
      <w:r>
        <w:rPr>
          <w:noProof/>
        </w:rPr>
        <w:fldChar w:fldCharType="begin"/>
      </w:r>
      <w:r>
        <w:rPr>
          <w:noProof/>
        </w:rPr>
        <w:instrText xml:space="preserve"> PAGEREF _Toc222470798 \h </w:instrText>
      </w:r>
      <w:r>
        <w:rPr>
          <w:noProof/>
        </w:rPr>
      </w:r>
      <w:r>
        <w:rPr>
          <w:noProof/>
        </w:rPr>
        <w:fldChar w:fldCharType="separate"/>
      </w:r>
      <w:r>
        <w:rPr>
          <w:noProof/>
        </w:rPr>
        <w:t>5</w:t>
      </w:r>
      <w:r>
        <w:rPr>
          <w:noProof/>
        </w:rPr>
        <w:fldChar w:fldCharType="end"/>
      </w:r>
    </w:p>
    <w:p w14:paraId="1F011347" w14:textId="2174CABE" w:rsidR="00220E62" w:rsidRDefault="00220E6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INDOKOLÁS</w:t>
      </w:r>
      <w:r>
        <w:rPr>
          <w:noProof/>
        </w:rPr>
        <w:tab/>
      </w:r>
      <w:r>
        <w:rPr>
          <w:noProof/>
        </w:rPr>
        <w:fldChar w:fldCharType="begin"/>
      </w:r>
      <w:r>
        <w:rPr>
          <w:noProof/>
        </w:rPr>
        <w:instrText xml:space="preserve"> PAGEREF _Toc222470799 \h </w:instrText>
      </w:r>
      <w:r>
        <w:rPr>
          <w:noProof/>
        </w:rPr>
      </w:r>
      <w:r>
        <w:rPr>
          <w:noProof/>
        </w:rPr>
        <w:fldChar w:fldCharType="separate"/>
      </w:r>
      <w:r>
        <w:rPr>
          <w:noProof/>
        </w:rPr>
        <w:t>6</w:t>
      </w:r>
      <w:r>
        <w:rPr>
          <w:noProof/>
        </w:rPr>
        <w:fldChar w:fldCharType="end"/>
      </w:r>
    </w:p>
    <w:p w14:paraId="074D525A" w14:textId="4BC77B46" w:rsidR="00220E62" w:rsidRDefault="00220E62">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MELLÉKLET: NYILATKOZAT AZ ÉSZREVÉTELEKRŐL</w:t>
      </w:r>
      <w:r>
        <w:rPr>
          <w:noProof/>
        </w:rPr>
        <w:tab/>
      </w:r>
      <w:r>
        <w:rPr>
          <w:noProof/>
        </w:rPr>
        <w:fldChar w:fldCharType="begin"/>
      </w:r>
      <w:r>
        <w:rPr>
          <w:noProof/>
        </w:rPr>
        <w:instrText xml:space="preserve"> PAGEREF _Toc222470800 \h </w:instrText>
      </w:r>
      <w:r>
        <w:rPr>
          <w:noProof/>
        </w:rPr>
      </w:r>
      <w:r>
        <w:rPr>
          <w:noProof/>
        </w:rPr>
        <w:fldChar w:fldCharType="separate"/>
      </w:r>
      <w:r>
        <w:rPr>
          <w:noProof/>
        </w:rPr>
        <w:t>8</w:t>
      </w:r>
      <w:r>
        <w:rPr>
          <w:noProof/>
        </w:rPr>
        <w:fldChar w:fldCharType="end"/>
      </w:r>
    </w:p>
    <w:p w14:paraId="16143160" w14:textId="3C5D0C14" w:rsidR="004E1650" w:rsidRPr="007C70B8" w:rsidRDefault="00220E62" w:rsidP="00F04010">
      <w:r w:rsidRPr="007C70B8">
        <w:fldChar w:fldCharType="end"/>
      </w:r>
    </w:p>
    <w:p w14:paraId="1FB6F3FD" w14:textId="77777777" w:rsidR="00363B94" w:rsidRPr="007C70B8" w:rsidRDefault="00220E62" w:rsidP="0006167F">
      <w:pPr>
        <w:pStyle w:val="PageHeading"/>
      </w:pPr>
      <w:r w:rsidRPr="007C70B8">
        <w:br w:type="page"/>
      </w:r>
      <w:r w:rsidRPr="007C70B8">
        <w:lastRenderedPageBreak/>
        <w:br w:type="page"/>
      </w:r>
      <w:bookmarkStart w:id="1" w:name="_Toc222470798"/>
      <w:r w:rsidRPr="007C70B8">
        <w:lastRenderedPageBreak/>
        <w:t>AZ EURÓPAI PARLAMENT JOGALKOTÁSI ÁLLÁSFOGLALÁS-TERVEZETE</w:t>
      </w:r>
      <w:bookmarkEnd w:id="1"/>
    </w:p>
    <w:p w14:paraId="48BAE8A8" w14:textId="77777777" w:rsidR="00363B94" w:rsidRPr="007C70B8" w:rsidRDefault="00220E62">
      <w:pPr>
        <w:pStyle w:val="NormalBold"/>
      </w:pPr>
      <w:r w:rsidRPr="007C70B8">
        <w:t xml:space="preserve">az </w:t>
      </w:r>
      <w:bookmarkStart w:id="2" w:name="_Hlk221277797"/>
      <w:r w:rsidRPr="007C70B8">
        <w:t>Európai Unió és a Norvég Királyság közötti, az utasnyilvántartási adatállomány (PNR) adatainak a terrorista bűncselekmények és a súlyos bűncselekmények megelőzése, felderítése, nyomozása és a vádeljárás lefolytatása céljából történő továbbításáról szóló megállapodásnak az Unió nevében történő megkötéséről szóló tanácsi határozattervezetről</w:t>
      </w:r>
      <w:bookmarkEnd w:id="2"/>
    </w:p>
    <w:p w14:paraId="457C5444" w14:textId="77777777" w:rsidR="00363B94" w:rsidRPr="007C70B8" w:rsidRDefault="00220E62">
      <w:pPr>
        <w:pStyle w:val="NormalBold12a"/>
      </w:pPr>
      <w:r w:rsidRPr="007C70B8">
        <w:t>(</w:t>
      </w:r>
      <w:bookmarkStart w:id="3" w:name="_Hlk221278502"/>
      <w:r w:rsidRPr="007C70B8">
        <w:t xml:space="preserve">11280/2025 </w:t>
      </w:r>
      <w:bookmarkEnd w:id="3"/>
      <w:r w:rsidRPr="007C70B8">
        <w:t>– C10</w:t>
      </w:r>
      <w:r w:rsidRPr="007C70B8">
        <w:noBreakHyphen/>
        <w:t xml:space="preserve">0279/2025 – </w:t>
      </w:r>
      <w:bookmarkStart w:id="4" w:name="_Hlk221279129"/>
      <w:r w:rsidRPr="007C70B8">
        <w:t>2025/0145(NLE</w:t>
      </w:r>
      <w:bookmarkEnd w:id="4"/>
      <w:r w:rsidRPr="007C70B8">
        <w:t>))</w:t>
      </w:r>
    </w:p>
    <w:p w14:paraId="4DB9895F" w14:textId="77777777" w:rsidR="00363B94" w:rsidRPr="007C70B8" w:rsidRDefault="00220E62" w:rsidP="00893FBD">
      <w:pPr>
        <w:pStyle w:val="NormalBold"/>
      </w:pPr>
      <w:r w:rsidRPr="007C70B8">
        <w:t>(Egyetértés)</w:t>
      </w:r>
    </w:p>
    <w:p w14:paraId="61D7E517" w14:textId="77777777" w:rsidR="00363B94" w:rsidRPr="007C70B8" w:rsidRDefault="00220E62">
      <w:pPr>
        <w:pStyle w:val="EPComma"/>
      </w:pPr>
      <w:r w:rsidRPr="007C70B8">
        <w:rPr>
          <w:i/>
        </w:rPr>
        <w:t>Az Európai Parlament,</w:t>
      </w:r>
    </w:p>
    <w:p w14:paraId="327C8C8E" w14:textId="77777777" w:rsidR="00BF7F55" w:rsidRPr="007C70B8" w:rsidRDefault="00220E62" w:rsidP="00BF7F55">
      <w:pPr>
        <w:pStyle w:val="NormalHanging12a"/>
      </w:pPr>
      <w:r w:rsidRPr="007C70B8">
        <w:t>–</w:t>
      </w:r>
      <w:r w:rsidRPr="007C70B8">
        <w:tab/>
        <w:t>tekintettel a tanácsi határozat tervezetére (11280/2025),</w:t>
      </w:r>
    </w:p>
    <w:p w14:paraId="6F28FE52" w14:textId="77777777" w:rsidR="00363B94" w:rsidRPr="007C70B8" w:rsidRDefault="00220E62">
      <w:pPr>
        <w:pStyle w:val="NormalHanging12a"/>
      </w:pPr>
      <w:r w:rsidRPr="007C70B8">
        <w:t>–</w:t>
      </w:r>
      <w:r w:rsidRPr="007C70B8">
        <w:tab/>
        <w:t xml:space="preserve">tekintettel az Európai Unió és a Norvég Királyság közötti, az utasnyilvántartási adatállomány (PNR) </w:t>
      </w:r>
      <w:r w:rsidRPr="007C70B8">
        <w:t>adatainak a terrorista bűncselekmények és a súlyos bűncselekmények megelőzése, felderítése, nyomozása és a vádeljárás lefolytatása céljából történő továbbításáról szóló megállapodás tervezetére (</w:t>
      </w:r>
      <w:bookmarkStart w:id="5" w:name="_Hlk221278511"/>
      <w:r w:rsidRPr="007C70B8">
        <w:t>11281/2025</w:t>
      </w:r>
      <w:bookmarkEnd w:id="5"/>
      <w:r w:rsidRPr="007C70B8">
        <w:t>),</w:t>
      </w:r>
    </w:p>
    <w:p w14:paraId="12B18EB8" w14:textId="77777777" w:rsidR="00363B94" w:rsidRPr="007C70B8" w:rsidRDefault="00220E62">
      <w:pPr>
        <w:pStyle w:val="NormalHanging12a"/>
      </w:pPr>
      <w:r w:rsidRPr="007C70B8">
        <w:t>–</w:t>
      </w:r>
      <w:r w:rsidRPr="007C70B8">
        <w:tab/>
        <w:t>tekintettel a Tanács által az Európai Unió működéséről szóló szerződés 16. cikkének (2) bekezdése, 87. cikke (2) bekezdésének a) pontjára, valamint 218. cikke (6) bekezdése második albekezdése a) pontjával összhangban előterjesztett, egyetértésre irányuló kérelemre (C10</w:t>
      </w:r>
      <w:r w:rsidRPr="007C70B8">
        <w:noBreakHyphen/>
        <w:t>0279/2025),</w:t>
      </w:r>
    </w:p>
    <w:p w14:paraId="40BCF74B" w14:textId="77777777" w:rsidR="00363B94" w:rsidRPr="007C70B8" w:rsidRDefault="00220E62">
      <w:pPr>
        <w:pStyle w:val="NormalHanging12a"/>
      </w:pPr>
      <w:r w:rsidRPr="007C70B8">
        <w:t>–</w:t>
      </w:r>
      <w:r w:rsidRPr="007C70B8">
        <w:tab/>
        <w:t>tekintettel eljárási szabályzata 107. cikkének (1) és (4) bekezdésére és 117. cikkének (7) bekezdésére,</w:t>
      </w:r>
    </w:p>
    <w:p w14:paraId="2C67D8E8" w14:textId="77777777" w:rsidR="00363B94" w:rsidRPr="007C70B8" w:rsidRDefault="00220E62">
      <w:pPr>
        <w:pStyle w:val="NormalHanging12a"/>
      </w:pPr>
      <w:r w:rsidRPr="007C70B8">
        <w:t>–</w:t>
      </w:r>
      <w:r w:rsidRPr="007C70B8">
        <w:tab/>
        <w:t>tekintettel az Állampolgári Jogi, Bel- és Igazságügyi Bizottság ajánlására (A10</w:t>
      </w:r>
      <w:r w:rsidRPr="007C70B8">
        <w:noBreakHyphen/>
        <w:t>0000/2026),</w:t>
      </w:r>
    </w:p>
    <w:p w14:paraId="26F8FBE6" w14:textId="77777777" w:rsidR="00363B94" w:rsidRPr="007C70B8" w:rsidRDefault="00220E62">
      <w:pPr>
        <w:pStyle w:val="NormalHanging12a"/>
      </w:pPr>
      <w:r w:rsidRPr="007C70B8">
        <w:t>1.</w:t>
      </w:r>
      <w:r w:rsidRPr="007C70B8">
        <w:tab/>
        <w:t>egyetért a megállapodás megkötésével;</w:t>
      </w:r>
    </w:p>
    <w:p w14:paraId="38E46233" w14:textId="77777777" w:rsidR="001D02E3" w:rsidRPr="007C70B8" w:rsidRDefault="00220E62">
      <w:pPr>
        <w:pStyle w:val="NormalHanging12a"/>
      </w:pPr>
      <w:r w:rsidRPr="007C70B8">
        <w:t>2.</w:t>
      </w:r>
      <w:r w:rsidRPr="007C70B8">
        <w:tab/>
        <w:t>utasítja elnökét, hogy továbbítsa a Parlament álláspontját a Tanácsnak és a Bizottságnak, valamint a tagállamok és a Norvég Királyság kormányainak és parlamentjeinek.</w:t>
      </w:r>
    </w:p>
    <w:p w14:paraId="2C98087C" w14:textId="77777777" w:rsidR="00A55926" w:rsidRPr="007C70B8" w:rsidRDefault="00A55926" w:rsidP="00822206">
      <w:pPr>
        <w:sectPr w:rsidR="00A55926" w:rsidRPr="007C70B8" w:rsidSect="007C70B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5F8A3B3C" w14:textId="77777777" w:rsidR="00363B94" w:rsidRPr="007C70B8" w:rsidRDefault="00220E62" w:rsidP="00A55926">
      <w:pPr>
        <w:pStyle w:val="PageHeading"/>
      </w:pPr>
      <w:bookmarkStart w:id="6" w:name="_Toc222470799"/>
      <w:r w:rsidRPr="007C70B8">
        <w:lastRenderedPageBreak/>
        <w:t>INDOKOLÁS</w:t>
      </w:r>
      <w:bookmarkEnd w:id="6"/>
    </w:p>
    <w:p w14:paraId="550F63DB" w14:textId="77777777" w:rsidR="00E93B3F" w:rsidRPr="007C70B8" w:rsidRDefault="00220E62" w:rsidP="00E93B3F">
      <w:r w:rsidRPr="007C70B8">
        <w:t>A javasolt tanácsi határozat célja az utasnyilvántartási adatállomány (PNR) adatainak a terrorista bűncselekmények és a súlyos bűncselekmények megelőzése, felderítése, nyomozása és a vádeljárás lefolytatása céljából történő továbbításáról szóló, az Európai Unió és a Norvég Királyság (a továbbiakban: Norvégia) közötti megállapodás (a továbbiakban: a megállapodás) jóváhagyása.</w:t>
      </w:r>
    </w:p>
    <w:p w14:paraId="4A76BA73" w14:textId="77777777" w:rsidR="00E93B3F" w:rsidRPr="007C70B8" w:rsidRDefault="00E93B3F" w:rsidP="00E93B3F"/>
    <w:p w14:paraId="47DBAB36" w14:textId="77777777" w:rsidR="00E93B3F" w:rsidRPr="007C70B8" w:rsidRDefault="00220E62" w:rsidP="00E93B3F">
      <w:r w:rsidRPr="007C70B8">
        <w:t>Norvégia és a Schengeni Egyezmény szerződő felei közé tartozó uniós tagállamok közös felelőssége, hogy a belső határellenőrzések nélküli közös térségen belül – többek között a releváns információk cseréje révén – biztosítsák a belső biztonságot. Az utasnyilvántartási adatállomány (PNR) adatai az utasok által szolgáltatott, a légitársaságok foglalási és utasfelvételi folyamatai közben gyűjtött és a légi fuvarozók helyfoglalási és indulás-ellenőrzési rendszereiben saját kereskedelmi célokra tárolt információk</w:t>
      </w:r>
      <w:r w:rsidRPr="007C70B8">
        <w:t>ból állnak. A PNR-adatok feldolgozásáról szóló, harmadik országokkal kötött meglévő megállapodások bizonyították, hogy javíthatják a schengeni térség biztonságát. Ezek a megállapodások javítják a terrorizmus és a súlyos bűncselekmények – többek között a kábítószer-, tűzfegyver- és emberkereskedelem – megelőzését és felderítését az EU külső határain, valamint kockázatalapú, adatvezérelt megközelítést biztosítanak, amelyet a tagállamok kompenzációs intézkedésként alkalmazhatnak a schengeni térségen belüli bel</w:t>
      </w:r>
      <w:r w:rsidRPr="007C70B8">
        <w:t>ső határellenőrzések hiánya esetén.</w:t>
      </w:r>
    </w:p>
    <w:p w14:paraId="514423DD" w14:textId="77777777" w:rsidR="00E93B3F" w:rsidRPr="007C70B8" w:rsidRDefault="00E93B3F" w:rsidP="00E93B3F"/>
    <w:p w14:paraId="3E20A8AE" w14:textId="77777777" w:rsidR="00E93B3F" w:rsidRPr="007C70B8" w:rsidRDefault="00220E62" w:rsidP="00E93B3F">
      <w:r w:rsidRPr="007C70B8">
        <w:t>Bár Norvégia az (EU) 2016/679 rendelet (a továbbiakban: az általános adatvédelmi rendelet) értelmében nem minősül harmadik országnak, ez a jogi keret nem alkalmazandó a személyes adatoknak – köztük a PNR-adatoknak – a norvég bűnüldöző hatóságok által a bűncselekmények megelőzése, nyomozása, felderítése, a vádeljárás lefolytatása vagy büntetőjogi szankciók végrehajtása céljából végzett kezelésére. Ugyanakkor Norvégiára nézve kötelezőek azok az uniós jogi aktusok, amelyek a schengeni vívmányok rendelkezéseine</w:t>
      </w:r>
      <w:r w:rsidRPr="007C70B8">
        <w:t>k továbbfejlesztését képezik. Az (EU) 2016/680 irányelv(a továbbiakban: a PNR-irányelv) azonban nem képezi a schengeni vívmányok továbbfejlesztését, ezért Norvégia részt vesz e jogi aktus végrehajtásában.</w:t>
      </w:r>
    </w:p>
    <w:p w14:paraId="05F3FB6C" w14:textId="77777777" w:rsidR="00E93B3F" w:rsidRPr="007C70B8" w:rsidRDefault="00E93B3F" w:rsidP="00E93B3F"/>
    <w:p w14:paraId="7C011A66" w14:textId="77777777" w:rsidR="00E93B3F" w:rsidRPr="007C70B8" w:rsidRDefault="00220E62" w:rsidP="00E93B3F">
      <w:r w:rsidRPr="007C70B8">
        <w:t>A jelenlegi keret értelmében Norvégia nem fogadhatja és kezelheti jogszerűen a légi fuvarozók által az Unió és Norvégia között üzemeltetett légi járatokra vonatkozó PNR-adatokat. A Bizottság ezért azt ajánlotta, hogy 2023. szeptember 6-án kezdődjenek meg a megállapodásra irányuló tárgyalások. A Tanács 2024. március 4-én erre felhatalmazást adott, és a tárgyalások 2024. március 21-én megkezdődtek. A tárgyalások 2025. április 9-én hivatalosan lezárultak, és a Tanács 2025. szeptember 22-én elfogadta a megállap</w:t>
      </w:r>
      <w:r w:rsidRPr="007C70B8">
        <w:t>odást. A megállapodást Magnus Brunner biztos és Joakim Øren államtitkár 2025 októberében írta alá.</w:t>
      </w:r>
    </w:p>
    <w:p w14:paraId="515EB5C9" w14:textId="77777777" w:rsidR="00E93B3F" w:rsidRPr="007C70B8" w:rsidRDefault="00E93B3F" w:rsidP="00E93B3F"/>
    <w:p w14:paraId="3970CE3D" w14:textId="77777777" w:rsidR="00E93B3F" w:rsidRPr="007C70B8" w:rsidRDefault="00220E62" w:rsidP="00E93B3F">
      <w:r w:rsidRPr="007C70B8">
        <w:t>E megállapodás fő célja, hogy áthidalja a schengeni térségben fennálló biztonsági hiányosságokat, és ezáltal lehetővé tegye a légi fuvarozók számára a PNR-adatok Norvégiába, illetve Norvégiából történő továbbítását. A személyes adatok – köztük a PNR-adatok – továbbításához és kezeléséhez azonban szigorú korlátozásokra és hatékony biztosítékokra van szükség. Az európai adatvédelmi biztos 2025. július 24-i 16/2025. sz. véleménye szerint a megállapodásnak a PNR-adatok továbbítását és kezelését szabályozó rende</w:t>
      </w:r>
      <w:r w:rsidRPr="007C70B8">
        <w:t>lkezései kielégítőnek bizonyultak. E tekintetben a Bizottság 2026. január 28-án tájékoztatta az előadókat, megerősítve, hogy a megállapodás magas szintű normákat állapít meg nemcsak a biztonság, hanem a magánélet védelme és az adatvédelem tekintetében is.</w:t>
      </w:r>
    </w:p>
    <w:p w14:paraId="37A4DB6B" w14:textId="77777777" w:rsidR="00E93B3F" w:rsidRPr="007C70B8" w:rsidRDefault="00E93B3F" w:rsidP="00E93B3F"/>
    <w:p w14:paraId="4A8268DE" w14:textId="77777777" w:rsidR="00A55926" w:rsidRPr="007C70B8" w:rsidRDefault="00220E62" w:rsidP="00E93B3F">
      <w:r w:rsidRPr="007C70B8">
        <w:t>A fentiek fényében az előadó javasolja a Parlamentnek a tanácsi határozat szövegtervezetének támogatását.</w:t>
      </w:r>
    </w:p>
    <w:p w14:paraId="07FDF40E" w14:textId="77777777" w:rsidR="00B07F2D" w:rsidRPr="007C70B8" w:rsidRDefault="00B07F2D" w:rsidP="00822206">
      <w:pPr>
        <w:sectPr w:rsidR="00B07F2D" w:rsidRPr="007C70B8" w:rsidSect="00B07F2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48863AD" w14:textId="77777777" w:rsidR="00A55926" w:rsidRPr="007C70B8" w:rsidRDefault="00220E62" w:rsidP="00B07F2D">
      <w:pPr>
        <w:pStyle w:val="PageHeading"/>
      </w:pPr>
      <w:bookmarkStart w:id="7" w:name="_Toc222470800"/>
      <w:r w:rsidRPr="007C70B8">
        <w:lastRenderedPageBreak/>
        <w:t xml:space="preserve">MELLÉKLET: </w:t>
      </w:r>
      <w:bookmarkStart w:id="8" w:name="iEnd"/>
      <w:bookmarkEnd w:id="8"/>
      <w:r w:rsidRPr="007C70B8">
        <w:t>NYILATKOZAT AZ ÉSZREVÉTELEKRŐL</w:t>
      </w:r>
      <w:bookmarkEnd w:id="7"/>
    </w:p>
    <w:p w14:paraId="6F64AC3A" w14:textId="77777777" w:rsidR="00B07F2D" w:rsidRPr="007C70B8" w:rsidRDefault="00220E62" w:rsidP="00B07F2D">
      <w:r w:rsidRPr="007C70B8">
        <w:t>Az előadó kizárólagos felelősségi körében kijelenti, hogy jelentésébe nem foglalt bele a kötelező átláthatósági nyilvántartásról szóló intézményközi megállapodás</w:t>
      </w:r>
      <w:r w:rsidRPr="007C70B8">
        <w:rPr>
          <w:rStyle w:val="FootnoteReference"/>
        </w:rPr>
        <w:footnoteReference w:id="1"/>
      </w:r>
      <w:r w:rsidRPr="007C70B8">
        <w:t xml:space="preserve"> hatálya alá tartozó olyan érdekképviselőktől vagy harmadik országok hatóságainak – többek között ezen országok diplomáciai képviseleteinek és nagykövetségeinek – olyan képviselőitől kapott észrevételeket, akiket vagy amelyeket az eljárási szabályzat I. mellékletének 8. cikke értelmében fel kell tüntetni ebben a mellékletben.</w:t>
      </w:r>
    </w:p>
    <w:p w14:paraId="043018BF" w14:textId="77777777" w:rsidR="00B07F2D" w:rsidRPr="007C70B8" w:rsidRDefault="00B07F2D" w:rsidP="00822206"/>
    <w:sectPr w:rsidR="00B07F2D" w:rsidRPr="007C70B8" w:rsidSect="00B07F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205C5" w14:textId="77777777" w:rsidR="00220E62" w:rsidRPr="007C70B8" w:rsidRDefault="00220E62">
      <w:r w:rsidRPr="007C70B8">
        <w:separator/>
      </w:r>
    </w:p>
  </w:endnote>
  <w:endnote w:type="continuationSeparator" w:id="0">
    <w:p w14:paraId="69D5D756" w14:textId="77777777" w:rsidR="00220E62" w:rsidRPr="007C70B8" w:rsidRDefault="00220E62">
      <w:r w:rsidRPr="007C70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5E265" w14:textId="77777777" w:rsidR="007C70B8" w:rsidRPr="007C70B8" w:rsidRDefault="007C70B8" w:rsidP="007C70B8">
    <w:pPr>
      <w:pStyle w:val="EPFooter"/>
    </w:pPr>
    <w:r w:rsidRPr="007C70B8">
      <w:t>PE</w:t>
    </w:r>
    <w:r w:rsidRPr="007C70B8">
      <w:rPr>
        <w:rStyle w:val="HideTWBExt"/>
      </w:rPr>
      <w:t>&lt;NoPE&gt;</w:t>
    </w:r>
    <w:r w:rsidRPr="007C70B8">
      <w:t>784.331</w:t>
    </w:r>
    <w:r w:rsidRPr="007C70B8">
      <w:rPr>
        <w:rStyle w:val="HideTWBExt"/>
      </w:rPr>
      <w:t>&lt;/NoPE&gt;&lt;Version&gt;</w:t>
    </w:r>
    <w:r w:rsidRPr="007C70B8">
      <w:t>v01-00</w:t>
    </w:r>
    <w:r w:rsidRPr="007C70B8">
      <w:rPr>
        <w:rStyle w:val="HideTWBExt"/>
      </w:rPr>
      <w:t>&lt;/Version&gt;</w:t>
    </w:r>
    <w:r w:rsidRPr="007C70B8">
      <w:tab/>
    </w:r>
    <w:r w:rsidRPr="007C70B8">
      <w:fldChar w:fldCharType="begin"/>
    </w:r>
    <w:r w:rsidRPr="007C70B8">
      <w:instrText xml:space="preserve"> PAGE  \* MERGEFORMAT </w:instrText>
    </w:r>
    <w:r w:rsidRPr="007C70B8">
      <w:fldChar w:fldCharType="separate"/>
    </w:r>
    <w:r w:rsidRPr="007C70B8">
      <w:rPr>
        <w:noProof/>
      </w:rPr>
      <w:t>1</w:t>
    </w:r>
    <w:r w:rsidRPr="007C70B8">
      <w:fldChar w:fldCharType="end"/>
    </w:r>
    <w:r w:rsidRPr="007C70B8">
      <w:t>/</w:t>
    </w:r>
    <w:fldSimple w:instr=" NUMPAGES  \* MERGEFORMAT ">
      <w:r w:rsidRPr="007C70B8">
        <w:rPr>
          <w:noProof/>
        </w:rPr>
        <w:t>1</w:t>
      </w:r>
    </w:fldSimple>
    <w:r w:rsidRPr="007C70B8">
      <w:tab/>
    </w:r>
    <w:r w:rsidRPr="007C70B8">
      <w:rPr>
        <w:rStyle w:val="HideTWBExt"/>
      </w:rPr>
      <w:t>&lt;PathFdR&gt;</w:t>
    </w:r>
    <w:r w:rsidRPr="007C70B8">
      <w:t>PR\1336948HU.docx</w:t>
    </w:r>
    <w:r w:rsidRPr="007C70B8">
      <w:rPr>
        <w:rStyle w:val="HideTWBExt"/>
      </w:rPr>
      <w:t>&lt;/PathFdR&gt;</w:t>
    </w:r>
  </w:p>
  <w:p w14:paraId="7E8985B3" w14:textId="73EDD0C1" w:rsidR="0085501C" w:rsidRPr="007C70B8" w:rsidRDefault="007C70B8" w:rsidP="007C70B8">
    <w:pPr>
      <w:pStyle w:val="EPFooter2"/>
    </w:pPr>
    <w:r w:rsidRPr="007C70B8">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2A604" w14:textId="77777777" w:rsidR="007C70B8" w:rsidRPr="007C70B8" w:rsidRDefault="007C70B8" w:rsidP="007C70B8">
    <w:pPr>
      <w:pStyle w:val="EPFooter"/>
    </w:pPr>
    <w:r w:rsidRPr="007C70B8">
      <w:rPr>
        <w:rStyle w:val="HideTWBExt"/>
      </w:rPr>
      <w:t>&lt;PathFdR&gt;</w:t>
    </w:r>
    <w:r w:rsidRPr="007C70B8">
      <w:t>PR\1336948HU.docx</w:t>
    </w:r>
    <w:r w:rsidRPr="007C70B8">
      <w:rPr>
        <w:rStyle w:val="HideTWBExt"/>
      </w:rPr>
      <w:t>&lt;/PathFdR&gt;</w:t>
    </w:r>
    <w:r w:rsidRPr="007C70B8">
      <w:tab/>
    </w:r>
    <w:r w:rsidRPr="007C70B8">
      <w:fldChar w:fldCharType="begin"/>
    </w:r>
    <w:r w:rsidRPr="007C70B8">
      <w:instrText xml:space="preserve"> PAGE  \* MERGEFORMAT </w:instrText>
    </w:r>
    <w:r w:rsidRPr="007C70B8">
      <w:fldChar w:fldCharType="separate"/>
    </w:r>
    <w:r w:rsidRPr="007C70B8">
      <w:rPr>
        <w:noProof/>
      </w:rPr>
      <w:t>1</w:t>
    </w:r>
    <w:r w:rsidRPr="007C70B8">
      <w:fldChar w:fldCharType="end"/>
    </w:r>
    <w:r w:rsidRPr="007C70B8">
      <w:t>/</w:t>
    </w:r>
    <w:fldSimple w:instr=" NUMPAGES  \* MERGEFORMAT ">
      <w:r w:rsidRPr="007C70B8">
        <w:rPr>
          <w:noProof/>
        </w:rPr>
        <w:t>1</w:t>
      </w:r>
    </w:fldSimple>
    <w:r w:rsidRPr="007C70B8">
      <w:tab/>
      <w:t>PE</w:t>
    </w:r>
    <w:r w:rsidRPr="007C70B8">
      <w:rPr>
        <w:rStyle w:val="HideTWBExt"/>
      </w:rPr>
      <w:t>&lt;NoPE&gt;</w:t>
    </w:r>
    <w:r w:rsidRPr="007C70B8">
      <w:t>784.331</w:t>
    </w:r>
    <w:r w:rsidRPr="007C70B8">
      <w:rPr>
        <w:rStyle w:val="HideTWBExt"/>
      </w:rPr>
      <w:t>&lt;/NoPE&gt;&lt;Version&gt;</w:t>
    </w:r>
    <w:r w:rsidRPr="007C70B8">
      <w:t>v01-00</w:t>
    </w:r>
    <w:r w:rsidRPr="007C70B8">
      <w:rPr>
        <w:rStyle w:val="HideTWBExt"/>
      </w:rPr>
      <w:t>&lt;/Version&gt;</w:t>
    </w:r>
  </w:p>
  <w:p w14:paraId="7E089FB9" w14:textId="3E0DC3AF" w:rsidR="0085501C" w:rsidRPr="007C70B8" w:rsidRDefault="007C70B8" w:rsidP="007C70B8">
    <w:pPr>
      <w:pStyle w:val="EPFooter2"/>
    </w:pPr>
    <w:r w:rsidRPr="007C70B8">
      <w:tab/>
    </w:r>
    <w:r w:rsidRPr="007C70B8">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4131D" w14:textId="77777777" w:rsidR="007C70B8" w:rsidRPr="007C70B8" w:rsidRDefault="007C70B8" w:rsidP="007C70B8">
    <w:pPr>
      <w:pStyle w:val="EPFooter"/>
    </w:pPr>
    <w:r w:rsidRPr="007C70B8">
      <w:rPr>
        <w:rStyle w:val="HideTWBExt"/>
      </w:rPr>
      <w:t>&lt;PathFdR&gt;</w:t>
    </w:r>
    <w:r w:rsidRPr="007C70B8">
      <w:t>PR\1336948HU.docx</w:t>
    </w:r>
    <w:r w:rsidRPr="007C70B8">
      <w:rPr>
        <w:rStyle w:val="HideTWBExt"/>
      </w:rPr>
      <w:t>&lt;/PathFdR&gt;</w:t>
    </w:r>
    <w:r w:rsidRPr="007C70B8">
      <w:tab/>
    </w:r>
    <w:r w:rsidRPr="007C70B8">
      <w:tab/>
      <w:t>PE</w:t>
    </w:r>
    <w:r w:rsidRPr="007C70B8">
      <w:rPr>
        <w:rStyle w:val="HideTWBExt"/>
      </w:rPr>
      <w:t>&lt;NoPE&gt;</w:t>
    </w:r>
    <w:r w:rsidRPr="007C70B8">
      <w:t>784.331</w:t>
    </w:r>
    <w:r w:rsidRPr="007C70B8">
      <w:rPr>
        <w:rStyle w:val="HideTWBExt"/>
      </w:rPr>
      <w:t>&lt;/NoPE&gt;&lt;Version&gt;</w:t>
    </w:r>
    <w:r w:rsidRPr="007C70B8">
      <w:t>v01-00</w:t>
    </w:r>
    <w:r w:rsidRPr="007C70B8">
      <w:rPr>
        <w:rStyle w:val="HideTWBExt"/>
      </w:rPr>
      <w:t>&lt;/Version&gt;</w:t>
    </w:r>
  </w:p>
  <w:p w14:paraId="123FE615" w14:textId="4D7AD217" w:rsidR="0085501C" w:rsidRPr="007C70B8" w:rsidRDefault="007C70B8" w:rsidP="007C70B8">
    <w:pPr>
      <w:pStyle w:val="EPFooter2"/>
    </w:pPr>
    <w:r w:rsidRPr="007C70B8">
      <w:t>HU</w:t>
    </w:r>
    <w:r w:rsidRPr="007C70B8">
      <w:tab/>
    </w:r>
    <w:r w:rsidRPr="007C70B8">
      <w:rPr>
        <w:b w:val="0"/>
        <w:i/>
        <w:color w:val="C0C0C0"/>
        <w:sz w:val="22"/>
      </w:rPr>
      <w:t>Egyesülve a sokféleségben</w:t>
    </w:r>
    <w:r w:rsidRPr="007C70B8">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63BF2" w14:textId="77777777" w:rsidR="00B117C6" w:rsidRPr="007C70B8" w:rsidRDefault="00220E62">
      <w:r w:rsidRPr="007C70B8">
        <w:separator/>
      </w:r>
    </w:p>
  </w:footnote>
  <w:footnote w:type="continuationSeparator" w:id="0">
    <w:p w14:paraId="12DEECAB" w14:textId="77777777" w:rsidR="00B117C6" w:rsidRPr="007C70B8" w:rsidRDefault="00220E62">
      <w:r w:rsidRPr="007C70B8">
        <w:continuationSeparator/>
      </w:r>
    </w:p>
  </w:footnote>
  <w:footnote w:id="1">
    <w:p w14:paraId="75B4E6AD" w14:textId="77777777" w:rsidR="00B07F2D" w:rsidRPr="007C70B8" w:rsidRDefault="00220E62">
      <w:pPr>
        <w:pStyle w:val="FootnoteText"/>
      </w:pPr>
      <w:r w:rsidRPr="007C70B8">
        <w:rPr>
          <w:rStyle w:val="FootnoteReference"/>
        </w:rPr>
        <w:footnoteRef/>
      </w:r>
      <w:r w:rsidRPr="007C70B8">
        <w:t xml:space="preserve"> Intézményközi megállapodás (2021. május 20.) az Európai Parlament, az Európai Unió Tanácsa és az Európai Bizottság között a kötelező átláthatósági nyilvántartásról (HL L 207., 2021.6.11., 1. o., ELI: </w:t>
      </w:r>
      <w:hyperlink r:id="rId1" w:history="1">
        <w:r w:rsidRPr="007C70B8">
          <w:rPr>
            <w:rStyle w:val="Hyperlink"/>
          </w:rPr>
          <w:t>http://data.europa.eu/eli/agree_interinstit/2021/611/oj</w:t>
        </w:r>
      </w:hyperlink>
      <w:r w:rsidRPr="007C70B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9C7EE" w14:textId="77777777" w:rsidR="00220E62" w:rsidRDefault="00220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4801A" w14:textId="77777777" w:rsidR="00220E62" w:rsidRDefault="00220E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3032" w14:textId="77777777" w:rsidR="00220E62" w:rsidRDefault="00220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863908515">
    <w:abstractNumId w:val="9"/>
  </w:num>
  <w:num w:numId="2" w16cid:durableId="1311324778">
    <w:abstractNumId w:val="9"/>
  </w:num>
  <w:num w:numId="3" w16cid:durableId="240411805">
    <w:abstractNumId w:val="7"/>
  </w:num>
  <w:num w:numId="4" w16cid:durableId="192495898">
    <w:abstractNumId w:val="7"/>
  </w:num>
  <w:num w:numId="5" w16cid:durableId="907956975">
    <w:abstractNumId w:val="6"/>
  </w:num>
  <w:num w:numId="6" w16cid:durableId="1471746109">
    <w:abstractNumId w:val="6"/>
  </w:num>
  <w:num w:numId="7" w16cid:durableId="1616904470">
    <w:abstractNumId w:val="5"/>
  </w:num>
  <w:num w:numId="8" w16cid:durableId="1385787708">
    <w:abstractNumId w:val="5"/>
  </w:num>
  <w:num w:numId="9" w16cid:durableId="2097050972">
    <w:abstractNumId w:val="4"/>
  </w:num>
  <w:num w:numId="10" w16cid:durableId="1575360310">
    <w:abstractNumId w:val="4"/>
  </w:num>
  <w:num w:numId="11" w16cid:durableId="583539097">
    <w:abstractNumId w:val="8"/>
  </w:num>
  <w:num w:numId="12" w16cid:durableId="1924298834">
    <w:abstractNumId w:val="8"/>
  </w:num>
  <w:num w:numId="13" w16cid:durableId="1644847619">
    <w:abstractNumId w:val="3"/>
  </w:num>
  <w:num w:numId="14" w16cid:durableId="1340306349">
    <w:abstractNumId w:val="3"/>
  </w:num>
  <w:num w:numId="15" w16cid:durableId="411776207">
    <w:abstractNumId w:val="2"/>
  </w:num>
  <w:num w:numId="16" w16cid:durableId="1982299778">
    <w:abstractNumId w:val="2"/>
  </w:num>
  <w:num w:numId="17" w16cid:durableId="1491871113">
    <w:abstractNumId w:val="1"/>
  </w:num>
  <w:num w:numId="18" w16cid:durableId="1534536573">
    <w:abstractNumId w:val="1"/>
  </w:num>
  <w:num w:numId="19" w16cid:durableId="280769481">
    <w:abstractNumId w:val="0"/>
  </w:num>
  <w:num w:numId="20" w16cid:durableId="2022782651">
    <w:abstractNumId w:val="0"/>
  </w:num>
  <w:num w:numId="21" w16cid:durableId="587809324">
    <w:abstractNumId w:val="9"/>
  </w:num>
  <w:num w:numId="22" w16cid:durableId="1551261141">
    <w:abstractNumId w:val="7"/>
  </w:num>
  <w:num w:numId="23" w16cid:durableId="1661736556">
    <w:abstractNumId w:val="6"/>
  </w:num>
  <w:num w:numId="24" w16cid:durableId="386301469">
    <w:abstractNumId w:val="5"/>
  </w:num>
  <w:num w:numId="25" w16cid:durableId="1244951453">
    <w:abstractNumId w:val="4"/>
  </w:num>
  <w:num w:numId="26" w16cid:durableId="2058822331">
    <w:abstractNumId w:val="8"/>
  </w:num>
  <w:num w:numId="27" w16cid:durableId="1949005446">
    <w:abstractNumId w:val="3"/>
  </w:num>
  <w:num w:numId="28" w16cid:durableId="1011643203">
    <w:abstractNumId w:val="2"/>
  </w:num>
  <w:num w:numId="29" w16cid:durableId="1341663997">
    <w:abstractNumId w:val="1"/>
  </w:num>
  <w:num w:numId="30" w16cid:durableId="1348141862">
    <w:abstractNumId w:val="0"/>
  </w:num>
  <w:num w:numId="31" w16cid:durableId="1415935428">
    <w:abstractNumId w:val="9"/>
  </w:num>
  <w:num w:numId="32" w16cid:durableId="273901912">
    <w:abstractNumId w:val="7"/>
  </w:num>
  <w:num w:numId="33" w16cid:durableId="975836024">
    <w:abstractNumId w:val="6"/>
  </w:num>
  <w:num w:numId="34" w16cid:durableId="595557906">
    <w:abstractNumId w:val="5"/>
  </w:num>
  <w:num w:numId="35" w16cid:durableId="102118361">
    <w:abstractNumId w:val="4"/>
  </w:num>
  <w:num w:numId="36" w16cid:durableId="764038977">
    <w:abstractNumId w:val="8"/>
  </w:num>
  <w:num w:numId="37" w16cid:durableId="1313608132">
    <w:abstractNumId w:val="3"/>
  </w:num>
  <w:num w:numId="38" w16cid:durableId="562106988">
    <w:abstractNumId w:val="2"/>
  </w:num>
  <w:num w:numId="39" w16cid:durableId="1694648675">
    <w:abstractNumId w:val="1"/>
  </w:num>
  <w:num w:numId="40" w16cid:durableId="246434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GREEMENTMNU" w:val=" 1"/>
    <w:docVar w:name="AUTHORMFPMNU" w:val=" 1"/>
    <w:docVar w:name="CIT1MNU" w:val=" 4"/>
    <w:docVar w:name="CIT2MNU" w:val=" 4"/>
    <w:docVar w:name="CIT3MNU" w:val=" 4"/>
    <w:docVar w:name="COMKEY" w:val="LIBE"/>
    <w:docVar w:name="CONSENTMNU" w:val=" 1"/>
    <w:docVar w:name="CopyToNetwork" w:val="-1"/>
    <w:docVar w:name="DOCDT" w:val="05/02/2026"/>
    <w:docVar w:name="LastEditedSection" w:val=" 1"/>
    <w:docVar w:name="strDocTypeID" w:val="PR_NLE-AP_Agreement"/>
    <w:docVar w:name="strSubDir" w:val="1336"/>
    <w:docVar w:name="TITLEMNU" w:val=" 2"/>
    <w:docVar w:name="TXTAUTHOR" w:val="Jaroslav Bžoch"/>
    <w:docVar w:name="TXTLANGUE" w:val="EN"/>
    <w:docVar w:name="TXTLANGUEMIN" w:val="en"/>
    <w:docVar w:name="TXTNRC" w:val="0279/2025"/>
    <w:docVar w:name="TXTNRCOUNC" w:val="11280/2025"/>
    <w:docVar w:name="TXTNRNLE" w:val="2025/0145"/>
    <w:docVar w:name="TXTNRPE" w:val="784.331"/>
    <w:docVar w:name="TXTPEorAP" w:val="PE"/>
    <w:docVar w:name="TXTROUTE" w:val="PR\1336948EN.docx"/>
    <w:docVar w:name="TXTTITLE" w:val="on the conclusion, on behalf of the Union, of the Agreement between the European Union and the Kingdom of Norway on the transfer of passenger name record (PNR) data to prevent, detect, investigate and prosecute terrorist offences and serious crime"/>
    <w:docVar w:name="TXTVERSION" w:val="01-00"/>
  </w:docVars>
  <w:rsids>
    <w:rsidRoot w:val="00B117C6"/>
    <w:rsid w:val="00001D52"/>
    <w:rsid w:val="0000443F"/>
    <w:rsid w:val="000053E3"/>
    <w:rsid w:val="00016E55"/>
    <w:rsid w:val="0006167F"/>
    <w:rsid w:val="00061EFE"/>
    <w:rsid w:val="00095D8B"/>
    <w:rsid w:val="000A2F73"/>
    <w:rsid w:val="000B3AE2"/>
    <w:rsid w:val="000C123D"/>
    <w:rsid w:val="000D78AF"/>
    <w:rsid w:val="00180664"/>
    <w:rsid w:val="001874D8"/>
    <w:rsid w:val="001D02E3"/>
    <w:rsid w:val="001F7BBE"/>
    <w:rsid w:val="00206AC0"/>
    <w:rsid w:val="0021049A"/>
    <w:rsid w:val="00220E62"/>
    <w:rsid w:val="0022685A"/>
    <w:rsid w:val="002E2E20"/>
    <w:rsid w:val="002F5A83"/>
    <w:rsid w:val="003072BE"/>
    <w:rsid w:val="00337C92"/>
    <w:rsid w:val="00363B94"/>
    <w:rsid w:val="00393B15"/>
    <w:rsid w:val="003B598C"/>
    <w:rsid w:val="0040109B"/>
    <w:rsid w:val="004174FC"/>
    <w:rsid w:val="004468BE"/>
    <w:rsid w:val="00460BD6"/>
    <w:rsid w:val="004859B3"/>
    <w:rsid w:val="004A575E"/>
    <w:rsid w:val="004C083C"/>
    <w:rsid w:val="004E1650"/>
    <w:rsid w:val="005027B1"/>
    <w:rsid w:val="00503573"/>
    <w:rsid w:val="00514E30"/>
    <w:rsid w:val="0053367A"/>
    <w:rsid w:val="005438F6"/>
    <w:rsid w:val="00544D48"/>
    <w:rsid w:val="005877C0"/>
    <w:rsid w:val="005A6B14"/>
    <w:rsid w:val="005C779C"/>
    <w:rsid w:val="005D0B97"/>
    <w:rsid w:val="005E138D"/>
    <w:rsid w:val="005E6C18"/>
    <w:rsid w:val="005F0DD6"/>
    <w:rsid w:val="005F5D6C"/>
    <w:rsid w:val="006132CE"/>
    <w:rsid w:val="00613F2E"/>
    <w:rsid w:val="006A1A75"/>
    <w:rsid w:val="006A1E64"/>
    <w:rsid w:val="006A2CF5"/>
    <w:rsid w:val="006F1B6F"/>
    <w:rsid w:val="006F7132"/>
    <w:rsid w:val="00717061"/>
    <w:rsid w:val="00777A30"/>
    <w:rsid w:val="00791637"/>
    <w:rsid w:val="007C70B8"/>
    <w:rsid w:val="0080122F"/>
    <w:rsid w:val="00822206"/>
    <w:rsid w:val="008368CB"/>
    <w:rsid w:val="0085501C"/>
    <w:rsid w:val="00893FBD"/>
    <w:rsid w:val="008B75A4"/>
    <w:rsid w:val="008D23C6"/>
    <w:rsid w:val="008D3030"/>
    <w:rsid w:val="008E3848"/>
    <w:rsid w:val="00924EE0"/>
    <w:rsid w:val="0093018A"/>
    <w:rsid w:val="00933A40"/>
    <w:rsid w:val="00942265"/>
    <w:rsid w:val="009612AA"/>
    <w:rsid w:val="00997EE7"/>
    <w:rsid w:val="009E39A7"/>
    <w:rsid w:val="00A415B7"/>
    <w:rsid w:val="00A55926"/>
    <w:rsid w:val="00AD5D0C"/>
    <w:rsid w:val="00B07F2D"/>
    <w:rsid w:val="00B117C6"/>
    <w:rsid w:val="00B31D18"/>
    <w:rsid w:val="00B42885"/>
    <w:rsid w:val="00B50C20"/>
    <w:rsid w:val="00B6769C"/>
    <w:rsid w:val="00B75502"/>
    <w:rsid w:val="00B837B7"/>
    <w:rsid w:val="00BA4F74"/>
    <w:rsid w:val="00BB22CC"/>
    <w:rsid w:val="00BB41C8"/>
    <w:rsid w:val="00BE5E72"/>
    <w:rsid w:val="00BF0A0F"/>
    <w:rsid w:val="00BF2E15"/>
    <w:rsid w:val="00BF7F55"/>
    <w:rsid w:val="00C05DD8"/>
    <w:rsid w:val="00C15447"/>
    <w:rsid w:val="00C35D01"/>
    <w:rsid w:val="00C85D0F"/>
    <w:rsid w:val="00CB5651"/>
    <w:rsid w:val="00CC20CB"/>
    <w:rsid w:val="00CF44DF"/>
    <w:rsid w:val="00D04E0B"/>
    <w:rsid w:val="00D62DA0"/>
    <w:rsid w:val="00D6543C"/>
    <w:rsid w:val="00DF594D"/>
    <w:rsid w:val="00E14FEE"/>
    <w:rsid w:val="00E177C4"/>
    <w:rsid w:val="00E71368"/>
    <w:rsid w:val="00E93816"/>
    <w:rsid w:val="00E93B3F"/>
    <w:rsid w:val="00EA59ED"/>
    <w:rsid w:val="00EC6645"/>
    <w:rsid w:val="00EF48F2"/>
    <w:rsid w:val="00F04010"/>
    <w:rsid w:val="00FC0AEE"/>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25EBE"/>
  <w15:chartTrackingRefBased/>
  <w15:docId w15:val="{92B68A2E-7BF5-4A18-95EA-66241D05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A55926"/>
    <w:pPr>
      <w:tabs>
        <w:tab w:val="right" w:pos="454"/>
        <w:tab w:val="left" w:pos="737"/>
      </w:tabs>
      <w:ind w:left="737" w:hanging="737"/>
    </w:pPr>
    <w:rPr>
      <w:snapToGrid w:val="0"/>
      <w:sz w:val="18"/>
      <w:lang w:eastAsia="en-US"/>
    </w:rPr>
  </w:style>
  <w:style w:type="paragraph" w:customStyle="1" w:styleId="Lgendetitre">
    <w:name w:val="Légende titre"/>
    <w:basedOn w:val="Normal"/>
    <w:rsid w:val="00A55926"/>
    <w:pPr>
      <w:spacing w:before="240" w:after="240"/>
    </w:pPr>
    <w:rPr>
      <w:b/>
      <w:i/>
      <w:snapToGrid w:val="0"/>
      <w:lang w:eastAsia="en-US"/>
    </w:rPr>
  </w:style>
  <w:style w:type="paragraph" w:customStyle="1" w:styleId="Lgendestandard">
    <w:name w:val="Légende standard"/>
    <w:basedOn w:val="Normal"/>
    <w:rsid w:val="00A55926"/>
    <w:rPr>
      <w:sz w:val="18"/>
    </w:rPr>
  </w:style>
  <w:style w:type="paragraph" w:styleId="FootnoteText">
    <w:name w:val="footnote text"/>
    <w:basedOn w:val="Normal"/>
    <w:link w:val="FootnoteTextChar"/>
    <w:rsid w:val="00B07F2D"/>
    <w:rPr>
      <w:sz w:val="20"/>
    </w:rPr>
  </w:style>
  <w:style w:type="character" w:customStyle="1" w:styleId="FootnoteTextChar">
    <w:name w:val="Footnote Text Char"/>
    <w:basedOn w:val="DefaultParagraphFont"/>
    <w:link w:val="FootnoteText"/>
    <w:rsid w:val="00B07F2D"/>
  </w:style>
  <w:style w:type="character" w:styleId="FootnoteReference">
    <w:name w:val="footnote reference"/>
    <w:basedOn w:val="DefaultParagraphFont"/>
    <w:rsid w:val="00B07F2D"/>
    <w:rPr>
      <w:vertAlign w:val="superscript"/>
    </w:rPr>
  </w:style>
  <w:style w:type="character" w:styleId="Hyperlink">
    <w:name w:val="Hyperlink"/>
    <w:basedOn w:val="DefaultParagraphFont"/>
    <w:rsid w:val="00B07F2D"/>
    <w:rPr>
      <w:color w:val="0563C1" w:themeColor="hyperlink"/>
      <w:u w:val="single"/>
    </w:rPr>
  </w:style>
  <w:style w:type="character" w:styleId="UnresolvedMention">
    <w:name w:val="Unresolved Mention"/>
    <w:basedOn w:val="DefaultParagraphFont"/>
    <w:uiPriority w:val="99"/>
    <w:semiHidden/>
    <w:unhideWhenUsed/>
    <w:rsid w:val="00B07F2D"/>
    <w:rPr>
      <w:color w:val="605E5C"/>
      <w:shd w:val="clear" w:color="auto" w:fill="E1DFDD"/>
    </w:rPr>
  </w:style>
  <w:style w:type="paragraph" w:styleId="Footer">
    <w:name w:val="footer"/>
    <w:basedOn w:val="Normal"/>
    <w:link w:val="FooterChar"/>
    <w:semiHidden/>
    <w:rsid w:val="00B07F2D"/>
    <w:pPr>
      <w:tabs>
        <w:tab w:val="center" w:pos="4513"/>
        <w:tab w:val="right" w:pos="9026"/>
      </w:tabs>
    </w:pPr>
  </w:style>
  <w:style w:type="character" w:customStyle="1" w:styleId="FooterChar">
    <w:name w:val="Footer Char"/>
    <w:basedOn w:val="DefaultParagraphFont"/>
    <w:link w:val="Footer"/>
    <w:semiHidden/>
    <w:rsid w:val="00B07F2D"/>
    <w:rPr>
      <w:sz w:val="24"/>
    </w:rPr>
  </w:style>
  <w:style w:type="paragraph" w:styleId="Revision">
    <w:name w:val="Revision"/>
    <w:hidden/>
    <w:uiPriority w:val="99"/>
    <w:semiHidden/>
    <w:rsid w:val="0093018A"/>
    <w:rPr>
      <w:sz w:val="24"/>
    </w:rPr>
  </w:style>
  <w:style w:type="character" w:styleId="CommentReference">
    <w:name w:val="annotation reference"/>
    <w:basedOn w:val="DefaultParagraphFont"/>
    <w:rsid w:val="005E138D"/>
    <w:rPr>
      <w:sz w:val="16"/>
      <w:szCs w:val="16"/>
    </w:rPr>
  </w:style>
  <w:style w:type="paragraph" w:styleId="CommentText">
    <w:name w:val="annotation text"/>
    <w:basedOn w:val="Normal"/>
    <w:link w:val="CommentTextChar"/>
    <w:rsid w:val="005E138D"/>
    <w:rPr>
      <w:sz w:val="20"/>
    </w:rPr>
  </w:style>
  <w:style w:type="character" w:customStyle="1" w:styleId="CommentTextChar">
    <w:name w:val="Comment Text Char"/>
    <w:basedOn w:val="DefaultParagraphFont"/>
    <w:link w:val="CommentText"/>
    <w:rsid w:val="005E138D"/>
  </w:style>
  <w:style w:type="paragraph" w:styleId="CommentSubject">
    <w:name w:val="annotation subject"/>
    <w:basedOn w:val="CommentText"/>
    <w:next w:val="CommentText"/>
    <w:link w:val="CommentSubjectChar"/>
    <w:semiHidden/>
    <w:unhideWhenUsed/>
    <w:rsid w:val="005E138D"/>
    <w:rPr>
      <w:b/>
      <w:bCs/>
    </w:rPr>
  </w:style>
  <w:style w:type="character" w:customStyle="1" w:styleId="CommentSubjectChar">
    <w:name w:val="Comment Subject Char"/>
    <w:basedOn w:val="CommentTextChar"/>
    <w:link w:val="CommentSubject"/>
    <w:semiHidden/>
    <w:rsid w:val="005E138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8CFCE4-4C56-492C-8A66-45D618C03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855</Words>
  <Characters>6308</Characters>
  <Application>Microsoft Office Word</Application>
  <DocSecurity>0</DocSecurity>
  <Lines>140</Lines>
  <Paragraphs>54</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MCGAHAN Justine</dc:creator>
  <cp:lastModifiedBy>TAKACS Tamas</cp:lastModifiedBy>
  <cp:revision>2</cp:revision>
  <cp:lastPrinted>2002-12-11T09:25:00Z</cp:lastPrinted>
  <dcterms:created xsi:type="dcterms:W3CDTF">2026-02-20T08:06:00Z</dcterms:created>
  <dcterms:modified xsi:type="dcterms:W3CDTF">2026-02-20T08:06:00Z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1336948</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\\eiciBRUpr1\pdocep$\DocEP\TRANSFIL\EN\PR_NLE-AP_Agreement.EN(04/10/2024 11:39:01)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PR\1336948HU.docx</vt:lpwstr>
  </property>
  <property fmtid="{D5CDD505-2E9C-101B-9397-08002B2CF9AE}" pid="10" name="LastEdited with">
    <vt:lpwstr>10.2.1 Build [20260110]</vt:lpwstr>
  </property>
  <property fmtid="{D5CDD505-2E9C-101B-9397-08002B2CF9AE}" pid="11" name="PE number">
    <vt:lpwstr>784.331</vt:lpwstr>
  </property>
  <property fmtid="{D5CDD505-2E9C-101B-9397-08002B2CF9AE}" pid="12" name="SDLStudio">
    <vt:lpwstr/>
  </property>
  <property fmtid="{D5CDD505-2E9C-101B-9397-08002B2CF9AE}" pid="13" name="SendToEpades">
    <vt:lpwstr>OK - 2026/02/06 11:47</vt:lpwstr>
  </property>
  <property fmtid="{D5CDD505-2E9C-101B-9397-08002B2CF9AE}" pid="14" name="Bookout">
    <vt:lpwstr>OK - 2026/02/20 09:06</vt:lpwstr>
  </property>
</Properties>
</file>