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395FA0" w14:paraId="75BABEF8" w14:textId="77777777" w:rsidTr="00C85D0F">
        <w:trPr>
          <w:trHeight w:hRule="exact" w:val="1418"/>
        </w:trPr>
        <w:tc>
          <w:tcPr>
            <w:tcW w:w="6804" w:type="dxa"/>
            <w:shd w:val="clear" w:color="auto" w:fill="auto"/>
            <w:vAlign w:val="center"/>
          </w:tcPr>
          <w:p w14:paraId="713C9403" w14:textId="77777777" w:rsidR="00C05DD8" w:rsidRPr="00395FA0" w:rsidRDefault="00C84D69" w:rsidP="00C85D0F">
            <w:pPr>
              <w:pStyle w:val="EPName"/>
            </w:pPr>
            <w:r>
              <w:t>Eiropas Parlaments</w:t>
            </w:r>
          </w:p>
          <w:p w14:paraId="3C072E27" w14:textId="001790B6" w:rsidR="00C05DD8" w:rsidRPr="00395FA0" w:rsidRDefault="00395FA0" w:rsidP="00C85D0F">
            <w:pPr>
              <w:pStyle w:val="EPTerm"/>
            </w:pPr>
            <w:r>
              <w:t>2024-2029</w:t>
            </w:r>
          </w:p>
        </w:tc>
        <w:tc>
          <w:tcPr>
            <w:tcW w:w="2268" w:type="dxa"/>
            <w:shd w:val="clear" w:color="auto" w:fill="auto"/>
          </w:tcPr>
          <w:p w14:paraId="7A8259C4" w14:textId="77777777" w:rsidR="00C05DD8" w:rsidRPr="00395FA0" w:rsidRDefault="00C05DD8" w:rsidP="00C85D0F">
            <w:pPr>
              <w:pStyle w:val="EPLogo"/>
            </w:pPr>
            <w:r w:rsidRPr="00395FA0">
              <w:rPr>
                <w:noProof/>
                <w:lang w:eastAsia="ja-JP"/>
              </w:rPr>
              <w:drawing>
                <wp:inline distT="0" distB="0" distL="0" distR="0" wp14:anchorId="6726D334" wp14:editId="5781694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3D1939" w14:textId="77777777" w:rsidR="009612AA" w:rsidRPr="00395FA0" w:rsidRDefault="009612AA" w:rsidP="009612AA">
      <w:pPr>
        <w:pStyle w:val="LineTop"/>
      </w:pPr>
    </w:p>
    <w:p w14:paraId="7AFD4D2F" w14:textId="0F9F1F95" w:rsidR="009612AA" w:rsidRPr="00395FA0" w:rsidRDefault="009612AA" w:rsidP="009612AA">
      <w:pPr>
        <w:pStyle w:val="EPBody"/>
      </w:pPr>
      <w:r>
        <w:rPr>
          <w:rStyle w:val="HideTWBExt"/>
        </w:rPr>
        <w:t>&lt;</w:t>
      </w:r>
      <w:r>
        <w:rPr>
          <w:rStyle w:val="HideTWBExt"/>
          <w:i w:val="0"/>
        </w:rPr>
        <w:t>Commission</w:t>
      </w:r>
      <w:r>
        <w:rPr>
          <w:rStyle w:val="HideTWBExt"/>
        </w:rPr>
        <w:t>&gt;</w:t>
      </w:r>
      <w:r>
        <w:rPr>
          <w:rStyle w:val="HideTWBInt"/>
        </w:rPr>
        <w:t>{LIBE}</w:t>
      </w:r>
      <w:r>
        <w:t>Pilsoņu brīvību, tieslietu un iekšlietu komiteja</w:t>
      </w:r>
      <w:r>
        <w:rPr>
          <w:rStyle w:val="HideTWBExt"/>
        </w:rPr>
        <w:t>&lt;/</w:t>
      </w:r>
      <w:r>
        <w:rPr>
          <w:rStyle w:val="HideTWBExt"/>
          <w:i w:val="0"/>
        </w:rPr>
        <w:t>Commission</w:t>
      </w:r>
      <w:r>
        <w:rPr>
          <w:rStyle w:val="HideTWBExt"/>
        </w:rPr>
        <w:t>&gt;</w:t>
      </w:r>
    </w:p>
    <w:p w14:paraId="62870E17" w14:textId="77777777" w:rsidR="009612AA" w:rsidRPr="00395FA0" w:rsidRDefault="009612AA" w:rsidP="009612AA">
      <w:pPr>
        <w:pStyle w:val="LineBottom"/>
      </w:pPr>
    </w:p>
    <w:p w14:paraId="723478AC" w14:textId="55201ABE" w:rsidR="00363B94" w:rsidRPr="00395FA0" w:rsidRDefault="00363B94">
      <w:pPr>
        <w:pStyle w:val="CoverReference"/>
      </w:pPr>
      <w:r>
        <w:rPr>
          <w:rStyle w:val="HideTWBExt"/>
          <w:b w:val="0"/>
        </w:rPr>
        <w:t>&lt;RefProc&gt;</w:t>
      </w:r>
      <w:r>
        <w:t>2025/0145</w:t>
      </w:r>
      <w:r>
        <w:rPr>
          <w:rStyle w:val="HideTWBExt"/>
          <w:b w:val="0"/>
        </w:rPr>
        <w:t>&lt;/RefProc&gt;&lt;RefTypeProc&gt;</w:t>
      </w:r>
      <w:r>
        <w:t>(NLE)</w:t>
      </w:r>
      <w:r>
        <w:rPr>
          <w:rStyle w:val="HideTWBExt"/>
          <w:b w:val="0"/>
        </w:rPr>
        <w:t>&lt;/RefTypeProc&gt;</w:t>
      </w:r>
    </w:p>
    <w:p w14:paraId="62064309" w14:textId="334474EE" w:rsidR="00363B94" w:rsidRPr="00395FA0" w:rsidRDefault="00363B94">
      <w:pPr>
        <w:pStyle w:val="CoverDate"/>
      </w:pPr>
      <w:r>
        <w:rPr>
          <w:rStyle w:val="HideTWBExt"/>
        </w:rPr>
        <w:t>&lt;Date&gt;</w:t>
      </w:r>
      <w:r>
        <w:rPr>
          <w:rStyle w:val="HideTWBInt"/>
        </w:rPr>
        <w:t>{05/02/2026}</w:t>
      </w:r>
      <w:r>
        <w:t>5.2.2026</w:t>
      </w:r>
      <w:r>
        <w:rPr>
          <w:rStyle w:val="HideTWBExt"/>
        </w:rPr>
        <w:t>&lt;/Date&gt;</w:t>
      </w:r>
    </w:p>
    <w:p w14:paraId="2546A77B" w14:textId="77777777" w:rsidR="00363B94" w:rsidRPr="00395FA0" w:rsidRDefault="00363B94">
      <w:pPr>
        <w:pStyle w:val="CoverDocType"/>
      </w:pPr>
      <w:r>
        <w:rPr>
          <w:rStyle w:val="HideTWBExt"/>
          <w:b w:val="0"/>
        </w:rPr>
        <w:t>&lt;RefProcLect&gt;</w:t>
      </w:r>
      <w:r>
        <w:t>***</w:t>
      </w:r>
      <w:r>
        <w:rPr>
          <w:rStyle w:val="HideTWBExt"/>
          <w:b w:val="0"/>
        </w:rPr>
        <w:t>&lt;/RefProcLect&gt;</w:t>
      </w:r>
    </w:p>
    <w:p w14:paraId="2293F326" w14:textId="77777777" w:rsidR="00363B94" w:rsidRPr="00395FA0" w:rsidRDefault="00363B94">
      <w:pPr>
        <w:pStyle w:val="CoverDocType24a"/>
      </w:pPr>
      <w:r>
        <w:rPr>
          <w:rStyle w:val="HideTWBExt"/>
          <w:b w:val="0"/>
        </w:rPr>
        <w:t>&lt;TitreType&gt;</w:t>
      </w:r>
      <w:r>
        <w:t>IETEIKUMA PROJEKTS</w:t>
      </w:r>
      <w:r>
        <w:rPr>
          <w:rStyle w:val="HideTWBExt"/>
          <w:b w:val="0"/>
        </w:rPr>
        <w:t>&lt;/TitreType&gt;</w:t>
      </w:r>
    </w:p>
    <w:p w14:paraId="20E3CE00" w14:textId="47413E1C" w:rsidR="00363B94" w:rsidRPr="00395FA0" w:rsidRDefault="00363B94">
      <w:pPr>
        <w:pStyle w:val="CoverNormal"/>
      </w:pPr>
      <w:r>
        <w:rPr>
          <w:rStyle w:val="HideTWBExt"/>
        </w:rPr>
        <w:t>&lt;Titre&gt;</w:t>
      </w:r>
      <w:r>
        <w:t>par projektu Padomes lēmumam par to, lai Savienības vārdā noslēgtu Nolīgumu starp Eiropas Savienību un Norvēģijas Karalisti par pasažieru datu reģistra (PDR) datu pārsūtīšanu nolūkā novērst, atklāt, izmeklēt teroristu nodarījumus un smagus noziegumus un saukt pie atbildības par tiem</w:t>
      </w:r>
      <w:r>
        <w:rPr>
          <w:rStyle w:val="HideTWBExt"/>
        </w:rPr>
        <w:t>&lt;/Titre&gt;</w:t>
      </w:r>
    </w:p>
    <w:p w14:paraId="5E629DA1" w14:textId="7B43DA70" w:rsidR="00363B94" w:rsidRPr="00395FA0" w:rsidRDefault="00395FA0">
      <w:pPr>
        <w:pStyle w:val="CoverNormal24a"/>
      </w:pPr>
      <w:r>
        <w:rPr>
          <w:rStyle w:val="HideTWBExt"/>
        </w:rPr>
        <w:t>&lt;DocRef&gt;</w:t>
      </w:r>
      <w:r>
        <w:t>(11280/2025 – C10</w:t>
      </w:r>
      <w:r>
        <w:noBreakHyphen/>
        <w:t>0279/2025 – 2025/0145(NLE))</w:t>
      </w:r>
      <w:r>
        <w:rPr>
          <w:rStyle w:val="HideTWBExt"/>
        </w:rPr>
        <w:t>&lt;/DocRef&gt;</w:t>
      </w:r>
    </w:p>
    <w:p w14:paraId="08461C35" w14:textId="13A42CA6" w:rsidR="00363B94" w:rsidRPr="00395FA0" w:rsidRDefault="00363B94">
      <w:pPr>
        <w:pStyle w:val="CoverNormal24a"/>
      </w:pPr>
      <w:r>
        <w:rPr>
          <w:rStyle w:val="HideTWBExt"/>
        </w:rPr>
        <w:t>&lt;Commission&gt;</w:t>
      </w:r>
      <w:r>
        <w:rPr>
          <w:rStyle w:val="HideTWBInt"/>
        </w:rPr>
        <w:t>{LIBE}</w:t>
      </w:r>
      <w:r>
        <w:t>Pilsoņu brīvību, tieslietu un iekšlietu komiteja</w:t>
      </w:r>
      <w:r>
        <w:rPr>
          <w:rStyle w:val="HideTWBExt"/>
        </w:rPr>
        <w:t>&lt;/Commission&gt;</w:t>
      </w:r>
    </w:p>
    <w:p w14:paraId="04B4D441" w14:textId="4014E494" w:rsidR="00363B94" w:rsidRPr="00395FA0" w:rsidRDefault="00395FA0">
      <w:pPr>
        <w:pStyle w:val="CoverNormal24a"/>
      </w:pPr>
      <w:r>
        <w:t xml:space="preserve">Referents: </w:t>
      </w:r>
      <w:r>
        <w:rPr>
          <w:rStyle w:val="HideTWBExt"/>
        </w:rPr>
        <w:t>&lt;Depute&gt;</w:t>
      </w:r>
      <w:r>
        <w:rPr>
          <w:i/>
        </w:rPr>
        <w:t>Jaroslav Bžoch</w:t>
      </w:r>
      <w:r>
        <w:rPr>
          <w:rStyle w:val="HideTWBExt"/>
        </w:rPr>
        <w:t>&lt;/Depute&gt;</w:t>
      </w:r>
    </w:p>
    <w:p w14:paraId="283F8187" w14:textId="77777777" w:rsidR="00B42885" w:rsidRPr="00395FA0" w:rsidRDefault="00B42885" w:rsidP="00B42885">
      <w:pPr>
        <w:pStyle w:val="CoverNormal"/>
      </w:pPr>
    </w:p>
    <w:p w14:paraId="5B8C94B1" w14:textId="75DFAACF" w:rsidR="00395FA0" w:rsidRPr="00395FA0" w:rsidRDefault="00363B94" w:rsidP="00016E55">
      <w:r>
        <w:br w:type="page"/>
      </w:r>
      <w:fldSimple w:instr=" TITLE  \* MERGEFORMAT ">
        <w:r w:rsidR="0024130F">
          <w:t>PR_NLE-AP_Agreement</w:t>
        </w:r>
      </w:fldSimple>
    </w:p>
    <w:p w14:paraId="3B312C28" w14:textId="77777777" w:rsidR="00395FA0" w:rsidRPr="00395FA0" w:rsidRDefault="00395FA0" w:rsidP="00016E55"/>
    <w:p w14:paraId="6877DCE9" w14:textId="77777777" w:rsidR="00395FA0" w:rsidRPr="00395FA0" w:rsidRDefault="00395FA0"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95FA0" w:rsidRPr="00395FA0" w14:paraId="3CF09600" w14:textId="77777777">
        <w:tc>
          <w:tcPr>
            <w:tcW w:w="5811" w:type="dxa"/>
          </w:tcPr>
          <w:p w14:paraId="5962C370" w14:textId="77777777" w:rsidR="00395FA0" w:rsidRPr="00395FA0" w:rsidRDefault="00395FA0" w:rsidP="00016E55">
            <w:pPr>
              <w:pStyle w:val="Lgendetitre"/>
            </w:pPr>
            <w:r>
              <w:t>Izmantoto apzīmējumu skaidrojums</w:t>
            </w:r>
          </w:p>
        </w:tc>
      </w:tr>
      <w:tr w:rsidR="00395FA0" w:rsidRPr="00395FA0" w14:paraId="5A19F846" w14:textId="77777777" w:rsidTr="00477EA7">
        <w:trPr>
          <w:cantSplit/>
          <w:trHeight w:val="1807"/>
        </w:trPr>
        <w:tc>
          <w:tcPr>
            <w:tcW w:w="5811" w:type="dxa"/>
            <w:tcBorders>
              <w:bottom w:val="single" w:sz="4" w:space="0" w:color="auto"/>
            </w:tcBorders>
          </w:tcPr>
          <w:p w14:paraId="74B75091" w14:textId="77777777" w:rsidR="00395FA0" w:rsidRPr="00395FA0" w:rsidRDefault="00395FA0" w:rsidP="00F86E34">
            <w:pPr>
              <w:pStyle w:val="Lgendesigne"/>
            </w:pPr>
            <w:r>
              <w:tab/>
              <w:t>*</w:t>
            </w:r>
            <w:r>
              <w:tab/>
              <w:t>Apspriežu procedūra</w:t>
            </w:r>
          </w:p>
          <w:p w14:paraId="379AD153" w14:textId="77777777" w:rsidR="00395FA0" w:rsidRPr="00395FA0" w:rsidRDefault="00395FA0" w:rsidP="00F86E34">
            <w:pPr>
              <w:pStyle w:val="Lgendesigne"/>
            </w:pPr>
            <w:r>
              <w:tab/>
              <w:t>***</w:t>
            </w:r>
            <w:r>
              <w:tab/>
              <w:t>Piekrišanas procedūra</w:t>
            </w:r>
          </w:p>
          <w:p w14:paraId="495D205D" w14:textId="77777777" w:rsidR="00395FA0" w:rsidRPr="00395FA0" w:rsidRDefault="00395FA0" w:rsidP="00F86E34">
            <w:pPr>
              <w:pStyle w:val="Lgendesigne"/>
            </w:pPr>
            <w:r>
              <w:tab/>
              <w:t>***I</w:t>
            </w:r>
            <w:r>
              <w:tab/>
              <w:t>Parastā likumdošanas procedūra (pirmais lasījums)</w:t>
            </w:r>
          </w:p>
          <w:p w14:paraId="14AF6701" w14:textId="77777777" w:rsidR="00395FA0" w:rsidRPr="00395FA0" w:rsidRDefault="00395FA0" w:rsidP="00F86E34">
            <w:pPr>
              <w:pStyle w:val="Lgendesigne"/>
            </w:pPr>
            <w:r>
              <w:tab/>
              <w:t>***II</w:t>
            </w:r>
            <w:r>
              <w:tab/>
              <w:t>Parastā likumdošanas procedūra (otrais lasījums)</w:t>
            </w:r>
          </w:p>
          <w:p w14:paraId="280F5553" w14:textId="77777777" w:rsidR="00395FA0" w:rsidRPr="00395FA0" w:rsidRDefault="00395FA0" w:rsidP="00F86E34">
            <w:pPr>
              <w:pStyle w:val="Lgendesigne"/>
            </w:pPr>
            <w:r>
              <w:tab/>
              <w:t>***III</w:t>
            </w:r>
            <w:r>
              <w:tab/>
              <w:t>Parastā likumdošanas procedūra (trešais lasījums)</w:t>
            </w:r>
          </w:p>
          <w:p w14:paraId="6F492153" w14:textId="77777777" w:rsidR="00395FA0" w:rsidRPr="00395FA0" w:rsidRDefault="00395FA0" w:rsidP="00F86E34">
            <w:pPr>
              <w:pStyle w:val="Lgendestandard"/>
            </w:pPr>
          </w:p>
          <w:p w14:paraId="639054A0" w14:textId="77777777" w:rsidR="00395FA0" w:rsidRPr="00395FA0" w:rsidRDefault="00395FA0" w:rsidP="00F86E34">
            <w:pPr>
              <w:pStyle w:val="Lgendestandard"/>
            </w:pPr>
            <w:r>
              <w:t>(Norādītā procedūra pamatojas uz akta projektā ierosināto juridisko pamatu.)</w:t>
            </w:r>
          </w:p>
          <w:p w14:paraId="330B787C" w14:textId="77777777" w:rsidR="00395FA0" w:rsidRPr="00395FA0" w:rsidRDefault="00395FA0" w:rsidP="00477EA7">
            <w:pPr>
              <w:pStyle w:val="Lgendestandard"/>
            </w:pPr>
          </w:p>
        </w:tc>
      </w:tr>
    </w:tbl>
    <w:p w14:paraId="31567D5B" w14:textId="77777777" w:rsidR="00395FA0" w:rsidRPr="00395FA0" w:rsidRDefault="00395FA0" w:rsidP="00016E55"/>
    <w:p w14:paraId="2758EF90" w14:textId="5E13E36C" w:rsidR="00363B94" w:rsidRPr="00395FA0" w:rsidRDefault="00363B94" w:rsidP="00613F2E">
      <w:pPr>
        <w:widowControl/>
        <w:tabs>
          <w:tab w:val="center" w:pos="4677"/>
        </w:tabs>
      </w:pPr>
    </w:p>
    <w:p w14:paraId="19EB20C9" w14:textId="77777777" w:rsidR="00363B94" w:rsidRPr="00395FA0" w:rsidRDefault="00363B94">
      <w:pPr>
        <w:pStyle w:val="TOCHeading"/>
      </w:pPr>
      <w:r>
        <w:br w:type="page"/>
      </w:r>
      <w:r>
        <w:lastRenderedPageBreak/>
        <w:t>SATURA RĀDĪTĀJS</w:t>
      </w:r>
    </w:p>
    <w:p w14:paraId="6C557EB5" w14:textId="77777777" w:rsidR="00363B94" w:rsidRPr="00395FA0" w:rsidRDefault="00C84D69">
      <w:pPr>
        <w:pStyle w:val="TOCPage"/>
      </w:pPr>
      <w:r>
        <w:t>Lpp.</w:t>
      </w:r>
    </w:p>
    <w:p w14:paraId="261D755C" w14:textId="01F17A78" w:rsidR="0024130F" w:rsidRDefault="00EF48F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395FA0">
        <w:fldChar w:fldCharType="begin"/>
      </w:r>
      <w:r w:rsidRPr="00395FA0">
        <w:instrText xml:space="preserve"> TOC \t "PageHeading</w:instrText>
      </w:r>
      <w:r w:rsidR="00395FA0" w:rsidRPr="00395FA0">
        <w:instrText>;</w:instrText>
      </w:r>
      <w:r w:rsidRPr="00395FA0">
        <w:instrText xml:space="preserve">1" </w:instrText>
      </w:r>
      <w:r w:rsidRPr="00395FA0">
        <w:fldChar w:fldCharType="separate"/>
      </w:r>
      <w:r w:rsidR="0024130F">
        <w:rPr>
          <w:noProof/>
        </w:rPr>
        <w:t>EIROPAS PARLAMENTA NORMATĪVĀS REZOLŪCIJAS PROJEKTS</w:t>
      </w:r>
      <w:r w:rsidR="0024130F">
        <w:rPr>
          <w:noProof/>
        </w:rPr>
        <w:tab/>
      </w:r>
      <w:r w:rsidR="0024130F">
        <w:rPr>
          <w:noProof/>
        </w:rPr>
        <w:fldChar w:fldCharType="begin"/>
      </w:r>
      <w:r w:rsidR="0024130F">
        <w:rPr>
          <w:noProof/>
        </w:rPr>
        <w:instrText xml:space="preserve"> PAGEREF _Toc221881789 \h </w:instrText>
      </w:r>
      <w:r w:rsidR="0024130F">
        <w:rPr>
          <w:noProof/>
        </w:rPr>
      </w:r>
      <w:r w:rsidR="0024130F">
        <w:rPr>
          <w:noProof/>
        </w:rPr>
        <w:fldChar w:fldCharType="separate"/>
      </w:r>
      <w:r w:rsidR="0024130F">
        <w:rPr>
          <w:noProof/>
        </w:rPr>
        <w:t>5</w:t>
      </w:r>
      <w:r w:rsidR="0024130F">
        <w:rPr>
          <w:noProof/>
        </w:rPr>
        <w:fldChar w:fldCharType="end"/>
      </w:r>
    </w:p>
    <w:p w14:paraId="532C0264" w14:textId="54B4D9EA" w:rsidR="0024130F" w:rsidRDefault="0024130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PASKAIDROJUMS</w:t>
      </w:r>
      <w:r>
        <w:rPr>
          <w:noProof/>
        </w:rPr>
        <w:tab/>
      </w:r>
      <w:r>
        <w:rPr>
          <w:noProof/>
        </w:rPr>
        <w:fldChar w:fldCharType="begin"/>
      </w:r>
      <w:r>
        <w:rPr>
          <w:noProof/>
        </w:rPr>
        <w:instrText xml:space="preserve"> PAGEREF _Toc221881790 \h </w:instrText>
      </w:r>
      <w:r>
        <w:rPr>
          <w:noProof/>
        </w:rPr>
      </w:r>
      <w:r>
        <w:rPr>
          <w:noProof/>
        </w:rPr>
        <w:fldChar w:fldCharType="separate"/>
      </w:r>
      <w:r>
        <w:rPr>
          <w:noProof/>
        </w:rPr>
        <w:t>6</w:t>
      </w:r>
      <w:r>
        <w:rPr>
          <w:noProof/>
        </w:rPr>
        <w:fldChar w:fldCharType="end"/>
      </w:r>
    </w:p>
    <w:p w14:paraId="5A64AA77" w14:textId="061FF286" w:rsidR="0024130F" w:rsidRDefault="0024130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PIELIKUMS. PIENESUMA DEKLARĀCIJA</w:t>
      </w:r>
      <w:r>
        <w:rPr>
          <w:noProof/>
        </w:rPr>
        <w:tab/>
      </w:r>
      <w:r>
        <w:rPr>
          <w:noProof/>
        </w:rPr>
        <w:fldChar w:fldCharType="begin"/>
      </w:r>
      <w:r>
        <w:rPr>
          <w:noProof/>
        </w:rPr>
        <w:instrText xml:space="preserve"> PAGEREF _Toc221881791 \h </w:instrText>
      </w:r>
      <w:r>
        <w:rPr>
          <w:noProof/>
        </w:rPr>
      </w:r>
      <w:r>
        <w:rPr>
          <w:noProof/>
        </w:rPr>
        <w:fldChar w:fldCharType="separate"/>
      </w:r>
      <w:r>
        <w:rPr>
          <w:noProof/>
        </w:rPr>
        <w:t>7</w:t>
      </w:r>
      <w:r>
        <w:rPr>
          <w:noProof/>
        </w:rPr>
        <w:fldChar w:fldCharType="end"/>
      </w:r>
    </w:p>
    <w:p w14:paraId="1909A1D8" w14:textId="62EC85E6" w:rsidR="004E1650" w:rsidRPr="00395FA0" w:rsidRDefault="00EF48F2" w:rsidP="00F04010">
      <w:r w:rsidRPr="00395FA0">
        <w:fldChar w:fldCharType="end"/>
      </w:r>
    </w:p>
    <w:p w14:paraId="2192A101" w14:textId="77777777" w:rsidR="00363B94" w:rsidRPr="00395FA0" w:rsidRDefault="00363B94" w:rsidP="0006167F">
      <w:pPr>
        <w:pStyle w:val="PageHeading"/>
      </w:pPr>
      <w:r>
        <w:br w:type="page"/>
      </w:r>
      <w:r>
        <w:lastRenderedPageBreak/>
        <w:br w:type="page"/>
      </w:r>
      <w:bookmarkStart w:id="0" w:name="_Toc221881789"/>
      <w:r>
        <w:lastRenderedPageBreak/>
        <w:t>EIROPAS PARLAMENTA NORMATĪVĀS REZOLŪCIJAS PROJEKTS</w:t>
      </w:r>
      <w:bookmarkEnd w:id="0"/>
    </w:p>
    <w:p w14:paraId="50FC12B8" w14:textId="77777777" w:rsidR="00395FA0" w:rsidRPr="00395FA0" w:rsidRDefault="00395FA0" w:rsidP="00395FA0">
      <w:pPr>
        <w:pStyle w:val="NormalBold"/>
      </w:pPr>
      <w:r>
        <w:rPr>
          <w:bCs/>
        </w:rPr>
        <w:t xml:space="preserve">par </w:t>
      </w:r>
      <w:bookmarkStart w:id="1" w:name="_Hlk221277797"/>
      <w:r>
        <w:rPr>
          <w:bCs/>
        </w:rPr>
        <w:t>projektu Padomes lēmumam par to, lai Savienības vārdā noslēgtu Nolīgumu starp Eiropas Savienību un Norvēģijas Karalisti par pasažieru datu reģistra (PDR) datu pārsūtīšanu nolūkā novērst, atklāt, izmeklēt teroristu nodarījumus un smagus noziegumus un saukt pie atbildības par tiem</w:t>
      </w:r>
      <w:bookmarkEnd w:id="1"/>
    </w:p>
    <w:p w14:paraId="16472289" w14:textId="7166FD80" w:rsidR="00363B94" w:rsidRPr="00395FA0" w:rsidRDefault="00395FA0" w:rsidP="00395FA0">
      <w:pPr>
        <w:pStyle w:val="NormalBold12a"/>
      </w:pPr>
      <w:r>
        <w:t>(</w:t>
      </w:r>
      <w:bookmarkStart w:id="2" w:name="_Hlk221278502"/>
      <w:r>
        <w:t xml:space="preserve">11280/2025 </w:t>
      </w:r>
      <w:bookmarkEnd w:id="2"/>
      <w:r>
        <w:t>– C10</w:t>
      </w:r>
      <w:r>
        <w:noBreakHyphen/>
        <w:t xml:space="preserve">0279/2025 – </w:t>
      </w:r>
      <w:bookmarkStart w:id="3" w:name="_Hlk221279129"/>
      <w:r>
        <w:t>2025/0145(NLE</w:t>
      </w:r>
      <w:bookmarkEnd w:id="3"/>
      <w:r>
        <w:t>))</w:t>
      </w:r>
    </w:p>
    <w:p w14:paraId="42049732" w14:textId="77777777" w:rsidR="00363B94" w:rsidRPr="00395FA0" w:rsidRDefault="00C84D69" w:rsidP="00893FBD">
      <w:pPr>
        <w:pStyle w:val="NormalBold"/>
      </w:pPr>
      <w:r>
        <w:t>(Piekrišana)</w:t>
      </w:r>
    </w:p>
    <w:p w14:paraId="5FA6E44D" w14:textId="77777777" w:rsidR="00395FA0" w:rsidRPr="00395FA0" w:rsidRDefault="00C84D69" w:rsidP="00395FA0">
      <w:pPr>
        <w:pStyle w:val="EPComma"/>
      </w:pPr>
      <w:r>
        <w:rPr>
          <w:i/>
        </w:rPr>
        <w:t>Eiropas Parlaments</w:t>
      </w:r>
      <w:r>
        <w:t>,</w:t>
      </w:r>
    </w:p>
    <w:p w14:paraId="20913CC2" w14:textId="77777777" w:rsidR="00395FA0" w:rsidRPr="00395FA0" w:rsidRDefault="00395FA0" w:rsidP="00395FA0">
      <w:pPr>
        <w:pStyle w:val="NormalHanging12a"/>
      </w:pPr>
      <w:r>
        <w:t>–</w:t>
      </w:r>
      <w:r>
        <w:tab/>
        <w:t>ņemot vērā Padomes lēmuma projektu (11280/2025),</w:t>
      </w:r>
    </w:p>
    <w:p w14:paraId="7ED4AFB2" w14:textId="77777777" w:rsidR="00395FA0" w:rsidRPr="00395FA0" w:rsidRDefault="00395FA0" w:rsidP="00395FA0">
      <w:pPr>
        <w:pStyle w:val="NormalHanging12a"/>
      </w:pPr>
      <w:r>
        <w:t>–</w:t>
      </w:r>
      <w:r>
        <w:tab/>
        <w:t>ņemot vērā Nolīgumu starp Eiropas Savienību un Norvēģijas Karalisti par pasažieru datu reģistra (PDR) datu pārsūtīšanu nolūkā novērst, atklāt, izmeklēt teroristu nodarījumus un smagus noziegumus un saukt pie atbildības par tiem (</w:t>
      </w:r>
      <w:bookmarkStart w:id="4" w:name="_Hlk221278511"/>
      <w:r>
        <w:t>11281/2025</w:t>
      </w:r>
      <w:bookmarkEnd w:id="4"/>
      <w:r>
        <w:t>),</w:t>
      </w:r>
    </w:p>
    <w:p w14:paraId="40653BF8" w14:textId="77777777" w:rsidR="00395FA0" w:rsidRPr="00395FA0" w:rsidRDefault="00395FA0" w:rsidP="00395FA0">
      <w:pPr>
        <w:pStyle w:val="NormalHanging12a"/>
      </w:pPr>
      <w:r>
        <w:t>–</w:t>
      </w:r>
      <w:r>
        <w:tab/>
        <w:t>ņemot vērā piekrišanas pieprasījumu, ko Padome ir iesniegusi saskaņā ar Līguma par Eiropas Savienības darbību 16. panta 2. punktu, 87. panta 2. punkta a) apakšpunktu un 218. panta 6. punkta otrās daļas a) apakšpunktu (C10</w:t>
      </w:r>
      <w:r>
        <w:noBreakHyphen/>
        <w:t>0279/2025),</w:t>
      </w:r>
    </w:p>
    <w:p w14:paraId="06BA8020" w14:textId="77777777" w:rsidR="00395FA0" w:rsidRPr="00395FA0" w:rsidRDefault="00395FA0" w:rsidP="00395FA0">
      <w:pPr>
        <w:pStyle w:val="NormalHanging12a"/>
      </w:pPr>
      <w:r>
        <w:t>–</w:t>
      </w:r>
      <w:r>
        <w:tab/>
        <w:t>ņemot vērā Reglamenta 107. panta 1. un 4. punktu un 117. panta 7. punktu,</w:t>
      </w:r>
    </w:p>
    <w:p w14:paraId="3BD1F5BC" w14:textId="77777777" w:rsidR="00395FA0" w:rsidRPr="00395FA0" w:rsidRDefault="00395FA0" w:rsidP="00395FA0">
      <w:pPr>
        <w:pStyle w:val="NormalHanging12a"/>
      </w:pPr>
      <w:r>
        <w:t>–</w:t>
      </w:r>
      <w:r>
        <w:tab/>
        <w:t>ņemot vērā Pilsoņu brīvību, tieslietu un iekšlietu komitejas ieteikumu (A10</w:t>
      </w:r>
      <w:r>
        <w:noBreakHyphen/>
        <w:t>/2026),</w:t>
      </w:r>
    </w:p>
    <w:p w14:paraId="00CD0A49" w14:textId="77777777" w:rsidR="00395FA0" w:rsidRPr="00395FA0" w:rsidRDefault="00395FA0" w:rsidP="00395FA0">
      <w:pPr>
        <w:pStyle w:val="NormalHanging12a"/>
      </w:pPr>
      <w:r>
        <w:t>1.</w:t>
      </w:r>
      <w:r>
        <w:tab/>
        <w:t>sniedz piekrišanu nolīguma slēgšanai;</w:t>
      </w:r>
    </w:p>
    <w:p w14:paraId="105AE19E" w14:textId="78CD7435" w:rsidR="00395FA0" w:rsidRPr="00395FA0" w:rsidRDefault="00395FA0" w:rsidP="00395FA0">
      <w:pPr>
        <w:pStyle w:val="EPComma"/>
        <w:ind w:left="567" w:hanging="567"/>
      </w:pPr>
      <w:r>
        <w:t>2.</w:t>
      </w:r>
      <w:r>
        <w:tab/>
        <w:t>uzdod priekšsēdētājai Parlamenta nostāju nosūtīt Padomei, Komisijai, dalībvalstu valdībām un parlamentiem, kā arī Norvēģijas Karalistes valdībai un parlamentam.</w:t>
      </w:r>
    </w:p>
    <w:p w14:paraId="7CF0075E" w14:textId="77777777" w:rsidR="00395FA0" w:rsidRPr="00395FA0" w:rsidRDefault="00395FA0">
      <w:pPr>
        <w:widowControl/>
      </w:pPr>
      <w:r>
        <w:br w:type="page"/>
      </w:r>
    </w:p>
    <w:p w14:paraId="7C2C2C7B" w14:textId="77777777" w:rsidR="00395FA0" w:rsidRPr="00395FA0" w:rsidRDefault="00395FA0" w:rsidP="00395FA0">
      <w:pPr>
        <w:pStyle w:val="PageHeading"/>
      </w:pPr>
      <w:bookmarkStart w:id="5" w:name="_Toc221283072"/>
      <w:bookmarkStart w:id="6" w:name="_Toc221881790"/>
      <w:r>
        <w:lastRenderedPageBreak/>
        <w:t>PASKAIDROJUMS</w:t>
      </w:r>
      <w:bookmarkEnd w:id="5"/>
      <w:bookmarkEnd w:id="6"/>
    </w:p>
    <w:p w14:paraId="45B36BC9" w14:textId="77777777" w:rsidR="00395FA0" w:rsidRPr="00395FA0" w:rsidRDefault="00395FA0" w:rsidP="00395FA0">
      <w:r>
        <w:t>Ierosinātā Padomes lēmuma mērķis ir apstiprināt Nolīgumu starp Eiropas Savienību un Norvēģijas Karalisti (“Norvēģija”) par pasažieru datu reģistra (PDR) datu pārsūtīšanu nolūkā novērst, atklāt, izmeklēt teroristu nodarījumus un smagus noziegumus un saukt pie atbildības par tiem (“nolīgums”).</w:t>
      </w:r>
    </w:p>
    <w:p w14:paraId="0F3AD6AA" w14:textId="77777777" w:rsidR="00395FA0" w:rsidRPr="00395FA0" w:rsidRDefault="00395FA0" w:rsidP="00395FA0"/>
    <w:p w14:paraId="5F49E6A9" w14:textId="77777777" w:rsidR="00395FA0" w:rsidRPr="00395FA0" w:rsidRDefault="00395FA0" w:rsidP="00395FA0">
      <w:r>
        <w:t>Norvēģijai un ES dalībvalstīm, kas ir Šengenas konvencijas līgumslēdzējas puses, ir kopīga atbildība nodrošināt iekšējo drošību kopējā telpā bez kontroles pie iekšējām robežām, tostarp apmainoties ar attiecīgu informāciju. Pasažieru datu reģistra (PDR) dati ir informācija, ko pasažieri sniedz rezervācijas un reģistrācijas procesu laikā un ko gaisa pārvadātāji savās rezervācijas un izlidošanas kontroles sistēmās vāc un glabā savām komerciālajām vajadzībām. Spēkā esošie nolīgumi ar trešām valstīm par PDR datu apstrādi ir apliecinājuši, ka tie var uzlabot drošību Šengenas zonā. Šādi nolīgumi palīdz uzlabot terorisma un smagu noziegumu, tostarp narkotiku, šaujamieroču un cilvēku tirdzniecības, novēršanu un atklāšanu pie ES ārējām robežām, kā arī paredz uz risku un datiem balstītu pieeju, ko dalībvalstis var izmantot, lai kompensētu iekšējās robežkontroles neesamību Šengenas zonā.</w:t>
      </w:r>
    </w:p>
    <w:p w14:paraId="3122D65C" w14:textId="77777777" w:rsidR="00395FA0" w:rsidRPr="00395FA0" w:rsidRDefault="00395FA0" w:rsidP="00395FA0"/>
    <w:p w14:paraId="20864FA8" w14:textId="77777777" w:rsidR="00395FA0" w:rsidRPr="00395FA0" w:rsidRDefault="00395FA0" w:rsidP="00395FA0">
      <w:r>
        <w:t xml:space="preserve">Lai gan Norvēģija netiek uzskatīta par trešo valsti saskaņā ar Regulu 2016/679 (“VDAR”), šis tiesiskais regulējums neattiecas uz personas datu, tostarp PDR datu, apstrādi, ko Norvēģijas tiesībaizsardzības iestādes veic, lai novērstu, izmeklētu un atklātu noziedzīgus nodarījumus, sauktu pie atbildības par tiem vai izpildītu kriminālsodus. Vienlaikus Norvēģijai ir saistoši Savienības tiesību akti, ar kuriem pilnveido Šengenas </w:t>
      </w:r>
      <w:r>
        <w:rPr>
          <w:i/>
          <w:iCs/>
        </w:rPr>
        <w:t>acquis</w:t>
      </w:r>
      <w:r>
        <w:t xml:space="preserve"> noteikumus. Taču Direktīva (ES) 2016/680 (“PDR direktīva”) Šengenas </w:t>
      </w:r>
      <w:r>
        <w:rPr>
          <w:i/>
          <w:iCs/>
        </w:rPr>
        <w:t>acquis</w:t>
      </w:r>
      <w:r>
        <w:t xml:space="preserve"> noteikumus nepilnveido, līdz ar to Norvēģija nepiedalās šā tiesību akta īstenošanā.</w:t>
      </w:r>
    </w:p>
    <w:p w14:paraId="5BAA9767" w14:textId="77777777" w:rsidR="00395FA0" w:rsidRPr="00395FA0" w:rsidRDefault="00395FA0" w:rsidP="00395FA0"/>
    <w:p w14:paraId="3A7F2D2D" w14:textId="77777777" w:rsidR="00395FA0" w:rsidRPr="00395FA0" w:rsidRDefault="00395FA0" w:rsidP="00395FA0">
      <w:r>
        <w:t xml:space="preserve">Saskaņā ar pašreizējo regulējumu Norvēģija nedrīkst likumīgi saņemt un apstrādāt PDR datus par lidojumiem, ko gaisa pārvadātāji veic starp Savienību un Norvēģiju. Tāpēc Komisija 2023. gada 6. septembrī ieteica sākt sarunas par nolīgumu. Padome 2024. gada 4. martā sniedza atļauju un sarunas sākās 2024. gada 21. martā. Sarunas tika oficiāli noslēgtas 2025. gada 9. aprīlī, un Padome nolīgumu pieņēma 2025. gada 22. septembrī. Nolīgumu 2025. gada oktobrī parakstīja komisārs </w:t>
      </w:r>
      <w:r>
        <w:rPr>
          <w:i/>
          <w:iCs/>
        </w:rPr>
        <w:t>Magnus Brunner</w:t>
      </w:r>
      <w:r>
        <w:t xml:space="preserve"> un valsts sekretārs </w:t>
      </w:r>
      <w:r>
        <w:rPr>
          <w:i/>
          <w:iCs/>
        </w:rPr>
        <w:t>Joakim Øren</w:t>
      </w:r>
      <w:r>
        <w:t>.</w:t>
      </w:r>
    </w:p>
    <w:p w14:paraId="3BF4DA42" w14:textId="77777777" w:rsidR="00395FA0" w:rsidRPr="00395FA0" w:rsidRDefault="00395FA0" w:rsidP="00395FA0"/>
    <w:p w14:paraId="3B65F7AF" w14:textId="77777777" w:rsidR="00395FA0" w:rsidRPr="00395FA0" w:rsidRDefault="00395FA0" w:rsidP="00395FA0">
      <w:r>
        <w:t>Šā nolīguma galvenais mērķis ir novērst nepilnības drošības jomā Šengenas zonā, tādējādi ļaujot Savienības un Norvēģijas gaisa pārvadātājiem apmainīties ar PDR datiem. Tomēr personas datu, tostarp PDR datu, nosūtīšanai un apstrādei ir jāpiemēro stingri ierobežojumi un efektīvi aizsardzības pasākumi. Saskaņā ar Eiropas Datu aizsardzības uzraudzītāja 2025. gada 24. jūlija Atzinumu 16/2025 nolīguma noteikumi, kas reglamentē PDR datu nosūtīšanu un apstrādi, ir atzīti par apmierinošiem. Šajā sakarībā Komisija 2026. gada 28. janvārī informēja referentus, apstiprinot, ka nolīgums nosaka augstus standartus ne tikai drošības, bet arī privātuma un datu aizsardzības jomā.</w:t>
      </w:r>
    </w:p>
    <w:p w14:paraId="51DBC905" w14:textId="77777777" w:rsidR="00395FA0" w:rsidRPr="00395FA0" w:rsidRDefault="00395FA0" w:rsidP="00395FA0"/>
    <w:p w14:paraId="77BB937D" w14:textId="77777777" w:rsidR="00395FA0" w:rsidRPr="00395FA0" w:rsidRDefault="00395FA0" w:rsidP="00395FA0">
      <w:r>
        <w:t>Ņemot to vērā, referents iesaka Parlamentam apstiprināt Padomes lēmuma teksta projektu.</w:t>
      </w:r>
    </w:p>
    <w:p w14:paraId="721617F8" w14:textId="77777777" w:rsidR="00395FA0" w:rsidRPr="00395FA0" w:rsidRDefault="00395FA0" w:rsidP="00395FA0">
      <w:pPr>
        <w:sectPr w:rsidR="00395FA0" w:rsidRPr="00395FA0" w:rsidSect="00395FA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54A28525" w14:textId="77777777" w:rsidR="00395FA0" w:rsidRPr="00395FA0" w:rsidRDefault="00395FA0" w:rsidP="00395FA0">
      <w:pPr>
        <w:pStyle w:val="PageHeading"/>
      </w:pPr>
      <w:bookmarkStart w:id="7" w:name="_Toc221283073"/>
      <w:bookmarkStart w:id="8" w:name="_Toc221881791"/>
      <w:r>
        <w:lastRenderedPageBreak/>
        <w:t xml:space="preserve">PIELIKUMS. </w:t>
      </w:r>
      <w:bookmarkStart w:id="9" w:name="iEnd"/>
      <w:bookmarkEnd w:id="9"/>
      <w:r>
        <w:t>PIENESUMA DEKLARĀCIJA</w:t>
      </w:r>
      <w:bookmarkEnd w:id="7"/>
      <w:bookmarkEnd w:id="8"/>
    </w:p>
    <w:p w14:paraId="79DAC69D" w14:textId="77777777" w:rsidR="00395FA0" w:rsidRPr="00395FA0" w:rsidRDefault="00395FA0" w:rsidP="00395FA0">
      <w:r>
        <w:t>Referents, pilnībā uzņemoties visu atbildību, apliecina, ka viņš savā ziņojumā nav iekļāvis pienesumu no interešu pārstāvjiem, uz kuriem attiecas Iestāžu nolīgums par obligātu pārredzamības reģistru</w:t>
      </w:r>
      <w:r w:rsidRPr="00395FA0">
        <w:rPr>
          <w:rStyle w:val="FootnoteReference"/>
        </w:rPr>
        <w:footnoteReference w:id="1"/>
      </w:r>
      <w:r>
        <w:t>, vai no trešo valstu publisko iestāžu, tostarp to diplomātisko pārstāvniecību un vēstniecību, pārstāvjiem, kas būtu jānorāda šajā pielikumā saskaņā ar Reglamenta I pielikuma 8. pantu.</w:t>
      </w:r>
    </w:p>
    <w:p w14:paraId="59025DA2" w14:textId="77777777" w:rsidR="00395FA0" w:rsidRPr="00395FA0" w:rsidRDefault="00395FA0" w:rsidP="00395FA0"/>
    <w:p w14:paraId="098E2F7C" w14:textId="77777777" w:rsidR="00363B94" w:rsidRPr="00395FA0" w:rsidRDefault="00363B94" w:rsidP="00395FA0">
      <w:pPr>
        <w:ind w:left="567" w:hanging="567"/>
      </w:pPr>
    </w:p>
    <w:sectPr w:rsidR="00363B94" w:rsidRPr="00395FA0" w:rsidSect="00395FA0">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21A5E" w14:textId="77777777" w:rsidR="00C84D69" w:rsidRPr="00395FA0" w:rsidRDefault="00C84D69">
      <w:r w:rsidRPr="00395FA0">
        <w:separator/>
      </w:r>
    </w:p>
  </w:endnote>
  <w:endnote w:type="continuationSeparator" w:id="0">
    <w:p w14:paraId="063DD961" w14:textId="77777777" w:rsidR="00C84D69" w:rsidRPr="00395FA0" w:rsidRDefault="00C84D69">
      <w:r w:rsidRPr="00395F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C87C0" w14:textId="77777777" w:rsidR="00395FA0" w:rsidRPr="00395FA0" w:rsidRDefault="00395FA0" w:rsidP="00395FA0">
    <w:pPr>
      <w:pStyle w:val="EPFooter"/>
    </w:pPr>
    <w:r w:rsidRPr="00395FA0">
      <w:t>PE</w:t>
    </w:r>
    <w:r w:rsidRPr="00395FA0">
      <w:rPr>
        <w:rStyle w:val="HideTWBExt"/>
      </w:rPr>
      <w:t>&lt;NoPE&gt;</w:t>
    </w:r>
    <w:r w:rsidRPr="00395FA0">
      <w:t>784.331</w:t>
    </w:r>
    <w:r w:rsidRPr="00395FA0">
      <w:rPr>
        <w:rStyle w:val="HideTWBExt"/>
      </w:rPr>
      <w:t>&lt;/NoPE&gt;&lt;Version&gt;</w:t>
    </w:r>
    <w:r w:rsidRPr="00395FA0">
      <w:t>v01-00</w:t>
    </w:r>
    <w:r w:rsidRPr="00395FA0">
      <w:rPr>
        <w:rStyle w:val="HideTWBExt"/>
      </w:rPr>
      <w:t>&lt;/Version&gt;</w:t>
    </w:r>
    <w:r w:rsidRPr="00395FA0">
      <w:tab/>
    </w:r>
    <w:r w:rsidRPr="00395FA0">
      <w:fldChar w:fldCharType="begin"/>
    </w:r>
    <w:r w:rsidRPr="00395FA0">
      <w:instrText xml:space="preserve"> PAGE  \* MERGEFORMAT </w:instrText>
    </w:r>
    <w:r w:rsidRPr="00395FA0">
      <w:fldChar w:fldCharType="separate"/>
    </w:r>
    <w:r w:rsidRPr="00395FA0">
      <w:rPr>
        <w:noProof/>
      </w:rPr>
      <w:t>4</w:t>
    </w:r>
    <w:r w:rsidRPr="00395FA0">
      <w:fldChar w:fldCharType="end"/>
    </w:r>
    <w:r w:rsidRPr="00395FA0">
      <w:t>/</w:t>
    </w:r>
    <w:r w:rsidR="0024130F">
      <w:fldChar w:fldCharType="begin"/>
    </w:r>
    <w:r w:rsidR="0024130F">
      <w:instrText xml:space="preserve"> NUMPAGES  \* MERGEFORMAT </w:instrText>
    </w:r>
    <w:r w:rsidR="0024130F">
      <w:fldChar w:fldCharType="separate"/>
    </w:r>
    <w:r w:rsidRPr="00395FA0">
      <w:rPr>
        <w:noProof/>
      </w:rPr>
      <w:t>7</w:t>
    </w:r>
    <w:r w:rsidR="0024130F">
      <w:rPr>
        <w:noProof/>
      </w:rPr>
      <w:fldChar w:fldCharType="end"/>
    </w:r>
    <w:r w:rsidRPr="00395FA0">
      <w:tab/>
    </w:r>
    <w:r w:rsidRPr="00395FA0">
      <w:rPr>
        <w:rStyle w:val="HideTWBExt"/>
      </w:rPr>
      <w:t>&lt;PathFdR&gt;</w:t>
    </w:r>
    <w:r w:rsidRPr="00395FA0">
      <w:t>PR\1336948LV.docx</w:t>
    </w:r>
    <w:r w:rsidRPr="00395FA0">
      <w:rPr>
        <w:rStyle w:val="HideTWBExt"/>
      </w:rPr>
      <w:t>&lt;/PathFdR&gt;</w:t>
    </w:r>
  </w:p>
  <w:p w14:paraId="279137CD" w14:textId="57013069" w:rsidR="00395FA0" w:rsidRPr="00395FA0" w:rsidRDefault="00395FA0" w:rsidP="00395FA0">
    <w:pPr>
      <w:pStyle w:val="EPFooter2"/>
    </w:pPr>
    <w:r w:rsidRPr="00395FA0">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DC1DC" w14:textId="77777777" w:rsidR="00395FA0" w:rsidRPr="00395FA0" w:rsidRDefault="00395FA0" w:rsidP="00395FA0">
    <w:pPr>
      <w:pStyle w:val="EPFooter"/>
    </w:pPr>
    <w:r w:rsidRPr="00395FA0">
      <w:rPr>
        <w:rStyle w:val="HideTWBExt"/>
      </w:rPr>
      <w:t>&lt;PathFdR&gt;</w:t>
    </w:r>
    <w:r w:rsidRPr="00395FA0">
      <w:t>PR\1336948LV.docx</w:t>
    </w:r>
    <w:r w:rsidRPr="00395FA0">
      <w:rPr>
        <w:rStyle w:val="HideTWBExt"/>
      </w:rPr>
      <w:t>&lt;/PathFdR&gt;</w:t>
    </w:r>
    <w:r w:rsidRPr="00395FA0">
      <w:tab/>
    </w:r>
    <w:r w:rsidRPr="00395FA0">
      <w:fldChar w:fldCharType="begin"/>
    </w:r>
    <w:r w:rsidRPr="00395FA0">
      <w:instrText xml:space="preserve"> PAGE  \* MERGEFORMAT </w:instrText>
    </w:r>
    <w:r w:rsidRPr="00395FA0">
      <w:fldChar w:fldCharType="separate"/>
    </w:r>
    <w:r w:rsidRPr="00395FA0">
      <w:rPr>
        <w:noProof/>
      </w:rPr>
      <w:t>3</w:t>
    </w:r>
    <w:r w:rsidRPr="00395FA0">
      <w:fldChar w:fldCharType="end"/>
    </w:r>
    <w:r w:rsidRPr="00395FA0">
      <w:t>/</w:t>
    </w:r>
    <w:r w:rsidR="0024130F">
      <w:fldChar w:fldCharType="begin"/>
    </w:r>
    <w:r w:rsidR="0024130F">
      <w:instrText xml:space="preserve"> NUMPAGES  \* MERGEFORMAT </w:instrText>
    </w:r>
    <w:r w:rsidR="0024130F">
      <w:fldChar w:fldCharType="separate"/>
    </w:r>
    <w:r w:rsidRPr="00395FA0">
      <w:rPr>
        <w:noProof/>
      </w:rPr>
      <w:t>7</w:t>
    </w:r>
    <w:r w:rsidR="0024130F">
      <w:rPr>
        <w:noProof/>
      </w:rPr>
      <w:fldChar w:fldCharType="end"/>
    </w:r>
    <w:r w:rsidRPr="00395FA0">
      <w:tab/>
      <w:t>PE</w:t>
    </w:r>
    <w:r w:rsidRPr="00395FA0">
      <w:rPr>
        <w:rStyle w:val="HideTWBExt"/>
      </w:rPr>
      <w:t>&lt;NoPE&gt;</w:t>
    </w:r>
    <w:r w:rsidRPr="00395FA0">
      <w:t>784.331</w:t>
    </w:r>
    <w:r w:rsidRPr="00395FA0">
      <w:rPr>
        <w:rStyle w:val="HideTWBExt"/>
      </w:rPr>
      <w:t>&lt;/NoPE&gt;&lt;Version&gt;</w:t>
    </w:r>
    <w:r w:rsidRPr="00395FA0">
      <w:t>v01-00</w:t>
    </w:r>
    <w:r w:rsidRPr="00395FA0">
      <w:rPr>
        <w:rStyle w:val="HideTWBExt"/>
      </w:rPr>
      <w:t>&lt;/Version&gt;</w:t>
    </w:r>
  </w:p>
  <w:p w14:paraId="40749087" w14:textId="2A2DA4D5" w:rsidR="00395FA0" w:rsidRPr="00395FA0" w:rsidRDefault="00395FA0" w:rsidP="00395FA0">
    <w:pPr>
      <w:pStyle w:val="EPFooter2"/>
    </w:pPr>
    <w:r w:rsidRPr="00395FA0">
      <w:tab/>
    </w:r>
    <w:r w:rsidRPr="00395FA0">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8D4CD" w14:textId="77777777" w:rsidR="00395FA0" w:rsidRPr="00395FA0" w:rsidRDefault="00395FA0" w:rsidP="00395FA0">
    <w:pPr>
      <w:pStyle w:val="EPFooter"/>
    </w:pPr>
    <w:r w:rsidRPr="00395FA0">
      <w:rPr>
        <w:rStyle w:val="HideTWBExt"/>
      </w:rPr>
      <w:t>&lt;PathFdR&gt;</w:t>
    </w:r>
    <w:r w:rsidRPr="00395FA0">
      <w:t>PR\1336948LV.docx</w:t>
    </w:r>
    <w:r w:rsidRPr="00395FA0">
      <w:rPr>
        <w:rStyle w:val="HideTWBExt"/>
      </w:rPr>
      <w:t>&lt;/PathFdR&gt;</w:t>
    </w:r>
    <w:r w:rsidRPr="00395FA0">
      <w:tab/>
    </w:r>
    <w:r w:rsidRPr="00395FA0">
      <w:tab/>
      <w:t>PE</w:t>
    </w:r>
    <w:r w:rsidRPr="00395FA0">
      <w:rPr>
        <w:rStyle w:val="HideTWBExt"/>
      </w:rPr>
      <w:t>&lt;NoPE&gt;</w:t>
    </w:r>
    <w:r w:rsidRPr="00395FA0">
      <w:t>784.331</w:t>
    </w:r>
    <w:r w:rsidRPr="00395FA0">
      <w:rPr>
        <w:rStyle w:val="HideTWBExt"/>
      </w:rPr>
      <w:t>&lt;/NoPE&gt;&lt;Version&gt;</w:t>
    </w:r>
    <w:r w:rsidRPr="00395FA0">
      <w:t>v01-00</w:t>
    </w:r>
    <w:r w:rsidRPr="00395FA0">
      <w:rPr>
        <w:rStyle w:val="HideTWBExt"/>
      </w:rPr>
      <w:t>&lt;/Version&gt;</w:t>
    </w:r>
  </w:p>
  <w:p w14:paraId="7839C280" w14:textId="59AC6CC4" w:rsidR="00395FA0" w:rsidRPr="00395FA0" w:rsidRDefault="00395FA0" w:rsidP="00395FA0">
    <w:pPr>
      <w:pStyle w:val="EPFooter2"/>
    </w:pPr>
    <w:r w:rsidRPr="00395FA0">
      <w:t>LV</w:t>
    </w:r>
    <w:r w:rsidRPr="00395FA0">
      <w:tab/>
    </w:r>
    <w:r w:rsidRPr="00395FA0">
      <w:rPr>
        <w:b w:val="0"/>
        <w:i/>
        <w:color w:val="C0C0C0"/>
        <w:sz w:val="22"/>
      </w:rPr>
      <w:t>Vienoti daudzveidībā</w:t>
    </w:r>
    <w:r w:rsidRPr="00395FA0">
      <w:tab/>
      <w:t>LV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AC9A4" w14:textId="644D1E09" w:rsidR="0085501C" w:rsidRPr="00395FA0" w:rsidRDefault="0085501C" w:rsidP="00B6769C">
    <w:pPr>
      <w:pStyle w:val="EPFooter"/>
    </w:pPr>
    <w:r w:rsidRPr="00395FA0">
      <w:rPr>
        <w:rStyle w:val="HideTWBExt"/>
      </w:rPr>
      <w:t>&lt;PathFdR&gt;</w:t>
    </w:r>
    <w:r w:rsidR="00395FA0" w:rsidRPr="00395FA0">
      <w:rPr>
        <w:color w:val="auto"/>
      </w:rPr>
      <w:t>PR\1336948LV.docx</w:t>
    </w:r>
    <w:r w:rsidRPr="00395FA0">
      <w:rPr>
        <w:rStyle w:val="HideTWBExt"/>
      </w:rPr>
      <w:t>&lt;/PathFdR&gt;</w:t>
    </w:r>
    <w:r w:rsidRPr="00395FA0">
      <w:tab/>
    </w:r>
    <w:r w:rsidRPr="00395FA0">
      <w:tab/>
      <w:t>PE</w:t>
    </w:r>
    <w:r w:rsidRPr="00395FA0">
      <w:rPr>
        <w:rStyle w:val="HideTWBExt"/>
      </w:rPr>
      <w:t>&lt;NoPE&gt;</w:t>
    </w:r>
    <w:r w:rsidR="00395FA0" w:rsidRPr="00395FA0">
      <w:rPr>
        <w:color w:val="auto"/>
      </w:rPr>
      <w:t>784.331</w:t>
    </w:r>
    <w:r w:rsidRPr="00395FA0">
      <w:rPr>
        <w:rStyle w:val="HideTWBExt"/>
      </w:rPr>
      <w:t>&lt;/NoPE&gt;&lt;Version&gt;</w:t>
    </w:r>
    <w:r w:rsidR="00C84D69" w:rsidRPr="00395FA0">
      <w:t>v</w:t>
    </w:r>
    <w:r w:rsidR="00395FA0" w:rsidRPr="00395FA0">
      <w:rPr>
        <w:color w:val="auto"/>
      </w:rPr>
      <w:t>01-00</w:t>
    </w:r>
    <w:r w:rsidRPr="00395FA0">
      <w:rPr>
        <w:rStyle w:val="HideTWBExt"/>
      </w:rPr>
      <w:t>&lt;/Version&gt;</w:t>
    </w:r>
  </w:p>
  <w:p w14:paraId="2536623C" w14:textId="78456878" w:rsidR="0085501C" w:rsidRPr="00395FA0" w:rsidRDefault="001623D4" w:rsidP="009612AA">
    <w:pPr>
      <w:pStyle w:val="EPFooter2"/>
      <w:tabs>
        <w:tab w:val="clear" w:pos="4535"/>
        <w:tab w:val="center" w:pos="4536"/>
      </w:tabs>
    </w:pPr>
    <w:r w:rsidRPr="00395FA0">
      <w:fldChar w:fldCharType="begin"/>
    </w:r>
    <w:r w:rsidRPr="00395FA0">
      <w:instrText xml:space="preserve"> DOCPROPERTY "&lt;Extension&gt;" </w:instrText>
    </w:r>
    <w:r w:rsidRPr="00395FA0">
      <w:fldChar w:fldCharType="separate"/>
    </w:r>
    <w:r w:rsidR="0024130F">
      <w:t>LV</w:t>
    </w:r>
    <w:r w:rsidRPr="00395FA0">
      <w:fldChar w:fldCharType="end"/>
    </w:r>
    <w:r w:rsidR="0085501C" w:rsidRPr="00395FA0">
      <w:tab/>
    </w:r>
    <w:r w:rsidR="00395FA0" w:rsidRPr="00395FA0">
      <w:rPr>
        <w:b w:val="0"/>
        <w:i/>
        <w:color w:val="C0C0C0"/>
        <w:sz w:val="22"/>
        <w:szCs w:val="22"/>
      </w:rPr>
      <w:t>Vienoti daudzveidībā</w:t>
    </w:r>
    <w:r w:rsidR="0085501C" w:rsidRPr="00395FA0">
      <w:tab/>
    </w:r>
    <w:r w:rsidRPr="00395FA0">
      <w:fldChar w:fldCharType="begin"/>
    </w:r>
    <w:r w:rsidRPr="00395FA0">
      <w:instrText xml:space="preserve"> DOCPROPERTY "&lt;Extension&gt;" </w:instrText>
    </w:r>
    <w:r w:rsidRPr="00395FA0">
      <w:fldChar w:fldCharType="separate"/>
    </w:r>
    <w:r w:rsidR="0024130F">
      <w:t>LV</w:t>
    </w:r>
    <w:r w:rsidRPr="00395FA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60A9E" w14:textId="77777777" w:rsidR="00C84D69" w:rsidRPr="00395FA0" w:rsidRDefault="00C84D69">
      <w:r w:rsidRPr="00395FA0">
        <w:separator/>
      </w:r>
    </w:p>
  </w:footnote>
  <w:footnote w:type="continuationSeparator" w:id="0">
    <w:p w14:paraId="26C6D6C0" w14:textId="77777777" w:rsidR="00C84D69" w:rsidRPr="00395FA0" w:rsidRDefault="00C84D69">
      <w:r w:rsidRPr="00395FA0">
        <w:continuationSeparator/>
      </w:r>
    </w:p>
  </w:footnote>
  <w:footnote w:id="1">
    <w:p w14:paraId="4ACEFF92" w14:textId="71D5E624" w:rsidR="00395FA0" w:rsidRPr="00395FA0" w:rsidRDefault="00395FA0" w:rsidP="00395FA0">
      <w:pPr>
        <w:pStyle w:val="FootnoteText"/>
      </w:pPr>
      <w:r>
        <w:rPr>
          <w:rStyle w:val="FootnoteReference"/>
        </w:rPr>
        <w:footnoteRef/>
      </w:r>
      <w:r>
        <w:t xml:space="preserve"> Iestāžu nolīgums (2021. gada 20. maijs) starp Eiropas Parlamentu, Eiropas Savienības Padomi un Eiropas Komisiju par obligātu pārredzamības reģistru (OV L 207, 11.6.2021., 1. lpp., ELI: </w:t>
      </w:r>
      <w:hyperlink r:id="rId1"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CA6D5" w14:textId="77777777" w:rsidR="001623D4" w:rsidRDefault="001623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CEB4D" w14:textId="77777777" w:rsidR="001623D4" w:rsidRDefault="001623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D4779" w14:textId="77777777" w:rsidR="001623D4" w:rsidRDefault="001623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589119773">
    <w:abstractNumId w:val="9"/>
  </w:num>
  <w:num w:numId="2" w16cid:durableId="628123277">
    <w:abstractNumId w:val="9"/>
  </w:num>
  <w:num w:numId="3" w16cid:durableId="949238204">
    <w:abstractNumId w:val="7"/>
  </w:num>
  <w:num w:numId="4" w16cid:durableId="1784155007">
    <w:abstractNumId w:val="7"/>
  </w:num>
  <w:num w:numId="5" w16cid:durableId="1552380091">
    <w:abstractNumId w:val="6"/>
  </w:num>
  <w:num w:numId="6" w16cid:durableId="1815099655">
    <w:abstractNumId w:val="6"/>
  </w:num>
  <w:num w:numId="7" w16cid:durableId="2114665243">
    <w:abstractNumId w:val="5"/>
  </w:num>
  <w:num w:numId="8" w16cid:durableId="861943873">
    <w:abstractNumId w:val="5"/>
  </w:num>
  <w:num w:numId="9" w16cid:durableId="252975812">
    <w:abstractNumId w:val="4"/>
  </w:num>
  <w:num w:numId="10" w16cid:durableId="683435481">
    <w:abstractNumId w:val="4"/>
  </w:num>
  <w:num w:numId="11" w16cid:durableId="1634555500">
    <w:abstractNumId w:val="8"/>
  </w:num>
  <w:num w:numId="12" w16cid:durableId="813715043">
    <w:abstractNumId w:val="8"/>
  </w:num>
  <w:num w:numId="13" w16cid:durableId="1887376509">
    <w:abstractNumId w:val="3"/>
  </w:num>
  <w:num w:numId="14" w16cid:durableId="1640451510">
    <w:abstractNumId w:val="3"/>
  </w:num>
  <w:num w:numId="15" w16cid:durableId="963802897">
    <w:abstractNumId w:val="2"/>
  </w:num>
  <w:num w:numId="16" w16cid:durableId="915435073">
    <w:abstractNumId w:val="2"/>
  </w:num>
  <w:num w:numId="17" w16cid:durableId="1747460624">
    <w:abstractNumId w:val="1"/>
  </w:num>
  <w:num w:numId="18" w16cid:durableId="505097893">
    <w:abstractNumId w:val="1"/>
  </w:num>
  <w:num w:numId="19" w16cid:durableId="2139646239">
    <w:abstractNumId w:val="0"/>
  </w:num>
  <w:num w:numId="20" w16cid:durableId="1552418639">
    <w:abstractNumId w:val="0"/>
  </w:num>
  <w:num w:numId="21" w16cid:durableId="1117874714">
    <w:abstractNumId w:val="9"/>
  </w:num>
  <w:num w:numId="22" w16cid:durableId="1498107007">
    <w:abstractNumId w:val="7"/>
  </w:num>
  <w:num w:numId="23" w16cid:durableId="1665430891">
    <w:abstractNumId w:val="6"/>
  </w:num>
  <w:num w:numId="24" w16cid:durableId="1510291722">
    <w:abstractNumId w:val="5"/>
  </w:num>
  <w:num w:numId="25" w16cid:durableId="1790776084">
    <w:abstractNumId w:val="4"/>
  </w:num>
  <w:num w:numId="26" w16cid:durableId="1679770322">
    <w:abstractNumId w:val="8"/>
  </w:num>
  <w:num w:numId="27" w16cid:durableId="241988512">
    <w:abstractNumId w:val="3"/>
  </w:num>
  <w:num w:numId="28" w16cid:durableId="692924326">
    <w:abstractNumId w:val="2"/>
  </w:num>
  <w:num w:numId="29" w16cid:durableId="211967589">
    <w:abstractNumId w:val="1"/>
  </w:num>
  <w:num w:numId="30" w16cid:durableId="1563638145">
    <w:abstractNumId w:val="0"/>
  </w:num>
  <w:num w:numId="31" w16cid:durableId="1608006142">
    <w:abstractNumId w:val="9"/>
  </w:num>
  <w:num w:numId="32" w16cid:durableId="1819959864">
    <w:abstractNumId w:val="7"/>
  </w:num>
  <w:num w:numId="33" w16cid:durableId="1377780645">
    <w:abstractNumId w:val="6"/>
  </w:num>
  <w:num w:numId="34" w16cid:durableId="1369530960">
    <w:abstractNumId w:val="5"/>
  </w:num>
  <w:num w:numId="35" w16cid:durableId="1138376902">
    <w:abstractNumId w:val="4"/>
  </w:num>
  <w:num w:numId="36" w16cid:durableId="1352996790">
    <w:abstractNumId w:val="8"/>
  </w:num>
  <w:num w:numId="37" w16cid:durableId="1975793763">
    <w:abstractNumId w:val="3"/>
  </w:num>
  <w:num w:numId="38" w16cid:durableId="1654792896">
    <w:abstractNumId w:val="2"/>
  </w:num>
  <w:num w:numId="39" w16cid:durableId="2021001948">
    <w:abstractNumId w:val="1"/>
  </w:num>
  <w:num w:numId="40" w16cid:durableId="1591935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KEY" w:val="LIBE"/>
    <w:docVar w:name="DOCDT" w:val="05/02/2026"/>
    <w:docVar w:name="LastEditedSection" w:val=" 1"/>
    <w:docVar w:name="strDocTypeID" w:val="PR_NLE-AP_Agreement"/>
    <w:docVar w:name="strSubDir" w:val="1336"/>
    <w:docVar w:name="TITLEMNU" w:val=" 2"/>
    <w:docVar w:name="TXTAUTHOR" w:val="Jaroslav Bžoch"/>
    <w:docVar w:name="TXTLANGUE" w:val="LV"/>
    <w:docVar w:name="TXTLANGUEMIN" w:val="lv"/>
    <w:docVar w:name="TXTNRNLE" w:val="2025/0145"/>
    <w:docVar w:name="TXTNRPE" w:val="784.331"/>
    <w:docVar w:name="TXTPEorAP" w:val="PE"/>
    <w:docVar w:name="TXTROUTE" w:val="PR\1336948LV.docx"/>
    <w:docVar w:name="TXTVERSION" w:val="01-00"/>
  </w:docVars>
  <w:rsids>
    <w:rsidRoot w:val="00C84D69"/>
    <w:rsid w:val="00001D52"/>
    <w:rsid w:val="0000443F"/>
    <w:rsid w:val="000053E3"/>
    <w:rsid w:val="0006167F"/>
    <w:rsid w:val="00061EFE"/>
    <w:rsid w:val="00095D8B"/>
    <w:rsid w:val="000A2F73"/>
    <w:rsid w:val="000C123D"/>
    <w:rsid w:val="000D78AF"/>
    <w:rsid w:val="001623D4"/>
    <w:rsid w:val="00180664"/>
    <w:rsid w:val="001874D8"/>
    <w:rsid w:val="001D02E3"/>
    <w:rsid w:val="001F7BBE"/>
    <w:rsid w:val="0021049A"/>
    <w:rsid w:val="0022685A"/>
    <w:rsid w:val="0024130F"/>
    <w:rsid w:val="002E2E20"/>
    <w:rsid w:val="002F5A83"/>
    <w:rsid w:val="003072BE"/>
    <w:rsid w:val="00337C92"/>
    <w:rsid w:val="00363B94"/>
    <w:rsid w:val="00395FA0"/>
    <w:rsid w:val="003B598C"/>
    <w:rsid w:val="004174FC"/>
    <w:rsid w:val="00460BD6"/>
    <w:rsid w:val="004859B3"/>
    <w:rsid w:val="004C083C"/>
    <w:rsid w:val="004E1650"/>
    <w:rsid w:val="005027B1"/>
    <w:rsid w:val="0053367A"/>
    <w:rsid w:val="00544D48"/>
    <w:rsid w:val="005877C0"/>
    <w:rsid w:val="005A6B14"/>
    <w:rsid w:val="005D0B97"/>
    <w:rsid w:val="005F5D6C"/>
    <w:rsid w:val="006132CE"/>
    <w:rsid w:val="00613F2E"/>
    <w:rsid w:val="006A1A75"/>
    <w:rsid w:val="006A2CF5"/>
    <w:rsid w:val="006F1B6F"/>
    <w:rsid w:val="00791637"/>
    <w:rsid w:val="0080122F"/>
    <w:rsid w:val="00822206"/>
    <w:rsid w:val="008368CB"/>
    <w:rsid w:val="0085501C"/>
    <w:rsid w:val="00893FBD"/>
    <w:rsid w:val="008B75A4"/>
    <w:rsid w:val="008D23C6"/>
    <w:rsid w:val="008D3030"/>
    <w:rsid w:val="008E3848"/>
    <w:rsid w:val="00924EE0"/>
    <w:rsid w:val="009612AA"/>
    <w:rsid w:val="009E39A7"/>
    <w:rsid w:val="009F29A6"/>
    <w:rsid w:val="00A415B7"/>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84D69"/>
    <w:rsid w:val="00CB5651"/>
    <w:rsid w:val="00CC20CB"/>
    <w:rsid w:val="00CE5B24"/>
    <w:rsid w:val="00CF44DF"/>
    <w:rsid w:val="00D04E0B"/>
    <w:rsid w:val="00D62DA0"/>
    <w:rsid w:val="00D6543C"/>
    <w:rsid w:val="00DF594D"/>
    <w:rsid w:val="00E14FEE"/>
    <w:rsid w:val="00E71368"/>
    <w:rsid w:val="00E93816"/>
    <w:rsid w:val="00EA59ED"/>
    <w:rsid w:val="00EF48F2"/>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3C0246"/>
  <w15:chartTrackingRefBased/>
  <w15:docId w15:val="{285DEDB9-DE58-444C-8CB8-EC37BBC28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395FA0"/>
    <w:pPr>
      <w:tabs>
        <w:tab w:val="right" w:pos="454"/>
        <w:tab w:val="left" w:pos="737"/>
      </w:tabs>
      <w:ind w:left="737" w:hanging="737"/>
    </w:pPr>
    <w:rPr>
      <w:snapToGrid w:val="0"/>
      <w:sz w:val="18"/>
      <w:lang w:eastAsia="en-US"/>
    </w:rPr>
  </w:style>
  <w:style w:type="paragraph" w:customStyle="1" w:styleId="Lgendetitre">
    <w:name w:val="Légende titre"/>
    <w:basedOn w:val="Normal"/>
    <w:rsid w:val="00395FA0"/>
    <w:pPr>
      <w:spacing w:before="240" w:after="240"/>
    </w:pPr>
    <w:rPr>
      <w:b/>
      <w:i/>
      <w:snapToGrid w:val="0"/>
      <w:lang w:eastAsia="en-US"/>
    </w:rPr>
  </w:style>
  <w:style w:type="paragraph" w:customStyle="1" w:styleId="Lgendestandard">
    <w:name w:val="Légende standard"/>
    <w:basedOn w:val="Normal"/>
    <w:rsid w:val="00395FA0"/>
    <w:rPr>
      <w:sz w:val="18"/>
    </w:rPr>
  </w:style>
  <w:style w:type="paragraph" w:styleId="FootnoteText">
    <w:name w:val="footnote text"/>
    <w:basedOn w:val="Normal"/>
    <w:link w:val="FootnoteTextChar"/>
    <w:rsid w:val="00395FA0"/>
    <w:rPr>
      <w:sz w:val="20"/>
    </w:rPr>
  </w:style>
  <w:style w:type="character" w:customStyle="1" w:styleId="FootnoteTextChar">
    <w:name w:val="Footnote Text Char"/>
    <w:basedOn w:val="DefaultParagraphFont"/>
    <w:link w:val="FootnoteText"/>
    <w:rsid w:val="00395FA0"/>
  </w:style>
  <w:style w:type="character" w:styleId="FootnoteReference">
    <w:name w:val="footnote reference"/>
    <w:basedOn w:val="DefaultParagraphFont"/>
    <w:rsid w:val="00395FA0"/>
    <w:rPr>
      <w:vertAlign w:val="superscript"/>
    </w:rPr>
  </w:style>
  <w:style w:type="character" w:styleId="Hyperlink">
    <w:name w:val="Hyperlink"/>
    <w:basedOn w:val="DefaultParagraphFont"/>
    <w:rsid w:val="00395FA0"/>
    <w:rPr>
      <w:color w:val="0563C1" w:themeColor="hyperlink"/>
      <w:u w:val="single"/>
    </w:rPr>
  </w:style>
  <w:style w:type="paragraph" w:styleId="Footer">
    <w:name w:val="footer"/>
    <w:basedOn w:val="Normal"/>
    <w:link w:val="FooterChar"/>
    <w:semiHidden/>
    <w:rsid w:val="00395FA0"/>
    <w:pPr>
      <w:tabs>
        <w:tab w:val="center" w:pos="4513"/>
        <w:tab w:val="right" w:pos="9026"/>
      </w:tabs>
    </w:pPr>
  </w:style>
  <w:style w:type="character" w:customStyle="1" w:styleId="FooterChar">
    <w:name w:val="Footer Char"/>
    <w:basedOn w:val="DefaultParagraphFont"/>
    <w:link w:val="Footer"/>
    <w:semiHidden/>
    <w:rsid w:val="00395FA0"/>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GLUSI~1\AppData\Local\Temp\PR_NLE-AP_Agree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PR_NLE-AP_Agreement.dotx</Template>
  <TotalTime>0</TotalTime>
  <Pages>7</Pages>
  <Words>805</Words>
  <Characters>5403</Characters>
  <Application>Microsoft Office Word</Application>
  <DocSecurity>0</DocSecurity>
  <Lines>122</Lines>
  <Paragraphs>54</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GLUSINA-BUTLERE Viktorija</dc:creator>
  <cp:keywords/>
  <cp:lastModifiedBy>STIGLICS Maris</cp:lastModifiedBy>
  <cp:revision>2</cp:revision>
  <cp:lastPrinted>2002-12-11T09:25:00Z</cp:lastPrinted>
  <dcterms:created xsi:type="dcterms:W3CDTF">2026-02-13T12:29:00Z</dcterms:created>
  <dcterms:modified xsi:type="dcterms:W3CDTF">2026-02-13T12:29:00Z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1336948</vt:lpwstr>
  </property>
  <property fmtid="{D5CDD505-2E9C-101B-9397-08002B2CF9AE}" pid="6" name="&lt;Type&gt;">
    <vt:lpwstr>PR</vt:lpwstr>
  </property>
  <property fmtid="{D5CDD505-2E9C-101B-9397-08002B2CF9AE}" pid="7" name="&lt;ModelCod&gt;">
    <vt:lpwstr>\\eiciLUXpr1\pdocep$\DocEP\DOCS\General\PR\PR_Leg\NLE\PR_NLE-AP_Agreement.dotx(12/08/2024 16:05:00)</vt:lpwstr>
  </property>
  <property fmtid="{D5CDD505-2E9C-101B-9397-08002B2CF9AE}" pid="8" name="&lt;ModelTra&gt;">
    <vt:lpwstr>\\eiciLUXpr1\pdocep$\DocEP\TRANSFIL\LV\PR_NLE-AP_Agreement.LV(01/10/2024 17:34:00)</vt:lpwstr>
  </property>
  <property fmtid="{D5CDD505-2E9C-101B-9397-08002B2CF9AE}" pid="9" name="&lt;Model&gt;">
    <vt:lpwstr>PR_NLE-AP_Agreement</vt:lpwstr>
  </property>
  <property fmtid="{D5CDD505-2E9C-101B-9397-08002B2CF9AE}" pid="10" name="FooterPath">
    <vt:lpwstr>PR\1336948LV.docx</vt:lpwstr>
  </property>
  <property fmtid="{D5CDD505-2E9C-101B-9397-08002B2CF9AE}" pid="11" name="PE number">
    <vt:lpwstr>784.331</vt:lpwstr>
  </property>
  <property fmtid="{D5CDD505-2E9C-101B-9397-08002B2CF9AE}" pid="12" name="Bookout">
    <vt:lpwstr>OK - 2026/02/13 13:29</vt:lpwstr>
  </property>
  <property fmtid="{D5CDD505-2E9C-101B-9397-08002B2CF9AE}" pid="13" name="SDLStudio">
    <vt:lpwstr/>
  </property>
</Properties>
</file>