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B77BB8" w14:paraId="2BE06BB5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629C71A" w14:textId="77777777" w:rsidR="00C05DD8" w:rsidRPr="0018087E" w:rsidRDefault="00EF3BB1" w:rsidP="00C85D0F">
            <w:pPr>
              <w:pStyle w:val="EPName"/>
            </w:pPr>
            <w:r>
              <w:t>Parlament Ewropew</w:t>
            </w:r>
          </w:p>
          <w:p w14:paraId="5BC7E7AB" w14:textId="77777777" w:rsidR="00C05DD8" w:rsidRPr="0018087E" w:rsidRDefault="00EF3BB1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F0F5FF1" w14:textId="77777777" w:rsidR="00C05DD8" w:rsidRPr="0018087E" w:rsidRDefault="00EF3BB1" w:rsidP="00C85D0F">
            <w:pPr>
              <w:pStyle w:val="EPLogo"/>
            </w:pPr>
            <w:r w:rsidRPr="0018087E">
              <w:rPr>
                <w:noProof/>
                <w:lang w:eastAsia="ja-JP"/>
              </w:rPr>
              <w:drawing>
                <wp:inline distT="0" distB="0" distL="0" distR="0" wp14:anchorId="7D273B21" wp14:editId="65146A7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90B959" w14:textId="77777777" w:rsidR="009612AA" w:rsidRPr="0018087E" w:rsidRDefault="009612AA" w:rsidP="009612AA">
      <w:pPr>
        <w:pStyle w:val="LineTop"/>
      </w:pPr>
    </w:p>
    <w:p w14:paraId="5A2366D1" w14:textId="77777777" w:rsidR="009612AA" w:rsidRPr="0018087E" w:rsidRDefault="00EF3BB1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14:paraId="1B2C57D0" w14:textId="77777777" w:rsidR="009612AA" w:rsidRPr="0018087E" w:rsidRDefault="009612AA" w:rsidP="009612AA">
      <w:pPr>
        <w:pStyle w:val="LineBottom"/>
      </w:pPr>
    </w:p>
    <w:p w14:paraId="0F319205" w14:textId="77777777" w:rsidR="00363B94" w:rsidRPr="0018087E" w:rsidRDefault="00EF3BB1">
      <w:pPr>
        <w:pStyle w:val="CoverReference"/>
      </w:pPr>
      <w:r>
        <w:rPr>
          <w:rStyle w:val="HideTWBExt"/>
          <w:b w:val="0"/>
        </w:rPr>
        <w:t>&lt;RefProc&gt;</w:t>
      </w:r>
      <w:r>
        <w:t>2025/0145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14:paraId="7BBB79EB" w14:textId="77777777" w:rsidR="00363B94" w:rsidRPr="0018087E" w:rsidRDefault="00EF3BB1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{05/02/2026}</w:t>
      </w:r>
      <w:r>
        <w:t>5.2.2026</w:t>
      </w:r>
      <w:r>
        <w:rPr>
          <w:rStyle w:val="HideTWBExt"/>
        </w:rPr>
        <w:t>&lt;/Date&gt;</w:t>
      </w:r>
    </w:p>
    <w:p w14:paraId="62411DBC" w14:textId="77777777" w:rsidR="00363B94" w:rsidRPr="0018087E" w:rsidRDefault="00EF3BB1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14:paraId="771EAEC1" w14:textId="77777777" w:rsidR="00363B94" w:rsidRPr="0018087E" w:rsidRDefault="00EF3BB1">
      <w:pPr>
        <w:pStyle w:val="CoverDocType24a"/>
      </w:pPr>
      <w:r>
        <w:rPr>
          <w:rStyle w:val="HideTWBExt"/>
          <w:b w:val="0"/>
        </w:rPr>
        <w:t>&lt;TitreType&gt;</w:t>
      </w:r>
      <w:r>
        <w:t>ABBOZZ TA’ RAKKOMANDAZZJONI</w:t>
      </w:r>
      <w:r>
        <w:rPr>
          <w:rStyle w:val="HideTWBExt"/>
          <w:b w:val="0"/>
        </w:rPr>
        <w:t>&lt;/TitreType&gt;</w:t>
      </w:r>
    </w:p>
    <w:p w14:paraId="6F230CCF" w14:textId="77777777" w:rsidR="00363B94" w:rsidRPr="0018087E" w:rsidRDefault="00EF3BB1">
      <w:pPr>
        <w:pStyle w:val="CoverNormal"/>
      </w:pPr>
      <w:r>
        <w:rPr>
          <w:rStyle w:val="HideTWBExt"/>
        </w:rPr>
        <w:t>&lt;Titre&gt;</w:t>
      </w:r>
      <w:r>
        <w:t>dwar l-abbozz ta’ deċiżjoni tal-Kunsill dwar il-konklużjoni, f’isem l-Unjoni, tal-Ftehim bejn l-Unjoni Ewropea u r-Renju tan-Norveġja dwar it-trasferiment ta’ data tar-reġistru tal-ismijiet tal-passiġġieri (PNR) għall-prevenzjoni, l-iskoperta, l-investigazzjoni u l-prosekuzzjoni ta’ reati terroristiċi u kriminalità serja</w:t>
      </w:r>
      <w:r>
        <w:rPr>
          <w:rStyle w:val="HideTWBExt"/>
        </w:rPr>
        <w:t>&lt;/Titre&gt;</w:t>
      </w:r>
    </w:p>
    <w:p w14:paraId="2EAF5437" w14:textId="77777777" w:rsidR="00363B94" w:rsidRPr="0018087E" w:rsidRDefault="00EF3BB1">
      <w:pPr>
        <w:pStyle w:val="CoverNormal24a"/>
      </w:pPr>
      <w:r>
        <w:rPr>
          <w:rStyle w:val="HideTWBExt"/>
        </w:rPr>
        <w:t>&lt;DocRef&gt;</w:t>
      </w:r>
      <w:r>
        <w:t>(11280/2025 – C10</w:t>
      </w:r>
      <w:r>
        <w:noBreakHyphen/>
        <w:t>0279/2025 – 2025/0145(NLE))</w:t>
      </w:r>
      <w:r>
        <w:rPr>
          <w:rStyle w:val="HideTWBExt"/>
        </w:rPr>
        <w:t>&lt;/DocRef&gt;</w:t>
      </w:r>
    </w:p>
    <w:p w14:paraId="173E94EE" w14:textId="77777777" w:rsidR="00363B94" w:rsidRPr="0018087E" w:rsidRDefault="00EF3BB1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 w14:paraId="56E424DC" w14:textId="77777777" w:rsidR="00363B94" w:rsidRPr="0018087E" w:rsidRDefault="00EF3BB1">
      <w:pPr>
        <w:pStyle w:val="CoverNormal24a"/>
      </w:pPr>
      <w:r>
        <w:t xml:space="preserve">Rapporteur: </w:t>
      </w:r>
      <w:r>
        <w:rPr>
          <w:rStyle w:val="HideTWBExt"/>
        </w:rPr>
        <w:t>&lt;Depute&gt;</w:t>
      </w:r>
      <w:bookmarkStart w:id="0" w:name="DocEPLastVariable"/>
      <w:bookmarkEnd w:id="0"/>
      <w:r>
        <w:t>Jaroslav Bžoch</w:t>
      </w:r>
      <w:r>
        <w:rPr>
          <w:rStyle w:val="HideTWBExt"/>
        </w:rPr>
        <w:t>&lt;/Depute&gt;</w:t>
      </w:r>
    </w:p>
    <w:p w14:paraId="0966E0D2" w14:textId="77777777" w:rsidR="00B42885" w:rsidRPr="0018087E" w:rsidRDefault="00B42885" w:rsidP="00B42885">
      <w:pPr>
        <w:pStyle w:val="CoverNormal"/>
      </w:pPr>
    </w:p>
    <w:p w14:paraId="4ACB840C" w14:textId="72002D28" w:rsidR="0018087E" w:rsidRPr="0018087E" w:rsidRDefault="00EF3BB1" w:rsidP="00016E55">
      <w:r>
        <w:br w:type="page"/>
      </w:r>
      <w:r w:rsidR="007E271B">
        <w:lastRenderedPageBreak/>
        <w:fldChar w:fldCharType="begin"/>
      </w:r>
      <w:r>
        <w:instrText xml:space="preserve"> TITLE  \* MERGEFORMAT </w:instrText>
      </w:r>
      <w:r w:rsidR="007E271B">
        <w:fldChar w:fldCharType="separate"/>
      </w:r>
      <w:r>
        <w:t>PR_NLE-AP_Agreement</w:t>
      </w:r>
      <w:r w:rsidR="007E271B">
        <w:fldChar w:fldCharType="end"/>
      </w:r>
    </w:p>
    <w:p w14:paraId="7C959D31" w14:textId="77777777" w:rsidR="0018087E" w:rsidRPr="0018087E" w:rsidRDefault="0018087E" w:rsidP="00016E55"/>
    <w:p w14:paraId="12BC6307" w14:textId="77777777" w:rsidR="0018087E" w:rsidRPr="0018087E" w:rsidRDefault="0018087E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B77BB8" w14:paraId="258C5E73" w14:textId="77777777">
        <w:tc>
          <w:tcPr>
            <w:tcW w:w="5811" w:type="dxa"/>
          </w:tcPr>
          <w:p w14:paraId="602FD1B1" w14:textId="77777777" w:rsidR="0018087E" w:rsidRPr="0018087E" w:rsidRDefault="00EF3BB1" w:rsidP="00016E55">
            <w:pPr>
              <w:pStyle w:val="Lgendetitre"/>
            </w:pPr>
            <w:r>
              <w:t>Tifsira tas-simboli użati</w:t>
            </w:r>
          </w:p>
        </w:tc>
      </w:tr>
      <w:tr w:rsidR="00B77BB8" w14:paraId="69908FCF" w14:textId="77777777" w:rsidTr="00486FAE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151031E1" w14:textId="77777777" w:rsidR="0018087E" w:rsidRPr="0018087E" w:rsidRDefault="00EF3BB1" w:rsidP="00486FAE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Proċedura ta’ konsultazzjoni</w:t>
            </w:r>
          </w:p>
          <w:p w14:paraId="29563EE2" w14:textId="77777777" w:rsidR="0018087E" w:rsidRPr="0018087E" w:rsidRDefault="00EF3BB1" w:rsidP="00486FAE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Proċedura ta’ approvazzjoni</w:t>
            </w:r>
          </w:p>
          <w:p w14:paraId="6CB73C24" w14:textId="77777777" w:rsidR="0018087E" w:rsidRPr="0018087E" w:rsidRDefault="00EF3BB1" w:rsidP="00486FAE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 xml:space="preserve">Proċedura </w:t>
            </w:r>
            <w:r>
              <w:t>leġiżlattiva ordinarja (l-ewwel qari)</w:t>
            </w:r>
          </w:p>
          <w:p w14:paraId="4C8B1B53" w14:textId="77777777" w:rsidR="0018087E" w:rsidRPr="0018087E" w:rsidRDefault="00EF3BB1" w:rsidP="00486FAE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Proċedura leġiżlattiva ordinarja (it-tieni qari)</w:t>
            </w:r>
          </w:p>
          <w:p w14:paraId="0FA42EE0" w14:textId="77777777" w:rsidR="0018087E" w:rsidRPr="0018087E" w:rsidRDefault="00EF3BB1" w:rsidP="00486FAE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Proċedura leġiżlattiva ordinarja (it-tielet qari)</w:t>
            </w:r>
          </w:p>
          <w:p w14:paraId="28A6F42F" w14:textId="77777777" w:rsidR="0018087E" w:rsidRPr="0018087E" w:rsidRDefault="0018087E" w:rsidP="00486FAE">
            <w:pPr>
              <w:pStyle w:val="Lgendestandard"/>
            </w:pPr>
          </w:p>
          <w:p w14:paraId="27F27A61" w14:textId="77777777" w:rsidR="0018087E" w:rsidRPr="0018087E" w:rsidRDefault="00EF3BB1" w:rsidP="00486FAE">
            <w:pPr>
              <w:pStyle w:val="Lgendestandard"/>
            </w:pPr>
            <w:r>
              <w:t>(It-tip ta’ proċedura jiddependi mill-bażi legali proposta mill-abbozz ta’ att.)</w:t>
            </w:r>
          </w:p>
          <w:p w14:paraId="1C4DA3C5" w14:textId="77777777" w:rsidR="0018087E" w:rsidRPr="0018087E" w:rsidRDefault="0018087E" w:rsidP="00486FAE">
            <w:pPr>
              <w:pStyle w:val="Lgendestandard"/>
            </w:pPr>
          </w:p>
        </w:tc>
      </w:tr>
    </w:tbl>
    <w:p w14:paraId="69E9F0D5" w14:textId="77777777" w:rsidR="0018087E" w:rsidRPr="0018087E" w:rsidRDefault="0018087E" w:rsidP="00016E55"/>
    <w:p w14:paraId="4EC90627" w14:textId="77777777" w:rsidR="00363B94" w:rsidRPr="0018087E" w:rsidRDefault="00363B94" w:rsidP="00613F2E">
      <w:pPr>
        <w:widowControl/>
        <w:tabs>
          <w:tab w:val="center" w:pos="4677"/>
        </w:tabs>
      </w:pPr>
    </w:p>
    <w:p w14:paraId="10FDD9CB" w14:textId="77777777" w:rsidR="00363B94" w:rsidRPr="0018087E" w:rsidRDefault="00EF3BB1">
      <w:pPr>
        <w:pStyle w:val="TOCHeading"/>
      </w:pPr>
      <w:r>
        <w:br w:type="page"/>
      </w:r>
      <w:r>
        <w:lastRenderedPageBreak/>
        <w:t>WERREJ</w:t>
      </w:r>
    </w:p>
    <w:p w14:paraId="7598E921" w14:textId="77777777" w:rsidR="00363B94" w:rsidRPr="0018087E" w:rsidRDefault="00EF3BB1">
      <w:pPr>
        <w:pStyle w:val="TOCPage"/>
      </w:pPr>
      <w:r>
        <w:t>Paġna</w:t>
      </w:r>
    </w:p>
    <w:p w14:paraId="4DB5A513" w14:textId="78959F40" w:rsidR="00EF3BB1" w:rsidRDefault="00EF3BB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18087E">
        <w:fldChar w:fldCharType="begin"/>
      </w:r>
      <w:r w:rsidRPr="0018087E">
        <w:instrText xml:space="preserve"> TOC \t "PageHeading</w:instrText>
      </w:r>
      <w:r w:rsidR="0018087E" w:rsidRPr="0018087E">
        <w:instrText>;</w:instrText>
      </w:r>
      <w:r w:rsidRPr="0018087E">
        <w:instrText xml:space="preserve">1" </w:instrText>
      </w:r>
      <w:r w:rsidRPr="0018087E">
        <w:fldChar w:fldCharType="separate"/>
      </w:r>
      <w:r>
        <w:rPr>
          <w:noProof/>
        </w:rPr>
        <w:t>ABBOZZ TA’ RIŻOLUZZJONI LEĠIŻLATTIVA TAL-PARLAMENT EWROPEW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_Toc222139113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4C8A98E0" w14:textId="0DBA3295" w:rsidR="00EF3BB1" w:rsidRDefault="00EF3BB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NOTA SPJEGATTIVA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_Toc222139114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7C17B472" w14:textId="38615DB2" w:rsidR="00EF3BB1" w:rsidRDefault="00EF3BB1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ANNESS: DIKJARAZZJONI TAL-KONTRIBUT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_Toc222139115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14:paraId="2FA6F167" w14:textId="347268E9" w:rsidR="004E1650" w:rsidRPr="0018087E" w:rsidRDefault="00EF3BB1" w:rsidP="00F04010">
      <w:r w:rsidRPr="0018087E">
        <w:fldChar w:fldCharType="end"/>
      </w:r>
    </w:p>
    <w:p w14:paraId="3287DC07" w14:textId="77777777" w:rsidR="00363B94" w:rsidRPr="0018087E" w:rsidRDefault="00EF3BB1" w:rsidP="0006167F">
      <w:pPr>
        <w:pStyle w:val="PageHeading"/>
      </w:pPr>
      <w:r>
        <w:br w:type="page"/>
      </w:r>
      <w:r>
        <w:lastRenderedPageBreak/>
        <w:br w:type="page"/>
      </w:r>
      <w:bookmarkStart w:id="1" w:name="_Toc222139113"/>
      <w:r>
        <w:lastRenderedPageBreak/>
        <w:t>ABBOZZ TA’ RIŻOLUZZJONI LEĠIŻLATTIVA TAL-PARLAMENT EWROPEW</w:t>
      </w:r>
      <w:bookmarkEnd w:id="1"/>
    </w:p>
    <w:p w14:paraId="2110C9B1" w14:textId="77777777" w:rsidR="0018087E" w:rsidRPr="0018087E" w:rsidRDefault="00EF3BB1" w:rsidP="0018087E">
      <w:pPr>
        <w:pStyle w:val="NormalBold"/>
      </w:pPr>
      <w:r>
        <w:t xml:space="preserve">dwar </w:t>
      </w:r>
      <w:bookmarkStart w:id="2" w:name="_Hlk221277797"/>
      <w:r>
        <w:t>l-abbozz ta’ deċiżjoni tal-Kunsill dwar il-konklużjoni, f’isem l-Unjoni, tal-Ftehim bejn l-Unjoni Ewropea u r-Renju tan-Norveġja dwar it-trasferiment ta’ data tar-reġistru tal-ismijiet tal-passiġġieri (PNR) għall-prevenzjoni, l-iskoperta, l-investigazzjoni u l-prosekuzzjoni ta’ reati terroristiċi u kriminalità serja</w:t>
      </w:r>
      <w:bookmarkEnd w:id="2"/>
    </w:p>
    <w:p w14:paraId="1C165A47" w14:textId="77777777" w:rsidR="00363B94" w:rsidRPr="0018087E" w:rsidRDefault="00EF3BB1" w:rsidP="0018087E">
      <w:pPr>
        <w:pStyle w:val="NormalBold12a"/>
      </w:pPr>
      <w:r>
        <w:t>(</w:t>
      </w:r>
      <w:bookmarkStart w:id="3" w:name="_Hlk221278502"/>
      <w:r>
        <w:t xml:space="preserve">11280/2025 </w:t>
      </w:r>
      <w:bookmarkEnd w:id="3"/>
      <w:r>
        <w:t>– C10</w:t>
      </w:r>
      <w:r>
        <w:noBreakHyphen/>
        <w:t xml:space="preserve">0279/2025 – </w:t>
      </w:r>
      <w:bookmarkStart w:id="4" w:name="_Hlk221279129"/>
      <w:r>
        <w:t>2025/0145(NLE</w:t>
      </w:r>
      <w:bookmarkEnd w:id="4"/>
      <w:r>
        <w:t>))</w:t>
      </w:r>
    </w:p>
    <w:p w14:paraId="20921A81" w14:textId="77777777" w:rsidR="00363B94" w:rsidRPr="0018087E" w:rsidRDefault="00EF3BB1" w:rsidP="00893FBD">
      <w:pPr>
        <w:pStyle w:val="NormalBold"/>
      </w:pPr>
      <w:r>
        <w:t>(Approvazzjoni)</w:t>
      </w:r>
    </w:p>
    <w:p w14:paraId="200F8FFF" w14:textId="77777777" w:rsidR="00363B94" w:rsidRPr="0018087E" w:rsidRDefault="00EF3BB1">
      <w:pPr>
        <w:pStyle w:val="EPComma"/>
      </w:pPr>
      <w:r>
        <w:rPr>
          <w:i/>
        </w:rPr>
        <w:t>Il-Parlament Ewropew</w:t>
      </w:r>
      <w:r>
        <w:t>,</w:t>
      </w:r>
    </w:p>
    <w:p w14:paraId="1013E7E8" w14:textId="77777777" w:rsidR="0018087E" w:rsidRPr="0018087E" w:rsidRDefault="00EF3BB1" w:rsidP="0018087E">
      <w:pPr>
        <w:pStyle w:val="NormalHanging12a"/>
      </w:pPr>
      <w:r>
        <w:t>–</w:t>
      </w:r>
      <w:r>
        <w:tab/>
        <w:t>wara li kkunsidra l-abbozz ta’ deċiżjoni tal-Kunsill (11280/2025),</w:t>
      </w:r>
    </w:p>
    <w:p w14:paraId="66B46095" w14:textId="77777777" w:rsidR="0018087E" w:rsidRPr="0018087E" w:rsidRDefault="00EF3BB1" w:rsidP="0018087E">
      <w:pPr>
        <w:pStyle w:val="NormalHanging12a"/>
      </w:pPr>
      <w:r>
        <w:t>–</w:t>
      </w:r>
      <w:r>
        <w:tab/>
        <w:t xml:space="preserve">wara li kkunsidra l-abbozz ta’ Ftehim bejn l-Unjoni </w:t>
      </w:r>
      <w:r>
        <w:t>Ewropea u r-Renju tan-Norveġja dwar it-trasferiment ta’ data tar-reġistru tal-ismijiet tal-passiġġieri (PNR) għall-prevenzjoni, l-iskoperta, l-investigazzjoni u l-prosekuzzjoni ta’ reati terroristiċi u kriminalità serja (</w:t>
      </w:r>
      <w:bookmarkStart w:id="5" w:name="_Hlk221278511"/>
      <w:r>
        <w:t>11281/2025</w:t>
      </w:r>
      <w:bookmarkEnd w:id="5"/>
      <w:r>
        <w:t>),</w:t>
      </w:r>
    </w:p>
    <w:p w14:paraId="30EA21E6" w14:textId="77777777" w:rsidR="0018087E" w:rsidRPr="0018087E" w:rsidRDefault="00EF3BB1" w:rsidP="0018087E">
      <w:pPr>
        <w:pStyle w:val="NormalHanging12a"/>
      </w:pPr>
      <w:r>
        <w:t>–</w:t>
      </w:r>
      <w:r>
        <w:tab/>
        <w:t>wara li kkunsidra t-talba għal approvazzjoni ppreżentata mill-Kunsill skont l-Artikolu 16(2), l-Artikolu 87(2), il-punt (a), u l-Artikolu 218(6), it-tieni subparagrafu, il-punt (a), tat-Trattat dwar il-Funzjonament tal-Unjoni Ewropea (C10</w:t>
      </w:r>
      <w:r>
        <w:noBreakHyphen/>
        <w:t>0279/2025),</w:t>
      </w:r>
    </w:p>
    <w:p w14:paraId="2123525E" w14:textId="77777777" w:rsidR="0018087E" w:rsidRPr="0018087E" w:rsidRDefault="00EF3BB1" w:rsidP="0018087E">
      <w:pPr>
        <w:pStyle w:val="NormalHanging12a"/>
      </w:pPr>
      <w:r>
        <w:t>–</w:t>
      </w:r>
      <w:r>
        <w:tab/>
        <w:t>wara li kkunsidra l-Artikolu 107(1) u (4) u l-Artikolu 117(7) tar-Regoli ta’ Proċedura tiegħu,</w:t>
      </w:r>
    </w:p>
    <w:p w14:paraId="631BA382" w14:textId="77777777" w:rsidR="0018087E" w:rsidRPr="0018087E" w:rsidRDefault="00EF3BB1" w:rsidP="0018087E">
      <w:pPr>
        <w:pStyle w:val="NormalHanging12a"/>
      </w:pPr>
      <w:r>
        <w:t>–</w:t>
      </w:r>
      <w:r>
        <w:tab/>
        <w:t>wara li kkunsidra r-rakkomandazzjoni tal-Kumitat għal-Libertajiet Ċivili, il-Ġustizzja u l-Intern (A10</w:t>
      </w:r>
      <w:r>
        <w:noBreakHyphen/>
        <w:t>0000/2026),</w:t>
      </w:r>
    </w:p>
    <w:p w14:paraId="365C9761" w14:textId="77777777" w:rsidR="0018087E" w:rsidRPr="0018087E" w:rsidRDefault="00EF3BB1" w:rsidP="0018087E">
      <w:pPr>
        <w:pStyle w:val="NormalHanging12a"/>
      </w:pPr>
      <w:r>
        <w:t>1.</w:t>
      </w:r>
      <w:r>
        <w:tab/>
        <w:t xml:space="preserve">Jagħti l-approvazzjoni tiegħu għall-konklużjoni </w:t>
      </w:r>
      <w:r>
        <w:t>tal-ftehim;</w:t>
      </w:r>
    </w:p>
    <w:p w14:paraId="19284652" w14:textId="77777777" w:rsidR="0018087E" w:rsidRPr="0018087E" w:rsidRDefault="00EF3BB1" w:rsidP="0018087E">
      <w:pPr>
        <w:pStyle w:val="NormalHanging12a"/>
      </w:pPr>
      <w:r>
        <w:t>2.</w:t>
      </w:r>
      <w:r>
        <w:tab/>
        <w:t>Jagħti istruzzjonijiet lill-President tiegħu biex tgħaddi l-pożizzjoni tal-Parlament lill-Kunsill u lill-Kummissjoni, kif ukoll lill-gvernijiet u lill-parlamenti tal-Istati Membri u tar-Renju tan-Norveġja.</w:t>
      </w:r>
    </w:p>
    <w:p w14:paraId="391E88B6" w14:textId="77777777" w:rsidR="0018087E" w:rsidRPr="0018087E" w:rsidRDefault="0018087E" w:rsidP="0018087E">
      <w:pPr>
        <w:sectPr w:rsidR="0018087E" w:rsidRPr="0018087E" w:rsidSect="0018087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636F8E8C" w14:textId="77777777" w:rsidR="0018087E" w:rsidRPr="0018087E" w:rsidRDefault="00EF3BB1" w:rsidP="0018087E">
      <w:pPr>
        <w:pStyle w:val="PageHeading"/>
      </w:pPr>
      <w:bookmarkStart w:id="6" w:name="_Toc221283072"/>
      <w:bookmarkStart w:id="7" w:name="_Toc222139114"/>
      <w:r>
        <w:lastRenderedPageBreak/>
        <w:t>NOTA SPJEGATTIVA</w:t>
      </w:r>
      <w:bookmarkEnd w:id="6"/>
      <w:bookmarkEnd w:id="7"/>
    </w:p>
    <w:p w14:paraId="49BC884B" w14:textId="77777777" w:rsidR="0018087E" w:rsidRPr="0018087E" w:rsidRDefault="00EF3BB1" w:rsidP="0018087E">
      <w:r>
        <w:t xml:space="preserve">Il-proposta għal deċiżjoni tal-Kunsill għandha </w:t>
      </w:r>
      <w:r>
        <w:t>l-għan li tapprova l-Ftehim bejn l-Unjoni Ewropea u r-Renju tan-Norveġja dwar it-trasferiment ta’ data tar-Reġistru tal-Ismijiet tal-Passiġġieri (PNR, Passenger Name Record) għall-prevenzjoni, l-iskoperta, l-investigazzjoni u l-prosekuzzjoni ta’ reati terroristiċi u kriminalità serja (il-“Ftehim”).</w:t>
      </w:r>
    </w:p>
    <w:p w14:paraId="60C5939D" w14:textId="77777777" w:rsidR="0018087E" w:rsidRPr="0018087E" w:rsidRDefault="0018087E" w:rsidP="0018087E"/>
    <w:p w14:paraId="16BCDD3B" w14:textId="77777777" w:rsidR="0018087E" w:rsidRPr="0018087E" w:rsidRDefault="00EF3BB1" w:rsidP="0018087E">
      <w:r>
        <w:t>In-Norveġja u l-Istati Membri tal-UE li huma partijiet kontraenti għall-Konvenzjoni ta’ Schengen għandhom responsabbiltà kondiviża li jiżguraw is-sigurtà interna f’żona komuni mingħajr kontrolli fil-fruntieri interni, inkluż permezz tal-iskambju ta’ informazzjoni rilevanti. Id-data tar-Reġistru tal-Ismijiet tal-Passiġġieri (il-“PNR”) hija informazzjoni pprovduta mill-passiġġieri, miġbura matul il-proċessi tal-prenotazzjoni u taċ-check-in tal-linji tal-ajru u miżmuma fis-sistemi ta’ prenotazzjoni u ta’ kontr</w:t>
      </w:r>
      <w:r>
        <w:t xml:space="preserve">oll tat-tluq tat-trasportaturi tal-ajru għall-finijiet kummerċjali tagħhom stess. Il-ftehimiet eżistenti dwar l-ipproċessar tad-data tal-PNR ma’ pajjiżi terzi wrew il-potenzjal li jtejbu s-sigurtà taż-żona Schengen. Tali ftehimiet itejbu l-prevenzjoni u l-iskoperta ta’ reati terroristiċi u ta’ kriminalità serja, inkluż it-traffikar tad-drogi, tal-armi tan-nar u tal-bnedmin, fil-fruntieri esterni tal-UE, u jipprevedu wkoll approċċ ibbażat fuq ir-riskju xprunat mid-data li l-Istati Membri jistgħu jużaw bħala </w:t>
      </w:r>
      <w:r>
        <w:t>miżura ta’ kumpens għan-nuqqas ta’ kontrolli fil-fruntieri interni fiż-żona Schengen.</w:t>
      </w:r>
    </w:p>
    <w:p w14:paraId="667FE930" w14:textId="77777777" w:rsidR="0018087E" w:rsidRPr="0018087E" w:rsidRDefault="0018087E" w:rsidP="0018087E"/>
    <w:p w14:paraId="5421BE96" w14:textId="77777777" w:rsidR="0018087E" w:rsidRPr="0018087E" w:rsidRDefault="00EF3BB1" w:rsidP="0018087E">
      <w:r>
        <w:t>Għalkemm in-Norveġja mhijiex meqjusa bħala pajjiż terz skont ir-Regolament 2016/679 (il-“GDPR”), dan il-qafas legali ma japplikax għall-ipproċessar ta’ data personali, inkluża data tal-PNR, mill-awtoritajiet Norveġiżi tal-infurzar tal-liġi għall-prevenzjoni, l-investigazzjoni, l-iskoperta jew il-prosekuzzjoni ta’ reati kriminali, jew l-eżekuzzjoni ta’ pieni kriminali. Fl-istess ħin, in-Norveġja hija marbuta bl-atti tal-Unjoni li jikkostitwixxu żvilupp tad-dispożizzjonijiet tal-acquis ta’ Schengen. Madankoll</w:t>
      </w:r>
      <w:r>
        <w:t>u, id-Direttiva (UE) 2016/680 (id-“Direttiva dwar il-PNR”) ma tikkostitwix żvilupp tal-acquis ta’ Schengen, għalhekk in-Norveġja ma tipparteċipax fl-implimentazzjoni ta’ dan l-istrument legali.</w:t>
      </w:r>
    </w:p>
    <w:p w14:paraId="2D996CC4" w14:textId="77777777" w:rsidR="0018087E" w:rsidRPr="0018087E" w:rsidRDefault="0018087E" w:rsidP="0018087E"/>
    <w:p w14:paraId="71EE60BC" w14:textId="77777777" w:rsidR="0018087E" w:rsidRPr="0018087E" w:rsidRDefault="00EF3BB1" w:rsidP="0018087E">
      <w:r>
        <w:t>Skont il-qafas attwali, in-Norveġja ma tistax tirċievi u tipproċessa legalment data tal-PNR dwar titjiriet operati minn trasportaturi tal-ajru bejn l-Unjoni u n-Norveġja. Għalhekk, il-Kummissjoni rrakkomandat li jinfetħu n-negozjati tal-Ftehim fis-6 ta’ Settembru 2023. Fl-4 ta’ Marzu 2024, il-Kunsill ipprovda l-awtorizzazzjoni tiegħu u n-negozjati bdew fil-21 ta’ Marzu 2024. Fid-9 ta’ April 2025, in-negozjati ġew konklużi formalment, u l-Ftehim ġie adottat mill-Kunsill fit-22 ta’ Settembru 2025. Il-Ftehim ġ</w:t>
      </w:r>
      <w:r>
        <w:t>ie ffirmat mill-Kummissarju Magnus Brunner u mis-Segretarju tal-Istat Joakim Øren f’Ottubru 2025.</w:t>
      </w:r>
    </w:p>
    <w:p w14:paraId="6101FBB7" w14:textId="77777777" w:rsidR="0018087E" w:rsidRPr="0018087E" w:rsidRDefault="0018087E" w:rsidP="0018087E"/>
    <w:p w14:paraId="24227938" w14:textId="77777777" w:rsidR="0018087E" w:rsidRPr="0018087E" w:rsidRDefault="00EF3BB1" w:rsidP="0018087E">
      <w:r>
        <w:t>L-għan ewlieni ta’ dan il-Ftehim huwa li jnaqqas id-distakk fis-sigurtà li jeżisti fiż-żona Schengen u b’hekk jippermetti lit-trasportaturi tal-ajru jittrasferixxu d-data tal-PNR lin-Norveġja u viċi versa. Madankollu, it-trasferiment u l-ipproċessar tad-data personali, inkluża d-data tal-PNR, jeħtieġu limitazzjonijiet stretti u salvagwardji effettivi. Skont l-Opinjoni 16/2025 tal-Kontrollur Ewropew għall-Protezzjoni tad-Data tal-24 ta’ Lulju 2025, id-dispożizzjonijiet tal-Ftehim li jirregolaw it-trasferimen</w:t>
      </w:r>
      <w:r>
        <w:t>t u l-ipproċessar tad-data tal-PNR kienu sodisfaċenti. F’dan ir-rigward, il-Kummissjoni infurmat lir-rapporteurs fit-28 ta’ Jannar 2026, u kkonfermat li l-Ftehim jistabbilixxi standards għoljin mhux biss f’termini ta’ sigurtà, iżda wkoll f’termini ta’ privatezza u protezzjoni tad-data.</w:t>
      </w:r>
    </w:p>
    <w:p w14:paraId="599115BC" w14:textId="77777777" w:rsidR="0018087E" w:rsidRPr="0018087E" w:rsidRDefault="0018087E" w:rsidP="0018087E"/>
    <w:p w14:paraId="2DFBB693" w14:textId="77777777" w:rsidR="0018087E" w:rsidRPr="0018087E" w:rsidRDefault="00EF3BB1" w:rsidP="0018087E">
      <w:r>
        <w:t xml:space="preserve">Fid-dawl ta’ dan, ir-rapporteur jirrakkomanda li l-Parlament japprova t-test tal-abbozz ta’ </w:t>
      </w:r>
      <w:r>
        <w:lastRenderedPageBreak/>
        <w:t>deċiżjoni tal-Kunsill.</w:t>
      </w:r>
    </w:p>
    <w:p w14:paraId="2C97E0BF" w14:textId="77777777" w:rsidR="0018087E" w:rsidRPr="0018087E" w:rsidRDefault="0018087E" w:rsidP="0018087E">
      <w:pPr>
        <w:sectPr w:rsidR="0018087E" w:rsidRPr="0018087E" w:rsidSect="0018087E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995D3D4" w14:textId="77777777" w:rsidR="0018087E" w:rsidRPr="0018087E" w:rsidRDefault="00EF3BB1" w:rsidP="0018087E">
      <w:pPr>
        <w:pStyle w:val="PageHeading"/>
      </w:pPr>
      <w:bookmarkStart w:id="8" w:name="_Toc221283073"/>
      <w:bookmarkStart w:id="9" w:name="_Toc222139115"/>
      <w:r>
        <w:lastRenderedPageBreak/>
        <w:t xml:space="preserve">ANNESS: </w:t>
      </w:r>
      <w:bookmarkStart w:id="10" w:name="iEnd"/>
      <w:bookmarkEnd w:id="10"/>
      <w:r>
        <w:t>DIKJARAZZJONI TAL-KONTRIBUT</w:t>
      </w:r>
      <w:bookmarkEnd w:id="8"/>
      <w:bookmarkEnd w:id="9"/>
    </w:p>
    <w:p w14:paraId="63EC610D" w14:textId="77777777" w:rsidR="0018087E" w:rsidRPr="0018087E" w:rsidRDefault="00EF3BB1" w:rsidP="0018087E">
      <w:r>
        <w:t>Ir-rapporteur jiddikjara, taħt ir-responsabbiltà esklużiva tiegħu, li fir-rapport tiegħu ma inkludiex kontribut mingħand rappreżentanti ta’ gruppi ta’ interess li jaqgħu fil-kamp ta’ applikazzjoni tal-Ftehim Interistituzzjonali dwar Reġistru Obbligatorju ta’ Trasparenza</w:t>
      </w:r>
      <w:r>
        <w:rPr>
          <w:rStyle w:val="FootnoteReference"/>
        </w:rPr>
        <w:footnoteReference w:id="1"/>
      </w:r>
      <w:r>
        <w:t>, jew mingħand rappreżentanti ta’ awtoritajiet pubbliċi ta’ pajjiżi terzi, inklużi l-missjonijiet diplomatiċi u l-ambaxxati tagħhom, li għandhom jiġu elenkati f’dan l-Anness f’konformità mal-Artikolu 8 tal-Anness I tar-Regoli ta’ Proċedura.</w:t>
      </w:r>
    </w:p>
    <w:p w14:paraId="7E542548" w14:textId="77777777" w:rsidR="00363B94" w:rsidRPr="0018087E" w:rsidRDefault="00363B94" w:rsidP="0018087E">
      <w:pPr>
        <w:pStyle w:val="NormalHanging12a"/>
      </w:pPr>
    </w:p>
    <w:sectPr w:rsidR="00363B94" w:rsidRPr="0018087E" w:rsidSect="0018087E"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B0AC18" w14:textId="77777777" w:rsidR="00EF3BB1" w:rsidRDefault="00EF3BB1">
      <w:r>
        <w:separator/>
      </w:r>
    </w:p>
  </w:endnote>
  <w:endnote w:type="continuationSeparator" w:id="0">
    <w:p w14:paraId="02F5439A" w14:textId="77777777" w:rsidR="00EF3BB1" w:rsidRDefault="00EF3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8F23E" w14:textId="77777777" w:rsidR="0018087E" w:rsidRPr="0018087E" w:rsidRDefault="00EF3BB1" w:rsidP="0018087E">
    <w:pPr>
      <w:pStyle w:val="EPFooter"/>
    </w:pPr>
    <w:r w:rsidRPr="0018087E">
      <w:t>PE</w:t>
    </w:r>
    <w:r w:rsidRPr="0018087E">
      <w:rPr>
        <w:rStyle w:val="HideTWBExt"/>
      </w:rPr>
      <w:t>&lt;NoPE&gt;</w:t>
    </w:r>
    <w:r w:rsidRPr="0018087E">
      <w:t>784.331</w:t>
    </w:r>
    <w:r w:rsidRPr="0018087E">
      <w:rPr>
        <w:rStyle w:val="HideTWBExt"/>
      </w:rPr>
      <w:t>&lt;/NoPE&gt;&lt;Version&gt;</w:t>
    </w:r>
    <w:r w:rsidRPr="0018087E">
      <w:t>v01-00</w:t>
    </w:r>
    <w:r w:rsidRPr="0018087E">
      <w:rPr>
        <w:rStyle w:val="HideTWBExt"/>
      </w:rPr>
      <w:t>&lt;/Version&gt;</w:t>
    </w:r>
    <w:r w:rsidRPr="0018087E">
      <w:tab/>
    </w:r>
    <w:r w:rsidRPr="0018087E">
      <w:fldChar w:fldCharType="begin"/>
    </w:r>
    <w:r w:rsidRPr="0018087E">
      <w:instrText xml:space="preserve"> PAGE  \* MERGEFORMAT </w:instrText>
    </w:r>
    <w:r w:rsidRPr="0018087E">
      <w:fldChar w:fldCharType="separate"/>
    </w:r>
    <w:r w:rsidRPr="0018087E">
      <w:rPr>
        <w:noProof/>
      </w:rPr>
      <w:t>6</w:t>
    </w:r>
    <w:r w:rsidRPr="0018087E">
      <w:fldChar w:fldCharType="end"/>
    </w:r>
    <w:r w:rsidRPr="0018087E">
      <w:t>/</w:t>
    </w:r>
    <w:r w:rsidRPr="0018087E">
      <w:fldChar w:fldCharType="begin"/>
    </w:r>
    <w:r>
      <w:instrText xml:space="preserve"> NUMPAGES  \* MERGEFORMAT </w:instrText>
    </w:r>
    <w:r w:rsidRPr="0018087E">
      <w:fldChar w:fldCharType="separate"/>
    </w:r>
    <w:r w:rsidRPr="0018087E">
      <w:rPr>
        <w:noProof/>
      </w:rPr>
      <w:t>7</w:t>
    </w:r>
    <w:r w:rsidRPr="0018087E">
      <w:rPr>
        <w:noProof/>
      </w:rPr>
      <w:fldChar w:fldCharType="end"/>
    </w:r>
    <w:r w:rsidRPr="0018087E">
      <w:tab/>
    </w:r>
    <w:r w:rsidRPr="0018087E">
      <w:rPr>
        <w:rStyle w:val="HideTWBExt"/>
      </w:rPr>
      <w:t>&lt;PathFdR&gt;</w:t>
    </w:r>
    <w:r w:rsidRPr="0018087E">
      <w:t>PR\1336948MT.docx</w:t>
    </w:r>
    <w:r w:rsidRPr="0018087E">
      <w:rPr>
        <w:rStyle w:val="HideTWBExt"/>
      </w:rPr>
      <w:t>&lt;/PathFdR&gt;</w:t>
    </w:r>
  </w:p>
  <w:p w14:paraId="07E2060D" w14:textId="77777777" w:rsidR="0018087E" w:rsidRPr="0018087E" w:rsidRDefault="00EF3BB1" w:rsidP="0018087E">
    <w:pPr>
      <w:pStyle w:val="EPFooter2"/>
    </w:pPr>
    <w:r w:rsidRPr="0018087E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79308" w14:textId="77777777" w:rsidR="0018087E" w:rsidRPr="0018087E" w:rsidRDefault="00EF3BB1" w:rsidP="0018087E">
    <w:pPr>
      <w:pStyle w:val="EPFooter"/>
    </w:pPr>
    <w:r w:rsidRPr="0018087E">
      <w:rPr>
        <w:rStyle w:val="HideTWBExt"/>
      </w:rPr>
      <w:t>&lt;PathFdR&gt;</w:t>
    </w:r>
    <w:r w:rsidRPr="0018087E">
      <w:t>PR\1336948MT.docx</w:t>
    </w:r>
    <w:r w:rsidRPr="0018087E">
      <w:rPr>
        <w:rStyle w:val="HideTWBExt"/>
      </w:rPr>
      <w:t>&lt;/PathFdR&gt;</w:t>
    </w:r>
    <w:r w:rsidRPr="0018087E">
      <w:tab/>
    </w:r>
    <w:r w:rsidRPr="0018087E">
      <w:fldChar w:fldCharType="begin"/>
    </w:r>
    <w:r w:rsidRPr="0018087E">
      <w:instrText xml:space="preserve"> PAGE  \* MERGEFORMAT </w:instrText>
    </w:r>
    <w:r w:rsidRPr="0018087E">
      <w:fldChar w:fldCharType="separate"/>
    </w:r>
    <w:r w:rsidRPr="0018087E">
      <w:rPr>
        <w:noProof/>
      </w:rPr>
      <w:t>7</w:t>
    </w:r>
    <w:r w:rsidRPr="0018087E">
      <w:fldChar w:fldCharType="end"/>
    </w:r>
    <w:r w:rsidRPr="0018087E">
      <w:t>/</w:t>
    </w:r>
    <w:r w:rsidRPr="0018087E">
      <w:fldChar w:fldCharType="begin"/>
    </w:r>
    <w:r>
      <w:instrText xml:space="preserve"> NUMPAGES  \* MERGEFORMAT </w:instrText>
    </w:r>
    <w:r w:rsidRPr="0018087E">
      <w:fldChar w:fldCharType="separate"/>
    </w:r>
    <w:r w:rsidRPr="0018087E">
      <w:rPr>
        <w:noProof/>
      </w:rPr>
      <w:t>7</w:t>
    </w:r>
    <w:r w:rsidRPr="0018087E">
      <w:rPr>
        <w:noProof/>
      </w:rPr>
      <w:fldChar w:fldCharType="end"/>
    </w:r>
    <w:r w:rsidRPr="0018087E">
      <w:tab/>
      <w:t>PE</w:t>
    </w:r>
    <w:r w:rsidRPr="0018087E">
      <w:rPr>
        <w:rStyle w:val="HideTWBExt"/>
      </w:rPr>
      <w:t>&lt;NoPE&gt;</w:t>
    </w:r>
    <w:r w:rsidRPr="0018087E">
      <w:t>784.331</w:t>
    </w:r>
    <w:r w:rsidRPr="0018087E">
      <w:rPr>
        <w:rStyle w:val="HideTWBExt"/>
      </w:rPr>
      <w:t>&lt;/NoPE&gt;&lt;Version&gt;</w:t>
    </w:r>
    <w:r w:rsidRPr="0018087E">
      <w:t>v01-00</w:t>
    </w:r>
    <w:r w:rsidRPr="0018087E">
      <w:rPr>
        <w:rStyle w:val="HideTWBExt"/>
      </w:rPr>
      <w:t>&lt;/Version&gt;</w:t>
    </w:r>
  </w:p>
  <w:p w14:paraId="5D6064E8" w14:textId="77777777" w:rsidR="0018087E" w:rsidRPr="0018087E" w:rsidRDefault="00EF3BB1" w:rsidP="0018087E">
    <w:pPr>
      <w:pStyle w:val="EPFooter2"/>
    </w:pPr>
    <w:r w:rsidRPr="0018087E">
      <w:tab/>
    </w:r>
    <w:r w:rsidRPr="0018087E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E1392" w14:textId="77777777" w:rsidR="0018087E" w:rsidRPr="0018087E" w:rsidRDefault="00EF3BB1" w:rsidP="0018087E">
    <w:pPr>
      <w:pStyle w:val="EPFooter"/>
    </w:pPr>
    <w:r w:rsidRPr="0018087E">
      <w:rPr>
        <w:rStyle w:val="HideTWBExt"/>
      </w:rPr>
      <w:t>&lt;PathFdR&gt;</w:t>
    </w:r>
    <w:r w:rsidRPr="0018087E">
      <w:t>PR\1336948MT.docx</w:t>
    </w:r>
    <w:r w:rsidRPr="0018087E">
      <w:rPr>
        <w:rStyle w:val="HideTWBExt"/>
      </w:rPr>
      <w:t>&lt;/PathFdR&gt;</w:t>
    </w:r>
    <w:r w:rsidRPr="0018087E">
      <w:tab/>
    </w:r>
    <w:r w:rsidRPr="0018087E">
      <w:tab/>
      <w:t>PE</w:t>
    </w:r>
    <w:r w:rsidRPr="0018087E">
      <w:rPr>
        <w:rStyle w:val="HideTWBExt"/>
      </w:rPr>
      <w:t>&lt;NoPE&gt;</w:t>
    </w:r>
    <w:r w:rsidRPr="0018087E">
      <w:t>784.331</w:t>
    </w:r>
    <w:r w:rsidRPr="0018087E">
      <w:rPr>
        <w:rStyle w:val="HideTWBExt"/>
      </w:rPr>
      <w:t>&lt;/NoPE&gt;&lt;Version&gt;</w:t>
    </w:r>
    <w:r w:rsidRPr="0018087E">
      <w:t>v01-00</w:t>
    </w:r>
    <w:r w:rsidRPr="0018087E">
      <w:rPr>
        <w:rStyle w:val="HideTWBExt"/>
      </w:rPr>
      <w:t>&lt;/Version&gt;</w:t>
    </w:r>
  </w:p>
  <w:p w14:paraId="5061A15A" w14:textId="77777777" w:rsidR="0018087E" w:rsidRPr="0018087E" w:rsidRDefault="00EF3BB1" w:rsidP="0018087E">
    <w:pPr>
      <w:pStyle w:val="EPFooter2"/>
    </w:pPr>
    <w:r w:rsidRPr="0018087E">
      <w:t>MT</w:t>
    </w:r>
    <w:r w:rsidRPr="0018087E">
      <w:tab/>
    </w:r>
    <w:r w:rsidRPr="0018087E">
      <w:rPr>
        <w:b w:val="0"/>
        <w:i/>
        <w:color w:val="C0C0C0"/>
        <w:sz w:val="22"/>
      </w:rPr>
      <w:t>Magħquda fid-diversità</w:t>
    </w:r>
    <w:r w:rsidRPr="0018087E">
      <w:tab/>
      <w:t>MT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1DE4D" w14:textId="77777777" w:rsidR="0085501C" w:rsidRPr="0018087E" w:rsidRDefault="00EF3BB1" w:rsidP="00B6769C">
    <w:pPr>
      <w:pStyle w:val="EPFooter"/>
    </w:pPr>
    <w:r w:rsidRPr="0018087E">
      <w:rPr>
        <w:rStyle w:val="HideTWBExt"/>
      </w:rPr>
      <w:t>&lt;PathFdR&gt;</w:t>
    </w:r>
    <w:r w:rsidR="0018087E" w:rsidRPr="0018087E">
      <w:rPr>
        <w:color w:val="auto"/>
      </w:rPr>
      <w:t>PR\1336948MT.docx</w:t>
    </w:r>
    <w:r w:rsidRPr="0018087E">
      <w:rPr>
        <w:rStyle w:val="HideTWBExt"/>
      </w:rPr>
      <w:t>&lt;/PathFdR&gt;</w:t>
    </w:r>
    <w:r w:rsidRPr="0018087E">
      <w:tab/>
    </w:r>
    <w:r w:rsidRPr="0018087E">
      <w:tab/>
      <w:t>PE</w:t>
    </w:r>
    <w:r w:rsidRPr="0018087E">
      <w:rPr>
        <w:rStyle w:val="HideTWBExt"/>
      </w:rPr>
      <w:t>&lt;NoPE&gt;</w:t>
    </w:r>
    <w:r w:rsidR="0018087E" w:rsidRPr="0018087E">
      <w:rPr>
        <w:color w:val="auto"/>
      </w:rPr>
      <w:t>784.331</w:t>
    </w:r>
    <w:r w:rsidRPr="0018087E">
      <w:rPr>
        <w:rStyle w:val="HideTWBExt"/>
      </w:rPr>
      <w:t>&lt;/NoPE&gt;&lt;Version&gt;</w:t>
    </w:r>
    <w:r w:rsidR="00E867C1" w:rsidRPr="0018087E">
      <w:t>v</w:t>
    </w:r>
    <w:r w:rsidR="0018087E" w:rsidRPr="0018087E">
      <w:rPr>
        <w:color w:val="auto"/>
      </w:rPr>
      <w:t>01-00</w:t>
    </w:r>
    <w:r w:rsidRPr="0018087E">
      <w:rPr>
        <w:rStyle w:val="HideTWBExt"/>
      </w:rPr>
      <w:t>&lt;/Version&gt;</w:t>
    </w:r>
  </w:p>
  <w:p w14:paraId="0FE9FB94" w14:textId="5B94198F" w:rsidR="0085501C" w:rsidRPr="0018087E" w:rsidRDefault="00EF3BB1" w:rsidP="009612AA">
    <w:pPr>
      <w:pStyle w:val="EPFooter2"/>
      <w:tabs>
        <w:tab w:val="clear" w:pos="4535"/>
        <w:tab w:val="center" w:pos="4536"/>
      </w:tabs>
    </w:pPr>
    <w:r w:rsidRPr="0018087E">
      <w:fldChar w:fldCharType="begin"/>
    </w:r>
    <w:r w:rsidRPr="0018087E">
      <w:instrText xml:space="preserve"> DOCPROPERTY "&lt;Extension&gt;" </w:instrText>
    </w:r>
    <w:r w:rsidRPr="0018087E">
      <w:fldChar w:fldCharType="separate"/>
    </w:r>
    <w:r>
      <w:t>MT</w:t>
    </w:r>
    <w:r w:rsidRPr="0018087E">
      <w:fldChar w:fldCharType="end"/>
    </w:r>
    <w:r w:rsidRPr="0018087E">
      <w:tab/>
    </w:r>
    <w:r w:rsidR="0018087E" w:rsidRPr="0018087E">
      <w:rPr>
        <w:b w:val="0"/>
        <w:i/>
        <w:color w:val="C0C0C0"/>
        <w:sz w:val="22"/>
        <w:szCs w:val="22"/>
      </w:rPr>
      <w:t>Magħquda fid-diversità</w:t>
    </w:r>
    <w:r w:rsidRPr="0018087E">
      <w:tab/>
    </w:r>
    <w:r w:rsidRPr="0018087E">
      <w:fldChar w:fldCharType="begin"/>
    </w:r>
    <w:r w:rsidRPr="0018087E">
      <w:instrText xml:space="preserve"> DOCPROPERTY "&lt;Extension&gt;" </w:instrText>
    </w:r>
    <w:r w:rsidRPr="0018087E">
      <w:fldChar w:fldCharType="separate"/>
    </w:r>
    <w:r>
      <w:t>MT</w:t>
    </w:r>
    <w:r w:rsidRPr="0018087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333A9" w14:textId="77777777" w:rsidR="00E867C1" w:rsidRPr="0018087E" w:rsidRDefault="00EF3BB1">
      <w:r w:rsidRPr="0018087E">
        <w:separator/>
      </w:r>
    </w:p>
  </w:footnote>
  <w:footnote w:type="continuationSeparator" w:id="0">
    <w:p w14:paraId="68E700A8" w14:textId="77777777" w:rsidR="00E867C1" w:rsidRPr="0018087E" w:rsidRDefault="00EF3BB1">
      <w:r w:rsidRPr="0018087E">
        <w:continuationSeparator/>
      </w:r>
    </w:p>
  </w:footnote>
  <w:footnote w:id="1">
    <w:p w14:paraId="61366623" w14:textId="77777777" w:rsidR="0018087E" w:rsidRPr="0018087E" w:rsidRDefault="00EF3BB1" w:rsidP="0018087E">
      <w:pPr>
        <w:pStyle w:val="FootnoteText"/>
      </w:pPr>
      <w:r>
        <w:rPr>
          <w:rStyle w:val="FootnoteReference"/>
        </w:rPr>
        <w:footnoteRef/>
      </w:r>
      <w:r>
        <w:t xml:space="preserve"> Il-Ftehim Interistituzzjonali tal-20 ta’ Mejju 2021 bejn il-Parlament Ewropew, il-Kunsill tal-Unjoni Ewropea u l-Kummissjoni Ewropea dwar Reġistru Obbligatorju ta’ Trasparenza (ĠU L 207, 11.6.2021, p. 1, ELI: </w:t>
      </w:r>
      <w:hyperlink r:id="rId1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AA275" w14:textId="77777777" w:rsidR="007E271B" w:rsidRDefault="007E27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D4F0D0" w14:textId="77777777" w:rsidR="007E271B" w:rsidRDefault="007E27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E8A7D" w14:textId="77777777" w:rsidR="007E271B" w:rsidRDefault="007E27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81134865">
    <w:abstractNumId w:val="9"/>
  </w:num>
  <w:num w:numId="2" w16cid:durableId="656301624">
    <w:abstractNumId w:val="9"/>
  </w:num>
  <w:num w:numId="3" w16cid:durableId="1059402476">
    <w:abstractNumId w:val="7"/>
  </w:num>
  <w:num w:numId="4" w16cid:durableId="889683873">
    <w:abstractNumId w:val="7"/>
  </w:num>
  <w:num w:numId="5" w16cid:durableId="797450355">
    <w:abstractNumId w:val="6"/>
  </w:num>
  <w:num w:numId="6" w16cid:durableId="1841892009">
    <w:abstractNumId w:val="6"/>
  </w:num>
  <w:num w:numId="7" w16cid:durableId="607585731">
    <w:abstractNumId w:val="5"/>
  </w:num>
  <w:num w:numId="8" w16cid:durableId="1547721162">
    <w:abstractNumId w:val="5"/>
  </w:num>
  <w:num w:numId="9" w16cid:durableId="894121855">
    <w:abstractNumId w:val="4"/>
  </w:num>
  <w:num w:numId="10" w16cid:durableId="1570268468">
    <w:abstractNumId w:val="4"/>
  </w:num>
  <w:num w:numId="11" w16cid:durableId="77142547">
    <w:abstractNumId w:val="8"/>
  </w:num>
  <w:num w:numId="12" w16cid:durableId="1673138592">
    <w:abstractNumId w:val="8"/>
  </w:num>
  <w:num w:numId="13" w16cid:durableId="453913634">
    <w:abstractNumId w:val="3"/>
  </w:num>
  <w:num w:numId="14" w16cid:durableId="728848855">
    <w:abstractNumId w:val="3"/>
  </w:num>
  <w:num w:numId="15" w16cid:durableId="975526654">
    <w:abstractNumId w:val="2"/>
  </w:num>
  <w:num w:numId="16" w16cid:durableId="36856614">
    <w:abstractNumId w:val="2"/>
  </w:num>
  <w:num w:numId="17" w16cid:durableId="781608800">
    <w:abstractNumId w:val="1"/>
  </w:num>
  <w:num w:numId="18" w16cid:durableId="881524861">
    <w:abstractNumId w:val="1"/>
  </w:num>
  <w:num w:numId="19" w16cid:durableId="1127426827">
    <w:abstractNumId w:val="0"/>
  </w:num>
  <w:num w:numId="20" w16cid:durableId="1623657090">
    <w:abstractNumId w:val="0"/>
  </w:num>
  <w:num w:numId="21" w16cid:durableId="1879583097">
    <w:abstractNumId w:val="9"/>
  </w:num>
  <w:num w:numId="22" w16cid:durableId="572545998">
    <w:abstractNumId w:val="7"/>
  </w:num>
  <w:num w:numId="23" w16cid:durableId="1174491101">
    <w:abstractNumId w:val="6"/>
  </w:num>
  <w:num w:numId="24" w16cid:durableId="26760969">
    <w:abstractNumId w:val="5"/>
  </w:num>
  <w:num w:numId="25" w16cid:durableId="545917568">
    <w:abstractNumId w:val="4"/>
  </w:num>
  <w:num w:numId="26" w16cid:durableId="1187600346">
    <w:abstractNumId w:val="8"/>
  </w:num>
  <w:num w:numId="27" w16cid:durableId="409350263">
    <w:abstractNumId w:val="3"/>
  </w:num>
  <w:num w:numId="28" w16cid:durableId="991639662">
    <w:abstractNumId w:val="2"/>
  </w:num>
  <w:num w:numId="29" w16cid:durableId="1365643158">
    <w:abstractNumId w:val="1"/>
  </w:num>
  <w:num w:numId="30" w16cid:durableId="1578898003">
    <w:abstractNumId w:val="0"/>
  </w:num>
  <w:num w:numId="31" w16cid:durableId="1584560314">
    <w:abstractNumId w:val="9"/>
  </w:num>
  <w:num w:numId="32" w16cid:durableId="331878183">
    <w:abstractNumId w:val="7"/>
  </w:num>
  <w:num w:numId="33" w16cid:durableId="927614671">
    <w:abstractNumId w:val="6"/>
  </w:num>
  <w:num w:numId="34" w16cid:durableId="1540320277">
    <w:abstractNumId w:val="5"/>
  </w:num>
  <w:num w:numId="35" w16cid:durableId="1904752963">
    <w:abstractNumId w:val="4"/>
  </w:num>
  <w:num w:numId="36" w16cid:durableId="428549561">
    <w:abstractNumId w:val="8"/>
  </w:num>
  <w:num w:numId="37" w16cid:durableId="595138764">
    <w:abstractNumId w:val="3"/>
  </w:num>
  <w:num w:numId="38" w16cid:durableId="797602020">
    <w:abstractNumId w:val="2"/>
  </w:num>
  <w:num w:numId="39" w16cid:durableId="1687827941">
    <w:abstractNumId w:val="1"/>
  </w:num>
  <w:num w:numId="40" w16cid:durableId="1861817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KEY" w:val="LIBE"/>
    <w:docVar w:name="DOCDT" w:val="05/02/2026"/>
    <w:docVar w:name="LastEditedSection" w:val=" 1"/>
    <w:docVar w:name="strDocTypeID" w:val="PR_NLE-AP_Agreement"/>
    <w:docVar w:name="strSubDir" w:val="1336"/>
    <w:docVar w:name="TXTAUTHOR" w:val="Jaroslav Bžoch"/>
    <w:docVar w:name="TXTLANGUE" w:val="MT"/>
    <w:docVar w:name="TXTLANGUEMIN" w:val="mt"/>
    <w:docVar w:name="TXTNRNLE" w:val="2024/0145"/>
    <w:docVar w:name="TXTNRPE" w:val="784.331"/>
    <w:docVar w:name="TXTPEorAP" w:val="PE"/>
    <w:docVar w:name="TXTROUTE" w:val="PR\1336948MT.docx"/>
    <w:docVar w:name="TXTVERSION" w:val="01-00"/>
  </w:docVars>
  <w:rsids>
    <w:rsidRoot w:val="00E867C1"/>
    <w:rsid w:val="00001D52"/>
    <w:rsid w:val="0000443F"/>
    <w:rsid w:val="000053E3"/>
    <w:rsid w:val="00016E55"/>
    <w:rsid w:val="0006167F"/>
    <w:rsid w:val="00061EFE"/>
    <w:rsid w:val="00095D8B"/>
    <w:rsid w:val="000A2F73"/>
    <w:rsid w:val="000C123D"/>
    <w:rsid w:val="000D78AF"/>
    <w:rsid w:val="00180664"/>
    <w:rsid w:val="0018087E"/>
    <w:rsid w:val="001874D8"/>
    <w:rsid w:val="001D02E3"/>
    <w:rsid w:val="001F7BBE"/>
    <w:rsid w:val="0021049A"/>
    <w:rsid w:val="0022685A"/>
    <w:rsid w:val="002E2E20"/>
    <w:rsid w:val="002F5A83"/>
    <w:rsid w:val="003072BE"/>
    <w:rsid w:val="00337C92"/>
    <w:rsid w:val="00363B94"/>
    <w:rsid w:val="003B1AB5"/>
    <w:rsid w:val="003B598C"/>
    <w:rsid w:val="004174FC"/>
    <w:rsid w:val="00460BD6"/>
    <w:rsid w:val="004859B3"/>
    <w:rsid w:val="00486FAE"/>
    <w:rsid w:val="004C083C"/>
    <w:rsid w:val="004E1650"/>
    <w:rsid w:val="005027B1"/>
    <w:rsid w:val="0053367A"/>
    <w:rsid w:val="00544D48"/>
    <w:rsid w:val="005877C0"/>
    <w:rsid w:val="005A6B14"/>
    <w:rsid w:val="005D0B97"/>
    <w:rsid w:val="005F5D6C"/>
    <w:rsid w:val="006132CE"/>
    <w:rsid w:val="00613F2E"/>
    <w:rsid w:val="006A1A75"/>
    <w:rsid w:val="006A2CF5"/>
    <w:rsid w:val="006F1B6F"/>
    <w:rsid w:val="00791637"/>
    <w:rsid w:val="007E271B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D5D0C"/>
    <w:rsid w:val="00B31D18"/>
    <w:rsid w:val="00B3686F"/>
    <w:rsid w:val="00B42885"/>
    <w:rsid w:val="00B50C20"/>
    <w:rsid w:val="00B6769C"/>
    <w:rsid w:val="00B77BB8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85D0F"/>
    <w:rsid w:val="00CB5651"/>
    <w:rsid w:val="00CC20CB"/>
    <w:rsid w:val="00CF44DF"/>
    <w:rsid w:val="00D04E0B"/>
    <w:rsid w:val="00D62DA0"/>
    <w:rsid w:val="00D6543C"/>
    <w:rsid w:val="00DF594D"/>
    <w:rsid w:val="00E14FEE"/>
    <w:rsid w:val="00E71368"/>
    <w:rsid w:val="00E867C1"/>
    <w:rsid w:val="00E93816"/>
    <w:rsid w:val="00EA59ED"/>
    <w:rsid w:val="00EF3BB1"/>
    <w:rsid w:val="00EF48F2"/>
    <w:rsid w:val="00F04010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506036"/>
  <w15:chartTrackingRefBased/>
  <w15:docId w15:val="{2B63D7E5-5FAC-48B2-B78A-3C580F31C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18087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18087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18087E"/>
    <w:rPr>
      <w:sz w:val="18"/>
    </w:rPr>
  </w:style>
  <w:style w:type="paragraph" w:styleId="FootnoteText">
    <w:name w:val="footnote text"/>
    <w:basedOn w:val="Normal"/>
    <w:link w:val="FootnoteTextChar"/>
    <w:rsid w:val="0018087E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18087E"/>
  </w:style>
  <w:style w:type="character" w:styleId="FootnoteReference">
    <w:name w:val="footnote reference"/>
    <w:basedOn w:val="DefaultParagraphFont"/>
    <w:rsid w:val="0018087E"/>
    <w:rPr>
      <w:vertAlign w:val="superscript"/>
    </w:rPr>
  </w:style>
  <w:style w:type="character" w:styleId="Hyperlink">
    <w:name w:val="Hyperlink"/>
    <w:basedOn w:val="DefaultParagraphFont"/>
    <w:rsid w:val="0018087E"/>
    <w:rPr>
      <w:color w:val="0563C1" w:themeColor="hyperlink"/>
      <w:u w:val="single"/>
    </w:rPr>
  </w:style>
  <w:style w:type="paragraph" w:styleId="Footer">
    <w:name w:val="footer"/>
    <w:basedOn w:val="Normal"/>
    <w:link w:val="FooterChar"/>
    <w:semiHidden/>
    <w:rsid w:val="007E271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E271B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instit/2021/611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grima\AppData\Local\Temp\PR_NLE-AP_Agreemen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CFCE4-4C56-492C-8A66-45D618C03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PR_NLE-AP_Agreement.dotx</Template>
  <TotalTime>0</TotalTime>
  <Pages>8</Pages>
  <Words>822</Words>
  <Characters>6479</Characters>
  <Application>Microsoft Office Word</Application>
  <DocSecurity>0</DocSecurity>
  <Lines>134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7248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GRIMA Cherise-Marie</dc:creator>
  <cp:lastModifiedBy>GRIMA Cherise-Marie</cp:lastModifiedBy>
  <cp:revision>2</cp:revision>
  <cp:lastPrinted>2002-12-11T09:25:00Z</cp:lastPrinted>
  <dcterms:created xsi:type="dcterms:W3CDTF">2026-02-16T11:58:00Z</dcterms:created>
  <dcterms:modified xsi:type="dcterms:W3CDTF">2026-02-16T11:58:00Z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1336948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\\eiciLUXpr1\pdocep$\DocEP\DOCS\General\PR\PR_Leg\NLE\PR_NLE-AP_Agreement.dotx(12/08/2024 16:05:00)</vt:lpwstr>
  </property>
  <property fmtid="{D5CDD505-2E9C-101B-9397-08002B2CF9AE}" pid="6" name="&lt;ModelTra&gt;">
    <vt:lpwstr>\\eiciLUXpr1\pdocep$\DocEP\TRANSFIL\MT\PR_NLE-AP_Agreement.MT(25/09/2024 10:26:00)</vt:lpwstr>
  </property>
  <property fmtid="{D5CDD505-2E9C-101B-9397-08002B2CF9AE}" pid="7" name="&lt;Type&gt;">
    <vt:lpwstr>PR</vt:lpwstr>
  </property>
  <property fmtid="{D5CDD505-2E9C-101B-9397-08002B2CF9AE}" pid="8" name="Bookout">
    <vt:lpwstr>OK - 2026/02/16 12:58</vt:lpwstr>
  </property>
  <property fmtid="{D5CDD505-2E9C-101B-9397-08002B2CF9AE}" pid="9" name="Created with">
    <vt:lpwstr>10.2.1 Build [20260110]</vt:lpwstr>
  </property>
  <property fmtid="{D5CDD505-2E9C-101B-9397-08002B2CF9AE}" pid="10" name="FooterPath">
    <vt:lpwstr>PR\1336948MT.docx</vt:lpwstr>
  </property>
  <property fmtid="{D5CDD505-2E9C-101B-9397-08002B2CF9AE}" pid="11" name="LastEdited with">
    <vt:lpwstr>10.2.1 Build [20260110]</vt:lpwstr>
  </property>
  <property fmtid="{D5CDD505-2E9C-101B-9397-08002B2CF9AE}" pid="12" name="PE number">
    <vt:lpwstr>784.331</vt:lpwstr>
  </property>
  <property fmtid="{D5CDD505-2E9C-101B-9397-08002B2CF9AE}" pid="13" name="SDLStudio">
    <vt:lpwstr/>
  </property>
</Properties>
</file>