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9E4AF1" w14:paraId="321EDD65" w14:textId="77777777" w:rsidTr="00C85D0F">
        <w:trPr>
          <w:trHeight w:hRule="exact" w:val="1418"/>
        </w:trPr>
        <w:tc>
          <w:tcPr>
            <w:tcW w:w="6804" w:type="dxa"/>
            <w:shd w:val="clear" w:color="auto" w:fill="auto"/>
            <w:vAlign w:val="center"/>
          </w:tcPr>
          <w:p w14:paraId="204D75EE" w14:textId="77777777" w:rsidR="00C05DD8" w:rsidRPr="009E4AF1" w:rsidRDefault="00B117C6" w:rsidP="00C85D0F">
            <w:pPr>
              <w:pStyle w:val="EPName"/>
            </w:pPr>
            <w:bookmarkStart w:id="0" w:name="iStart"/>
            <w:bookmarkEnd w:id="0"/>
            <w:r w:rsidRPr="009E4AF1">
              <w:t>Europees Parlement</w:t>
            </w:r>
          </w:p>
          <w:p w14:paraId="56B1E71A" w14:textId="1116D8A8" w:rsidR="00C05DD8" w:rsidRPr="009E4AF1" w:rsidRDefault="00A55926" w:rsidP="00C85D0F">
            <w:pPr>
              <w:pStyle w:val="EPTerm"/>
            </w:pPr>
            <w:r w:rsidRPr="009E4AF1">
              <w:t>2024-2029</w:t>
            </w:r>
          </w:p>
        </w:tc>
        <w:tc>
          <w:tcPr>
            <w:tcW w:w="2268" w:type="dxa"/>
            <w:shd w:val="clear" w:color="auto" w:fill="auto"/>
          </w:tcPr>
          <w:p w14:paraId="01FBC0C4" w14:textId="77777777" w:rsidR="00C05DD8" w:rsidRPr="009E4AF1" w:rsidRDefault="00C05DD8" w:rsidP="00C85D0F">
            <w:pPr>
              <w:pStyle w:val="EPLogo"/>
            </w:pPr>
            <w:r w:rsidRPr="009E4AF1">
              <w:rPr>
                <w:noProof/>
                <w:lang w:eastAsia="ja-JP"/>
              </w:rPr>
              <w:drawing>
                <wp:inline distT="0" distB="0" distL="0" distR="0" wp14:anchorId="415083A4" wp14:editId="48D6FC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203C64" w14:textId="77777777" w:rsidR="009612AA" w:rsidRPr="009E4AF1" w:rsidRDefault="009612AA" w:rsidP="009612AA">
      <w:pPr>
        <w:pStyle w:val="LineTop"/>
      </w:pPr>
    </w:p>
    <w:p w14:paraId="20B9AADC" w14:textId="07060ADA" w:rsidR="009612AA" w:rsidRPr="009E4AF1" w:rsidRDefault="009612AA" w:rsidP="009612AA">
      <w:pPr>
        <w:pStyle w:val="EPBody"/>
      </w:pPr>
      <w:r w:rsidRPr="009E4AF1">
        <w:rPr>
          <w:rStyle w:val="HideTWBExt"/>
        </w:rPr>
        <w:t>&lt;</w:t>
      </w:r>
      <w:r w:rsidRPr="009E4AF1">
        <w:rPr>
          <w:rStyle w:val="HideTWBExt"/>
          <w:i w:val="0"/>
        </w:rPr>
        <w:t>Commission</w:t>
      </w:r>
      <w:r w:rsidRPr="009E4AF1">
        <w:rPr>
          <w:rStyle w:val="HideTWBExt"/>
        </w:rPr>
        <w:t>&gt;</w:t>
      </w:r>
      <w:r w:rsidRPr="009E4AF1">
        <w:rPr>
          <w:rStyle w:val="HideTWBInt"/>
        </w:rPr>
        <w:t>{LIBE}</w:t>
      </w:r>
      <w:r w:rsidRPr="009E4AF1">
        <w:t>Commissie burgerlijke vrijheden, justitie en binnenlandse zaken</w:t>
      </w:r>
      <w:r w:rsidRPr="009E4AF1">
        <w:rPr>
          <w:rStyle w:val="HideTWBExt"/>
        </w:rPr>
        <w:t>&lt;/</w:t>
      </w:r>
      <w:r w:rsidRPr="009E4AF1">
        <w:rPr>
          <w:rStyle w:val="HideTWBExt"/>
          <w:i w:val="0"/>
        </w:rPr>
        <w:t>Commission</w:t>
      </w:r>
      <w:r w:rsidRPr="009E4AF1">
        <w:rPr>
          <w:rStyle w:val="HideTWBExt"/>
        </w:rPr>
        <w:t>&gt;</w:t>
      </w:r>
    </w:p>
    <w:p w14:paraId="0DDC8E4B" w14:textId="77777777" w:rsidR="009612AA" w:rsidRPr="009E4AF1" w:rsidRDefault="009612AA" w:rsidP="009612AA">
      <w:pPr>
        <w:pStyle w:val="LineBottom"/>
      </w:pPr>
    </w:p>
    <w:p w14:paraId="614B9AF3" w14:textId="3EE0111F" w:rsidR="00363B94" w:rsidRPr="009E4AF1" w:rsidRDefault="00363B94">
      <w:pPr>
        <w:pStyle w:val="CoverReference"/>
      </w:pPr>
      <w:r w:rsidRPr="009E4AF1">
        <w:rPr>
          <w:rStyle w:val="HideTWBExt"/>
          <w:b w:val="0"/>
        </w:rPr>
        <w:t>&lt;RefProc&gt;</w:t>
      </w:r>
      <w:r w:rsidRPr="009E4AF1">
        <w:t>2025/0145</w:t>
      </w:r>
      <w:r w:rsidRPr="009E4AF1">
        <w:rPr>
          <w:rStyle w:val="HideTWBExt"/>
          <w:b w:val="0"/>
        </w:rPr>
        <w:t>&lt;/RefProc&gt;&lt;RefTypeProc&gt;</w:t>
      </w:r>
      <w:r w:rsidRPr="009E4AF1">
        <w:t>(NLE)</w:t>
      </w:r>
      <w:r w:rsidRPr="009E4AF1">
        <w:rPr>
          <w:rStyle w:val="HideTWBExt"/>
          <w:b w:val="0"/>
        </w:rPr>
        <w:t>&lt;/RefTypeProc&gt;</w:t>
      </w:r>
    </w:p>
    <w:p w14:paraId="2C8455F6" w14:textId="3E8A4CEC" w:rsidR="00363B94" w:rsidRPr="009E4AF1" w:rsidRDefault="00363B94">
      <w:pPr>
        <w:pStyle w:val="CoverDate"/>
      </w:pPr>
      <w:r w:rsidRPr="009E4AF1">
        <w:rPr>
          <w:rStyle w:val="HideTWBExt"/>
        </w:rPr>
        <w:t>&lt;Date&gt;</w:t>
      </w:r>
      <w:r w:rsidRPr="009E4AF1">
        <w:rPr>
          <w:rStyle w:val="HideTWBInt"/>
        </w:rPr>
        <w:t>{05/02/2026}</w:t>
      </w:r>
      <w:r w:rsidRPr="009E4AF1">
        <w:t>5.2.2026</w:t>
      </w:r>
      <w:r w:rsidRPr="009E4AF1">
        <w:rPr>
          <w:rStyle w:val="HideTWBExt"/>
        </w:rPr>
        <w:t>&lt;/Date&gt;</w:t>
      </w:r>
    </w:p>
    <w:p w14:paraId="6BE2979B" w14:textId="77777777" w:rsidR="00363B94" w:rsidRPr="009E4AF1" w:rsidRDefault="00363B94">
      <w:pPr>
        <w:pStyle w:val="CoverDocType"/>
      </w:pPr>
      <w:r w:rsidRPr="009E4AF1">
        <w:rPr>
          <w:rStyle w:val="HideTWBExt"/>
          <w:b w:val="0"/>
        </w:rPr>
        <w:t>&lt;RefProcLect&gt;</w:t>
      </w:r>
      <w:r w:rsidRPr="009E4AF1">
        <w:t>***</w:t>
      </w:r>
      <w:r w:rsidRPr="009E4AF1">
        <w:rPr>
          <w:rStyle w:val="HideTWBExt"/>
          <w:b w:val="0"/>
        </w:rPr>
        <w:t>&lt;/RefProcLect&gt;</w:t>
      </w:r>
    </w:p>
    <w:p w14:paraId="6EDEFBF5" w14:textId="77777777" w:rsidR="00363B94" w:rsidRPr="009E4AF1" w:rsidRDefault="00363B94">
      <w:pPr>
        <w:pStyle w:val="CoverDocType24a"/>
      </w:pPr>
      <w:r w:rsidRPr="009E4AF1">
        <w:rPr>
          <w:rStyle w:val="HideTWBExt"/>
          <w:b w:val="0"/>
        </w:rPr>
        <w:t>&lt;TitreType&gt;</w:t>
      </w:r>
      <w:r w:rsidRPr="009E4AF1">
        <w:t>ONTWERPAANBEVELING</w:t>
      </w:r>
      <w:r w:rsidRPr="009E4AF1">
        <w:rPr>
          <w:rStyle w:val="HideTWBExt"/>
          <w:b w:val="0"/>
        </w:rPr>
        <w:t>&lt;/TitreType&gt;</w:t>
      </w:r>
    </w:p>
    <w:p w14:paraId="7B74E082" w14:textId="769D6979" w:rsidR="00363B94" w:rsidRPr="009E4AF1" w:rsidRDefault="00363B94">
      <w:pPr>
        <w:pStyle w:val="CoverNormal"/>
      </w:pPr>
      <w:r w:rsidRPr="009E4AF1">
        <w:rPr>
          <w:rStyle w:val="HideTWBExt"/>
        </w:rPr>
        <w:t>&lt;Titre&gt;</w:t>
      </w:r>
      <w:r w:rsidRPr="009E4AF1">
        <w:t>over het ontwerp van besluit van de Raad betreffende de ondertekening, namens de Europese Unie, van de Overeenkomst tussen de Europese Unie en het Koninkrijk Noorwegen over de doorgifte van persoonsgegevens van passagiers (PNR-gegevens) met het oog op het voorkomen, opsporen, onderzoeken en vervolgen van terroristische misdrijven en ernstige criminaliteit</w:t>
      </w:r>
      <w:r w:rsidRPr="009E4AF1">
        <w:rPr>
          <w:rStyle w:val="HideTWBExt"/>
        </w:rPr>
        <w:t>&lt;/Titre&gt;</w:t>
      </w:r>
    </w:p>
    <w:p w14:paraId="4DD5DAD4" w14:textId="3EDD2CE0" w:rsidR="00363B94" w:rsidRPr="009E4AF1" w:rsidRDefault="00363B94">
      <w:pPr>
        <w:pStyle w:val="CoverNormal24a"/>
      </w:pPr>
      <w:r w:rsidRPr="009E4AF1">
        <w:rPr>
          <w:rStyle w:val="HideTWBExt"/>
        </w:rPr>
        <w:t>&lt;DocRef&gt;</w:t>
      </w:r>
      <w:r w:rsidRPr="009E4AF1">
        <w:t>(11280/2025 – C10</w:t>
      </w:r>
      <w:r w:rsidRPr="009E4AF1">
        <w:noBreakHyphen/>
        <w:t>0279/2025 – 2025/0145(NLE))</w:t>
      </w:r>
      <w:r w:rsidRPr="009E4AF1">
        <w:rPr>
          <w:rStyle w:val="HideTWBExt"/>
        </w:rPr>
        <w:t>&lt;/DocRef&gt;</w:t>
      </w:r>
    </w:p>
    <w:p w14:paraId="2038DDBF" w14:textId="55317A98" w:rsidR="00363B94" w:rsidRPr="009E4AF1" w:rsidRDefault="00363B94">
      <w:pPr>
        <w:pStyle w:val="CoverNormal24a"/>
      </w:pPr>
      <w:r w:rsidRPr="009E4AF1">
        <w:rPr>
          <w:rStyle w:val="HideTWBExt"/>
        </w:rPr>
        <w:t>&lt;Commission&gt;</w:t>
      </w:r>
      <w:r w:rsidRPr="009E4AF1">
        <w:rPr>
          <w:rStyle w:val="HideTWBInt"/>
        </w:rPr>
        <w:t>{LIBE}</w:t>
      </w:r>
      <w:r w:rsidRPr="009E4AF1">
        <w:t>Commissie burgerlijke vrijheden, justitie en binnenlandse zaken</w:t>
      </w:r>
      <w:r w:rsidRPr="009E4AF1">
        <w:rPr>
          <w:rStyle w:val="HideTWBExt"/>
        </w:rPr>
        <w:t>&lt;/Commission&gt;</w:t>
      </w:r>
    </w:p>
    <w:p w14:paraId="409F9CFD" w14:textId="0AE16BE1" w:rsidR="00363B94" w:rsidRPr="009E4AF1" w:rsidRDefault="00B117C6">
      <w:pPr>
        <w:pStyle w:val="CoverNormal24a"/>
      </w:pPr>
      <w:r w:rsidRPr="009E4AF1">
        <w:t xml:space="preserve">Rapporteur: </w:t>
      </w:r>
      <w:r w:rsidRPr="009E4AF1">
        <w:rPr>
          <w:rStyle w:val="HideTWBExt"/>
        </w:rPr>
        <w:t>&lt;Depute&gt;</w:t>
      </w:r>
      <w:r w:rsidRPr="009E4AF1">
        <w:t>Jaroslav Bžoch</w:t>
      </w:r>
      <w:r w:rsidRPr="009E4AF1">
        <w:rPr>
          <w:rStyle w:val="HideTWBExt"/>
        </w:rPr>
        <w:t>&lt;/Depute&gt;</w:t>
      </w:r>
    </w:p>
    <w:p w14:paraId="46565D04" w14:textId="77777777" w:rsidR="00B42885" w:rsidRPr="009E4AF1" w:rsidRDefault="00B42885" w:rsidP="00B42885">
      <w:pPr>
        <w:pStyle w:val="CoverNormal"/>
      </w:pPr>
    </w:p>
    <w:p w14:paraId="2B03489D" w14:textId="64365B03" w:rsidR="00A55926" w:rsidRPr="009E4AF1" w:rsidRDefault="00363B94" w:rsidP="00016E55">
      <w:r w:rsidRPr="009E4AF1">
        <w:br w:type="page"/>
      </w:r>
      <w:fldSimple w:instr=" TITLE  \* MERGEFORMAT ">
        <w:r w:rsidR="00904559">
          <w:t>PR_NLE-AP_Agreement</w:t>
        </w:r>
      </w:fldSimple>
    </w:p>
    <w:p w14:paraId="38057252" w14:textId="77777777" w:rsidR="00A55926" w:rsidRPr="009E4AF1" w:rsidRDefault="00A55926" w:rsidP="00016E55"/>
    <w:p w14:paraId="43FF91F9" w14:textId="77777777" w:rsidR="00A55926" w:rsidRPr="009E4AF1" w:rsidRDefault="00A55926"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55926" w:rsidRPr="009E4AF1" w14:paraId="311D9AF2" w14:textId="77777777">
        <w:tc>
          <w:tcPr>
            <w:tcW w:w="5811" w:type="dxa"/>
          </w:tcPr>
          <w:p w14:paraId="3E8FE3A9" w14:textId="77777777" w:rsidR="00A55926" w:rsidRPr="009E4AF1" w:rsidRDefault="00A55926" w:rsidP="00016E55">
            <w:pPr>
              <w:pStyle w:val="Lgendetitre"/>
            </w:pPr>
            <w:r w:rsidRPr="009E4AF1">
              <w:t>Verklaring van de gebruikte tekens</w:t>
            </w:r>
          </w:p>
        </w:tc>
      </w:tr>
      <w:tr w:rsidR="00A55926" w:rsidRPr="009E4AF1" w14:paraId="7C381B05" w14:textId="77777777" w:rsidTr="004247A2">
        <w:trPr>
          <w:cantSplit/>
          <w:trHeight w:val="1807"/>
        </w:trPr>
        <w:tc>
          <w:tcPr>
            <w:tcW w:w="5811" w:type="dxa"/>
            <w:tcBorders>
              <w:bottom w:val="single" w:sz="4" w:space="0" w:color="auto"/>
            </w:tcBorders>
          </w:tcPr>
          <w:p w14:paraId="57CDF381" w14:textId="77777777" w:rsidR="00A55926" w:rsidRPr="009E4AF1" w:rsidRDefault="00A55926" w:rsidP="00717061">
            <w:pPr>
              <w:pStyle w:val="Lgendesigne"/>
            </w:pPr>
            <w:r w:rsidRPr="009E4AF1">
              <w:tab/>
              <w:t>*</w:t>
            </w:r>
            <w:r w:rsidRPr="009E4AF1">
              <w:tab/>
              <w:t>Raadplegingsprocedure</w:t>
            </w:r>
          </w:p>
          <w:p w14:paraId="1303818B" w14:textId="77777777" w:rsidR="00A55926" w:rsidRPr="009E4AF1" w:rsidRDefault="00A55926" w:rsidP="00717061">
            <w:pPr>
              <w:pStyle w:val="Lgendesigne"/>
            </w:pPr>
            <w:r w:rsidRPr="009E4AF1">
              <w:tab/>
              <w:t>***</w:t>
            </w:r>
            <w:r w:rsidRPr="009E4AF1">
              <w:tab/>
              <w:t>Goedkeuringsprocedure</w:t>
            </w:r>
          </w:p>
          <w:p w14:paraId="088D77A2" w14:textId="77777777" w:rsidR="00A55926" w:rsidRPr="009E4AF1" w:rsidRDefault="00A55926" w:rsidP="00717061">
            <w:pPr>
              <w:pStyle w:val="Lgendesigne"/>
            </w:pPr>
            <w:r w:rsidRPr="009E4AF1">
              <w:tab/>
              <w:t>***I</w:t>
            </w:r>
            <w:r w:rsidRPr="009E4AF1">
              <w:tab/>
              <w:t>Gewone wetgevingsprocedure (eerste lezing)</w:t>
            </w:r>
          </w:p>
          <w:p w14:paraId="363335ED" w14:textId="77777777" w:rsidR="00A55926" w:rsidRPr="009E4AF1" w:rsidRDefault="00A55926" w:rsidP="00717061">
            <w:pPr>
              <w:pStyle w:val="Lgendesigne"/>
            </w:pPr>
            <w:r w:rsidRPr="009E4AF1">
              <w:tab/>
              <w:t>***II</w:t>
            </w:r>
            <w:r w:rsidRPr="009E4AF1">
              <w:tab/>
              <w:t>Gewone wetgevingsprocedure (tweede lezing)</w:t>
            </w:r>
          </w:p>
          <w:p w14:paraId="65A8A827" w14:textId="77777777" w:rsidR="00A55926" w:rsidRPr="009E4AF1" w:rsidRDefault="00A55926" w:rsidP="00717061">
            <w:pPr>
              <w:pStyle w:val="Lgendesigne"/>
            </w:pPr>
            <w:r w:rsidRPr="009E4AF1">
              <w:tab/>
              <w:t>***III</w:t>
            </w:r>
            <w:r w:rsidRPr="009E4AF1">
              <w:tab/>
              <w:t>Gewone wetgevingsprocedure (derde lezing)</w:t>
            </w:r>
          </w:p>
          <w:p w14:paraId="1247BEF5" w14:textId="77777777" w:rsidR="00A55926" w:rsidRPr="009E4AF1" w:rsidRDefault="00A55926" w:rsidP="00717061">
            <w:pPr>
              <w:pStyle w:val="Lgendestandard"/>
            </w:pPr>
          </w:p>
          <w:p w14:paraId="657567DC" w14:textId="77777777" w:rsidR="00A55926" w:rsidRPr="009E4AF1" w:rsidRDefault="00A55926" w:rsidP="00717061">
            <w:pPr>
              <w:pStyle w:val="Lgendestandard"/>
            </w:pPr>
            <w:r w:rsidRPr="009E4AF1">
              <w:t>(De aangeduide procedure is gebaseerd op de in de ontwerphandeling voorgestelde rechtsgrond.)</w:t>
            </w:r>
          </w:p>
          <w:p w14:paraId="641E5F3A" w14:textId="77777777" w:rsidR="00A55926" w:rsidRPr="009E4AF1" w:rsidRDefault="00A55926" w:rsidP="00B837B7">
            <w:pPr>
              <w:pStyle w:val="Lgendestandard"/>
            </w:pPr>
          </w:p>
        </w:tc>
      </w:tr>
    </w:tbl>
    <w:p w14:paraId="0F717EB0" w14:textId="77777777" w:rsidR="00A55926" w:rsidRPr="009E4AF1" w:rsidRDefault="00A55926" w:rsidP="00016E55"/>
    <w:p w14:paraId="7A3B4AC0" w14:textId="1015E0C2" w:rsidR="00363B94" w:rsidRPr="009E4AF1" w:rsidRDefault="00363B94" w:rsidP="00613F2E">
      <w:pPr>
        <w:widowControl/>
        <w:tabs>
          <w:tab w:val="center" w:pos="4677"/>
        </w:tabs>
      </w:pPr>
    </w:p>
    <w:p w14:paraId="4FAFA1F5" w14:textId="77777777" w:rsidR="00363B94" w:rsidRPr="009E4AF1" w:rsidRDefault="00363B94">
      <w:pPr>
        <w:pStyle w:val="TOCHeading"/>
      </w:pPr>
      <w:r w:rsidRPr="009E4AF1">
        <w:br w:type="page"/>
      </w:r>
      <w:r w:rsidRPr="009E4AF1">
        <w:lastRenderedPageBreak/>
        <w:t>INHOUD</w:t>
      </w:r>
    </w:p>
    <w:p w14:paraId="1FE517BC" w14:textId="77777777" w:rsidR="00363B94" w:rsidRPr="009E4AF1" w:rsidRDefault="00B117C6">
      <w:pPr>
        <w:pStyle w:val="TOCPage"/>
      </w:pPr>
      <w:r w:rsidRPr="009E4AF1">
        <w:t>Blz.</w:t>
      </w:r>
    </w:p>
    <w:p w14:paraId="38FCE936" w14:textId="20CFC11B" w:rsidR="00904559"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E4AF1">
        <w:fldChar w:fldCharType="begin"/>
      </w:r>
      <w:r w:rsidRPr="009E4AF1">
        <w:instrText xml:space="preserve"> TOC \t "PageHeading</w:instrText>
      </w:r>
      <w:r w:rsidR="00BA4F74" w:rsidRPr="009E4AF1">
        <w:instrText>;</w:instrText>
      </w:r>
      <w:r w:rsidRPr="009E4AF1">
        <w:instrText xml:space="preserve">1" </w:instrText>
      </w:r>
      <w:r w:rsidRPr="009E4AF1">
        <w:fldChar w:fldCharType="separate"/>
      </w:r>
      <w:r w:rsidR="00904559">
        <w:rPr>
          <w:noProof/>
        </w:rPr>
        <w:t>ONTWERPWETGEVINGSRESOLUTIE VAN HET EUROPEES PARLEMENT</w:t>
      </w:r>
      <w:r w:rsidR="00904559">
        <w:rPr>
          <w:noProof/>
        </w:rPr>
        <w:tab/>
      </w:r>
      <w:r w:rsidR="00904559">
        <w:rPr>
          <w:noProof/>
        </w:rPr>
        <w:fldChar w:fldCharType="begin"/>
      </w:r>
      <w:r w:rsidR="00904559">
        <w:rPr>
          <w:noProof/>
        </w:rPr>
        <w:instrText xml:space="preserve"> PAGEREF _Toc222479298 \h </w:instrText>
      </w:r>
      <w:r w:rsidR="00904559">
        <w:rPr>
          <w:noProof/>
        </w:rPr>
      </w:r>
      <w:r w:rsidR="00904559">
        <w:rPr>
          <w:noProof/>
        </w:rPr>
        <w:fldChar w:fldCharType="separate"/>
      </w:r>
      <w:r w:rsidR="00904559">
        <w:rPr>
          <w:noProof/>
        </w:rPr>
        <w:t>5</w:t>
      </w:r>
      <w:r w:rsidR="00904559">
        <w:rPr>
          <w:noProof/>
        </w:rPr>
        <w:fldChar w:fldCharType="end"/>
      </w:r>
    </w:p>
    <w:p w14:paraId="598B8AB1" w14:textId="1092C927" w:rsidR="00904559" w:rsidRDefault="0090455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TOELICHTING</w:t>
      </w:r>
      <w:r>
        <w:rPr>
          <w:noProof/>
        </w:rPr>
        <w:tab/>
      </w:r>
      <w:r>
        <w:rPr>
          <w:noProof/>
        </w:rPr>
        <w:fldChar w:fldCharType="begin"/>
      </w:r>
      <w:r>
        <w:rPr>
          <w:noProof/>
        </w:rPr>
        <w:instrText xml:space="preserve"> PAGEREF _Toc222479299 \h </w:instrText>
      </w:r>
      <w:r>
        <w:rPr>
          <w:noProof/>
        </w:rPr>
      </w:r>
      <w:r>
        <w:rPr>
          <w:noProof/>
        </w:rPr>
        <w:fldChar w:fldCharType="separate"/>
      </w:r>
      <w:r>
        <w:rPr>
          <w:noProof/>
        </w:rPr>
        <w:t>6</w:t>
      </w:r>
      <w:r>
        <w:rPr>
          <w:noProof/>
        </w:rPr>
        <w:fldChar w:fldCharType="end"/>
      </w:r>
    </w:p>
    <w:p w14:paraId="59548C7B" w14:textId="0900C8F0" w:rsidR="00904559" w:rsidRDefault="0090455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BIJLAGE: BEKENDMAKING VAN INPUT</w:t>
      </w:r>
      <w:r>
        <w:rPr>
          <w:noProof/>
        </w:rPr>
        <w:tab/>
      </w:r>
      <w:r>
        <w:rPr>
          <w:noProof/>
        </w:rPr>
        <w:fldChar w:fldCharType="begin"/>
      </w:r>
      <w:r>
        <w:rPr>
          <w:noProof/>
        </w:rPr>
        <w:instrText xml:space="preserve"> PAGEREF _Toc222479300 \h </w:instrText>
      </w:r>
      <w:r>
        <w:rPr>
          <w:noProof/>
        </w:rPr>
      </w:r>
      <w:r>
        <w:rPr>
          <w:noProof/>
        </w:rPr>
        <w:fldChar w:fldCharType="separate"/>
      </w:r>
      <w:r>
        <w:rPr>
          <w:noProof/>
        </w:rPr>
        <w:t>8</w:t>
      </w:r>
      <w:r>
        <w:rPr>
          <w:noProof/>
        </w:rPr>
        <w:fldChar w:fldCharType="end"/>
      </w:r>
    </w:p>
    <w:p w14:paraId="645B7D09" w14:textId="1B9E1EE8" w:rsidR="004E1650" w:rsidRPr="009E4AF1" w:rsidRDefault="00EF48F2" w:rsidP="00F04010">
      <w:r w:rsidRPr="009E4AF1">
        <w:fldChar w:fldCharType="end"/>
      </w:r>
    </w:p>
    <w:p w14:paraId="24D89B96" w14:textId="77777777" w:rsidR="00363B94" w:rsidRPr="009E4AF1" w:rsidRDefault="00363B94" w:rsidP="0006167F">
      <w:pPr>
        <w:pStyle w:val="PageHeading"/>
      </w:pPr>
      <w:r w:rsidRPr="009E4AF1">
        <w:br w:type="page"/>
      </w:r>
      <w:r w:rsidRPr="009E4AF1">
        <w:lastRenderedPageBreak/>
        <w:br w:type="page"/>
      </w:r>
      <w:bookmarkStart w:id="1" w:name="_Toc222479298"/>
      <w:r w:rsidRPr="009E4AF1">
        <w:lastRenderedPageBreak/>
        <w:t>ONTWERPWETGEVINGSRESOLUTIE VAN HET EUROPEES PARLEMENT</w:t>
      </w:r>
      <w:bookmarkEnd w:id="1"/>
    </w:p>
    <w:p w14:paraId="24D590C0" w14:textId="05B677D6" w:rsidR="00363B94" w:rsidRPr="009E4AF1" w:rsidRDefault="00B117C6">
      <w:pPr>
        <w:pStyle w:val="NormalBold"/>
      </w:pPr>
      <w:r w:rsidRPr="009E4AF1">
        <w:t xml:space="preserve">over het </w:t>
      </w:r>
      <w:bookmarkStart w:id="2" w:name="_Hlk221277797"/>
      <w:r w:rsidRPr="009E4AF1">
        <w:t>ontwerp van besluit van de Raad betreffende de ondertekening, namens de Europese Unie, van de Overeenkomst tussen de Europese Unie en het Koninkrijk Noorwegen over de doorgifte van persoonsgegevens van passagiers (PNR-gegevens) met het oog op het voorkomen, opsporen, onderzoeken en vervolgen van terroristische misdrijven en ernstige criminaliteit</w:t>
      </w:r>
      <w:bookmarkEnd w:id="2"/>
    </w:p>
    <w:p w14:paraId="301EE5A0" w14:textId="1C826BB9" w:rsidR="00363B94" w:rsidRPr="009E4AF1" w:rsidRDefault="00B117C6">
      <w:pPr>
        <w:pStyle w:val="NormalBold12a"/>
      </w:pPr>
      <w:r w:rsidRPr="009E4AF1">
        <w:t>(</w:t>
      </w:r>
      <w:bookmarkStart w:id="3" w:name="_Hlk221278502"/>
      <w:r w:rsidRPr="009E4AF1">
        <w:t xml:space="preserve">11280/2025 </w:t>
      </w:r>
      <w:bookmarkEnd w:id="3"/>
      <w:r w:rsidRPr="009E4AF1">
        <w:t>– C10</w:t>
      </w:r>
      <w:r w:rsidRPr="009E4AF1">
        <w:noBreakHyphen/>
        <w:t xml:space="preserve">0279/2025 – </w:t>
      </w:r>
      <w:bookmarkStart w:id="4" w:name="_Hlk221279129"/>
      <w:r w:rsidRPr="009E4AF1">
        <w:t>2025/0145(NLE</w:t>
      </w:r>
      <w:bookmarkEnd w:id="4"/>
      <w:r w:rsidRPr="009E4AF1">
        <w:t>))</w:t>
      </w:r>
    </w:p>
    <w:p w14:paraId="2C5BF6BB" w14:textId="77777777" w:rsidR="00363B94" w:rsidRPr="009E4AF1" w:rsidRDefault="00B117C6" w:rsidP="00893FBD">
      <w:pPr>
        <w:pStyle w:val="NormalBold"/>
      </w:pPr>
      <w:r w:rsidRPr="009E4AF1">
        <w:t>(Goedkeuring)</w:t>
      </w:r>
    </w:p>
    <w:p w14:paraId="5F1521F9" w14:textId="77777777" w:rsidR="00363B94" w:rsidRPr="009E4AF1" w:rsidRDefault="00B117C6">
      <w:pPr>
        <w:pStyle w:val="EPComma"/>
      </w:pPr>
      <w:r w:rsidRPr="009E4AF1">
        <w:rPr>
          <w:i/>
        </w:rPr>
        <w:t>Het Europees Parlement,</w:t>
      </w:r>
    </w:p>
    <w:p w14:paraId="48C53695" w14:textId="04CCD19A" w:rsidR="00BF7F55" w:rsidRPr="009E4AF1" w:rsidRDefault="00BF7F55" w:rsidP="00BF7F55">
      <w:pPr>
        <w:pStyle w:val="NormalHanging12a"/>
      </w:pPr>
      <w:r w:rsidRPr="009E4AF1">
        <w:t>–</w:t>
      </w:r>
      <w:r w:rsidRPr="009E4AF1">
        <w:tab/>
        <w:t>gezien het ontwerp van besluit van de Raad (11280/2025),</w:t>
      </w:r>
    </w:p>
    <w:p w14:paraId="50CBC5E6" w14:textId="080ABF27" w:rsidR="00363B94" w:rsidRPr="009E4AF1" w:rsidRDefault="00363B94">
      <w:pPr>
        <w:pStyle w:val="NormalHanging12a"/>
      </w:pPr>
      <w:r w:rsidRPr="009E4AF1">
        <w:t>–</w:t>
      </w:r>
      <w:r w:rsidRPr="009E4AF1">
        <w:tab/>
        <w:t>gezien de ontwerpovereenkomst tussen de Europese Unie en het Koninkrijk Noorwegen over de doorgifte van persoonsgegevens van passagiers (PNR-gegevens) met het oog op het voorkomen, opsporen, onderzoeken en vervolgen van terroristische misdrijven en ernstige criminaliteit (</w:t>
      </w:r>
      <w:bookmarkStart w:id="5" w:name="_Hlk221278511"/>
      <w:r w:rsidRPr="009E4AF1">
        <w:t>11281/2025</w:t>
      </w:r>
      <w:bookmarkEnd w:id="5"/>
      <w:r w:rsidRPr="009E4AF1">
        <w:t>),</w:t>
      </w:r>
    </w:p>
    <w:p w14:paraId="3473E53E" w14:textId="1F53EA13" w:rsidR="00363B94" w:rsidRPr="009E4AF1" w:rsidRDefault="005F5D6C">
      <w:pPr>
        <w:pStyle w:val="NormalHanging12a"/>
      </w:pPr>
      <w:r w:rsidRPr="009E4AF1">
        <w:t>–</w:t>
      </w:r>
      <w:r w:rsidRPr="009E4AF1">
        <w:tab/>
        <w:t>gezien het verzoek om goedkeuring dat de Raad heeft ingediend krachtens artikel 16, lid 2, artikel 87, lid 2, punt a), en artikel 218, lid 6, tweede alinea, punt a), van het Verdrag betreffende de werking van de Europese Unie (C10</w:t>
      </w:r>
      <w:r w:rsidRPr="009E4AF1">
        <w:noBreakHyphen/>
        <w:t>0279/2025),</w:t>
      </w:r>
    </w:p>
    <w:p w14:paraId="4BBAA6F4" w14:textId="77777777" w:rsidR="00363B94" w:rsidRPr="009E4AF1" w:rsidRDefault="00363B94">
      <w:pPr>
        <w:pStyle w:val="NormalHanging12a"/>
      </w:pPr>
      <w:r w:rsidRPr="009E4AF1">
        <w:t>–</w:t>
      </w:r>
      <w:r w:rsidRPr="009E4AF1">
        <w:tab/>
        <w:t>gezien artikel 107, leden 1 en 4, en artikel 117, lid 7, van zijn Reglement,</w:t>
      </w:r>
    </w:p>
    <w:p w14:paraId="3FD87A43" w14:textId="4F47D628" w:rsidR="00363B94" w:rsidRPr="009E4AF1" w:rsidRDefault="00363B94">
      <w:pPr>
        <w:pStyle w:val="NormalHanging12a"/>
      </w:pPr>
      <w:r w:rsidRPr="009E4AF1">
        <w:t>–</w:t>
      </w:r>
      <w:r w:rsidRPr="009E4AF1">
        <w:tab/>
        <w:t>gezien de aanbeveling van de Commissie burgerlijke vrijheden, justitie en binnenlandse zaken (A10</w:t>
      </w:r>
      <w:r w:rsidRPr="009E4AF1">
        <w:noBreakHyphen/>
        <w:t>0000/2026),</w:t>
      </w:r>
    </w:p>
    <w:p w14:paraId="6ED73221" w14:textId="09911003" w:rsidR="00363B94" w:rsidRPr="009E4AF1" w:rsidRDefault="00363B94">
      <w:pPr>
        <w:pStyle w:val="NormalHanging12a"/>
      </w:pPr>
      <w:r w:rsidRPr="009E4AF1">
        <w:t>1.</w:t>
      </w:r>
      <w:r w:rsidRPr="009E4AF1">
        <w:tab/>
        <w:t>hecht zijn goedkeuring aan de sluiting van de overeenkomst;</w:t>
      </w:r>
    </w:p>
    <w:p w14:paraId="50AB1B5E" w14:textId="5D72C49E" w:rsidR="001D02E3" w:rsidRPr="009E4AF1" w:rsidRDefault="001D02E3">
      <w:pPr>
        <w:pStyle w:val="NormalHanging12a"/>
      </w:pPr>
      <w:r w:rsidRPr="009E4AF1">
        <w:t>2.</w:t>
      </w:r>
      <w:r w:rsidRPr="009E4AF1">
        <w:tab/>
        <w:t>verzoekt zijn Voorzitter het standpunt van het Parlement te doen toekomen aan de Raad en de Commissie, alsmede aan de regeringen en parlementen van de lidstaten en het Koninkrijk Noorwegen.</w:t>
      </w:r>
    </w:p>
    <w:p w14:paraId="16EBBCD8" w14:textId="77777777" w:rsidR="00A55926" w:rsidRPr="009E4AF1" w:rsidRDefault="00A55926" w:rsidP="00822206">
      <w:pPr>
        <w:sectPr w:rsidR="00A55926" w:rsidRPr="009E4AF1" w:rsidSect="009E4AF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0864F8D" w14:textId="4DBB4F8B" w:rsidR="00363B94" w:rsidRPr="009E4AF1" w:rsidRDefault="00A55926" w:rsidP="00A55926">
      <w:pPr>
        <w:pStyle w:val="PageHeading"/>
      </w:pPr>
      <w:bookmarkStart w:id="6" w:name="_Toc222479299"/>
      <w:r w:rsidRPr="009E4AF1">
        <w:lastRenderedPageBreak/>
        <w:t>TOELICHTING</w:t>
      </w:r>
      <w:bookmarkEnd w:id="6"/>
    </w:p>
    <w:p w14:paraId="7B45B076" w14:textId="3B8BBA86" w:rsidR="00E93B3F" w:rsidRPr="009E4AF1" w:rsidRDefault="00E93B3F" w:rsidP="00E93B3F">
      <w:r w:rsidRPr="009E4AF1">
        <w:t>Het voorgestelde besluit van de Raad heeft tot doel goedkeuring te hechten aan de sluiting van de overeenkomst tussen de Europese Unie en het Koninkrijk Noorwegen (hierna “Noorwegen” genoemd) inzake de doorgifte van persoonsgegevens van passagiers (PNR</w:t>
      </w:r>
      <w:r w:rsidR="00904559">
        <w:noBreakHyphen/>
      </w:r>
      <w:r w:rsidRPr="009E4AF1">
        <w:t>gegevens) met het oog op het voorkomen, opsporen, onderzoeken en vervolgen van terroristische misdrijven en ernstige criminaliteit (hierna “de overeenkomst” genoemd).</w:t>
      </w:r>
    </w:p>
    <w:p w14:paraId="3B8FA1C4" w14:textId="77777777" w:rsidR="00E93B3F" w:rsidRPr="009E4AF1" w:rsidRDefault="00E93B3F" w:rsidP="00E93B3F"/>
    <w:p w14:paraId="103DC2A2" w14:textId="77777777" w:rsidR="00E93B3F" w:rsidRPr="009E4AF1" w:rsidRDefault="00E93B3F" w:rsidP="00E93B3F">
      <w:r w:rsidRPr="009E4AF1">
        <w:t>Noorwegen en de EU-lidstaten die partij zijn bij de Schengenovereenkomst, hebben een gedeelde verantwoordelijkheid om de binnenlandse veiligheid te waarborgen in een gemeenschappelijke ruimte zonder controles aan de binnengrenzen, onder meer door relevante informatie uit te wisselen. PNR-gegevens omvatten informatie die door passagiers wordt verstrekt, die tijdens het boeken en inchecken worden verzameld en die luchtvaartmaatschappijen voor hun eigen commerciële doeleinden bewaren in boekings- en vertrekcontrolesystemen. Van bestaande overeenkomsten met derde landen over de verwerking van PNR-gegevens is gebleken dat ze de veiligheid van het Schengengebied kunnen vergroten. Dergelijke overeenkomsten zorgen voor betere preventie en opsporing van terrorisme en ernstige strafbare feiten aan de buitengrenzen van de EU, waaronder drugs-, vuurwapen- en mensenhandel. Ook voorzien ze in een risicogebaseerde, gegevensgestuurde aanpak die de lidstaten kunnen gebruiken als compenserende maatregel voor de afwezigheid van controles aan de binnengrenzen in het Schengengebied.</w:t>
      </w:r>
    </w:p>
    <w:p w14:paraId="2C607FF1" w14:textId="77777777" w:rsidR="00E93B3F" w:rsidRPr="009E4AF1" w:rsidRDefault="00E93B3F" w:rsidP="00E93B3F"/>
    <w:p w14:paraId="0D191825" w14:textId="77777777" w:rsidR="00E93B3F" w:rsidRPr="009E4AF1" w:rsidRDefault="00E93B3F" w:rsidP="00E93B3F">
      <w:r w:rsidRPr="009E4AF1">
        <w:t>Hoewel Noorwegen op grond van Verordening (EU) 2016/679 (de “AVG”) niet als derde land wordt beschouwd, is dit rechtskader niet van toepassing op de verwerking van persoonsgegevens, met inbegrip van PNR-gegevens, door Noorse rechtshandhavingsautoriteiten met het oog op de voorkoming, het onderzoek, de opsporing en de vervolging van strafbare feiten of de tenuitvoerlegging van straffen. Tegelijkertijd is Noorwegen gebonden aan de handelingen van de Unie die een ontwikkeling vormen op de bepalingen van het Schengenacquis. Richtlijn (EU) 2016/680 (de “PNR-richtlijn”) vormt echter geen ontwikkeling van het Schengenacquis. Daarom neemt Noorwegen niet deel aan de uitvoering van deze rechtshandeling.</w:t>
      </w:r>
    </w:p>
    <w:p w14:paraId="16C003E2" w14:textId="77777777" w:rsidR="00E93B3F" w:rsidRPr="009E4AF1" w:rsidRDefault="00E93B3F" w:rsidP="00E93B3F"/>
    <w:p w14:paraId="5F61B0AB" w14:textId="77777777" w:rsidR="00E93B3F" w:rsidRPr="009E4AF1" w:rsidRDefault="00E93B3F" w:rsidP="00E93B3F">
      <w:r w:rsidRPr="009E4AF1">
        <w:t>Binnen het huidige kader mag Noorwegen PNR-gegevens over vluchten die door luchtvaartmaatschappijen tussen de Unie en Noorwegen worden uitgevoerd, niet rechtmatig ontvangen en verwerken. Daarom heeft de Commissie op 6 september 2023 aanbevolen onderhandelingen over de overeenkomst te openen. Op 4 maart 2024 heeft de Raad daartoe machtiging verleend. De onderhandelingen gingen vervolgens op 21 maart 2024 van start. De onderhandelingen werden formeel afgerond op 9 april 2025 en op 22 september 2025 nam de Raad de overeenkomst aan. De overeenkomst werd in oktober 2025 ondertekend door commissaris Magnus Brunner en staatssecretaris Joakim Øren.</w:t>
      </w:r>
    </w:p>
    <w:p w14:paraId="41C37978" w14:textId="77777777" w:rsidR="00E93B3F" w:rsidRPr="009E4AF1" w:rsidRDefault="00E93B3F" w:rsidP="00E93B3F"/>
    <w:p w14:paraId="0317D946" w14:textId="77777777" w:rsidR="00E93B3F" w:rsidRPr="009E4AF1" w:rsidRDefault="00E93B3F" w:rsidP="00E93B3F">
      <w:r w:rsidRPr="009E4AF1">
        <w:t xml:space="preserve">Het hoofddoel van deze overeenkomst is de veiligheidskloof in het Schengengebied te dichten en de luchtvaartmaatschappijen zo in staat te stellen de PNR-gegevens aan Noorwegen door te geven en omgekeerd. Voor de doorgifte en verwerking van persoonsgegevens, met inbegrip van PNR-gegevens, zijn echter strikte beperkingen en doeltreffende waarborgen nodig. Volgens advies 16/2025 van de Europese Toezichthouder voor gegevensbescherming van 24 juli 2025 zijn de bepalingen van de overeenkomst inzake de doorgifte en verwerking van PNR-gegevens bevredigend gebleken. De Commissie heeft de rapporteurs op 28 januari 2026 hierover geïnformeerd en bevestigd dat bij de overeenkomst niet alleen op het gebied van de </w:t>
      </w:r>
      <w:r w:rsidRPr="009E4AF1">
        <w:lastRenderedPageBreak/>
        <w:t>veiligheid hoge normen worden vastgesteld, maar ook op het gebied van privacy en gegevensbescherming.</w:t>
      </w:r>
    </w:p>
    <w:p w14:paraId="44F6FC64" w14:textId="77777777" w:rsidR="00E93B3F" w:rsidRPr="009E4AF1" w:rsidRDefault="00E93B3F" w:rsidP="00E93B3F"/>
    <w:p w14:paraId="79C9CC9B" w14:textId="523D5761" w:rsidR="00A55926" w:rsidRPr="009E4AF1" w:rsidRDefault="00E93B3F" w:rsidP="00E93B3F">
      <w:r w:rsidRPr="009E4AF1">
        <w:t>In het licht hiervan beveelt de rapporteur het Parlement aan het ontwerp van besluit van de Raad goed te keuren.</w:t>
      </w:r>
    </w:p>
    <w:p w14:paraId="1458516C" w14:textId="77777777" w:rsidR="00B07F2D" w:rsidRPr="009E4AF1" w:rsidRDefault="00B07F2D" w:rsidP="00822206">
      <w:pPr>
        <w:sectPr w:rsidR="00B07F2D" w:rsidRPr="009E4AF1" w:rsidSect="00B07F2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B6C18F" w14:textId="296612FD" w:rsidR="00A55926" w:rsidRPr="009E4AF1" w:rsidRDefault="00B07F2D" w:rsidP="00B07F2D">
      <w:pPr>
        <w:pStyle w:val="PageHeading"/>
      </w:pPr>
      <w:bookmarkStart w:id="7" w:name="_Toc222479300"/>
      <w:r w:rsidRPr="009E4AF1">
        <w:lastRenderedPageBreak/>
        <w:t xml:space="preserve">BIJLAGE: </w:t>
      </w:r>
      <w:bookmarkStart w:id="8" w:name="iEnd"/>
      <w:bookmarkEnd w:id="8"/>
      <w:r w:rsidRPr="009E4AF1">
        <w:t>BEKENDMAKING VAN INPUT</w:t>
      </w:r>
      <w:bookmarkEnd w:id="7"/>
    </w:p>
    <w:p w14:paraId="01B9388E" w14:textId="43856140" w:rsidR="00B07F2D" w:rsidRPr="009E4AF1" w:rsidRDefault="00B07F2D" w:rsidP="00B07F2D">
      <w:r w:rsidRPr="009E4AF1">
        <w:t>De rapporteur verklaart onder zijn exclusieve verantwoordelijkheid geen input in het verslag te hebben opgenomen van belangenvertegenwoordigers die binnen het toepassingsgebied van het Interinstitutioneel Akkoord over een verplicht transparantieregister</w:t>
      </w:r>
      <w:r w:rsidRPr="009E4AF1">
        <w:rPr>
          <w:rStyle w:val="FootnoteReference"/>
        </w:rPr>
        <w:footnoteReference w:id="1"/>
      </w:r>
      <w:r w:rsidRPr="009E4AF1">
        <w:t xml:space="preserve"> vallen of van vertegenwoordigers van overheidsinstanties van derde landen, met inbegrip van hun diplomatieke vertegenwoordigingen en ambassades, die overeenkomstig artikel 8 van bijlage I bij het Reglement in deze bijlage moeten worden vermeld.</w:t>
      </w:r>
    </w:p>
    <w:p w14:paraId="5B22E19B" w14:textId="77777777" w:rsidR="00B07F2D" w:rsidRPr="009E4AF1" w:rsidRDefault="00B07F2D" w:rsidP="00822206"/>
    <w:sectPr w:rsidR="00B07F2D" w:rsidRPr="009E4AF1" w:rsidSect="00B07F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8A5AD" w14:textId="77777777" w:rsidR="00B117C6" w:rsidRPr="009E4AF1" w:rsidRDefault="00B117C6">
      <w:r w:rsidRPr="009E4AF1">
        <w:separator/>
      </w:r>
    </w:p>
  </w:endnote>
  <w:endnote w:type="continuationSeparator" w:id="0">
    <w:p w14:paraId="3539F729" w14:textId="77777777" w:rsidR="00B117C6" w:rsidRPr="009E4AF1" w:rsidRDefault="00B117C6">
      <w:r w:rsidRPr="009E4A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C49B7" w14:textId="77777777" w:rsidR="009E4AF1" w:rsidRPr="009E4AF1" w:rsidRDefault="009E4AF1" w:rsidP="009E4AF1">
    <w:pPr>
      <w:pStyle w:val="EPFooter"/>
    </w:pPr>
    <w:r w:rsidRPr="009E4AF1">
      <w:t>PE</w:t>
    </w:r>
    <w:r w:rsidRPr="009E4AF1">
      <w:rPr>
        <w:rStyle w:val="HideTWBExt"/>
      </w:rPr>
      <w:t>&lt;NoPE&gt;</w:t>
    </w:r>
    <w:r w:rsidRPr="009E4AF1">
      <w:t>784.331</w:t>
    </w:r>
    <w:r w:rsidRPr="009E4AF1">
      <w:rPr>
        <w:rStyle w:val="HideTWBExt"/>
      </w:rPr>
      <w:t>&lt;/NoPE&gt;&lt;Version&gt;</w:t>
    </w:r>
    <w:r w:rsidRPr="009E4AF1">
      <w:t>v01-00</w:t>
    </w:r>
    <w:r w:rsidRPr="009E4AF1">
      <w:rPr>
        <w:rStyle w:val="HideTWBExt"/>
      </w:rPr>
      <w:t>&lt;/Version&gt;</w:t>
    </w:r>
    <w:r w:rsidRPr="009E4AF1">
      <w:tab/>
    </w:r>
    <w:r w:rsidRPr="009E4AF1">
      <w:fldChar w:fldCharType="begin"/>
    </w:r>
    <w:r w:rsidRPr="009E4AF1">
      <w:instrText xml:space="preserve"> PAGE  \* MERGEFORMAT </w:instrText>
    </w:r>
    <w:r w:rsidRPr="009E4AF1">
      <w:fldChar w:fldCharType="separate"/>
    </w:r>
    <w:r w:rsidRPr="009E4AF1">
      <w:rPr>
        <w:noProof/>
      </w:rPr>
      <w:t>1</w:t>
    </w:r>
    <w:r w:rsidRPr="009E4AF1">
      <w:fldChar w:fldCharType="end"/>
    </w:r>
    <w:r w:rsidRPr="009E4AF1">
      <w:t>/</w:t>
    </w:r>
    <w:fldSimple w:instr=" NUMPAGES  \* MERGEFORMAT ">
      <w:r w:rsidRPr="009E4AF1">
        <w:rPr>
          <w:noProof/>
        </w:rPr>
        <w:t>1</w:t>
      </w:r>
    </w:fldSimple>
    <w:r w:rsidRPr="009E4AF1">
      <w:tab/>
    </w:r>
    <w:r w:rsidRPr="009E4AF1">
      <w:rPr>
        <w:rStyle w:val="HideTWBExt"/>
      </w:rPr>
      <w:t>&lt;PathFdR&gt;</w:t>
    </w:r>
    <w:r w:rsidRPr="009E4AF1">
      <w:t>PR\1336948NL.docx</w:t>
    </w:r>
    <w:r w:rsidRPr="009E4AF1">
      <w:rPr>
        <w:rStyle w:val="HideTWBExt"/>
      </w:rPr>
      <w:t>&lt;/PathFdR&gt;</w:t>
    </w:r>
  </w:p>
  <w:p w14:paraId="7FD54CFB" w14:textId="0D2D1628" w:rsidR="0085501C" w:rsidRPr="009E4AF1" w:rsidRDefault="009E4AF1" w:rsidP="009E4AF1">
    <w:pPr>
      <w:pStyle w:val="EPFooter2"/>
    </w:pPr>
    <w:r w:rsidRPr="009E4AF1">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29F58" w14:textId="77777777" w:rsidR="009E4AF1" w:rsidRPr="009E4AF1" w:rsidRDefault="009E4AF1" w:rsidP="009E4AF1">
    <w:pPr>
      <w:pStyle w:val="EPFooter"/>
    </w:pPr>
    <w:r w:rsidRPr="009E4AF1">
      <w:rPr>
        <w:rStyle w:val="HideTWBExt"/>
      </w:rPr>
      <w:t>&lt;PathFdR&gt;</w:t>
    </w:r>
    <w:r w:rsidRPr="009E4AF1">
      <w:t>PR\1336948NL.docx</w:t>
    </w:r>
    <w:r w:rsidRPr="009E4AF1">
      <w:rPr>
        <w:rStyle w:val="HideTWBExt"/>
      </w:rPr>
      <w:t>&lt;/PathFdR&gt;</w:t>
    </w:r>
    <w:r w:rsidRPr="009E4AF1">
      <w:tab/>
    </w:r>
    <w:r w:rsidRPr="009E4AF1">
      <w:fldChar w:fldCharType="begin"/>
    </w:r>
    <w:r w:rsidRPr="009E4AF1">
      <w:instrText xml:space="preserve"> PAGE  \* MERGEFORMAT </w:instrText>
    </w:r>
    <w:r w:rsidRPr="009E4AF1">
      <w:fldChar w:fldCharType="separate"/>
    </w:r>
    <w:r w:rsidRPr="009E4AF1">
      <w:rPr>
        <w:noProof/>
      </w:rPr>
      <w:t>1</w:t>
    </w:r>
    <w:r w:rsidRPr="009E4AF1">
      <w:fldChar w:fldCharType="end"/>
    </w:r>
    <w:r w:rsidRPr="009E4AF1">
      <w:t>/</w:t>
    </w:r>
    <w:fldSimple w:instr=" NUMPAGES  \* MERGEFORMAT ">
      <w:r w:rsidRPr="009E4AF1">
        <w:rPr>
          <w:noProof/>
        </w:rPr>
        <w:t>1</w:t>
      </w:r>
    </w:fldSimple>
    <w:r w:rsidRPr="009E4AF1">
      <w:tab/>
      <w:t>PE</w:t>
    </w:r>
    <w:r w:rsidRPr="009E4AF1">
      <w:rPr>
        <w:rStyle w:val="HideTWBExt"/>
      </w:rPr>
      <w:t>&lt;NoPE&gt;</w:t>
    </w:r>
    <w:r w:rsidRPr="009E4AF1">
      <w:t>784.331</w:t>
    </w:r>
    <w:r w:rsidRPr="009E4AF1">
      <w:rPr>
        <w:rStyle w:val="HideTWBExt"/>
      </w:rPr>
      <w:t>&lt;/NoPE&gt;&lt;Version&gt;</w:t>
    </w:r>
    <w:r w:rsidRPr="009E4AF1">
      <w:t>v01-00</w:t>
    </w:r>
    <w:r w:rsidRPr="009E4AF1">
      <w:rPr>
        <w:rStyle w:val="HideTWBExt"/>
      </w:rPr>
      <w:t>&lt;/Version&gt;</w:t>
    </w:r>
  </w:p>
  <w:p w14:paraId="5E243303" w14:textId="4FCDFFC9" w:rsidR="0085501C" w:rsidRPr="009E4AF1" w:rsidRDefault="009E4AF1" w:rsidP="009E4AF1">
    <w:pPr>
      <w:pStyle w:val="EPFooter2"/>
    </w:pPr>
    <w:r w:rsidRPr="009E4AF1">
      <w:tab/>
    </w:r>
    <w:r w:rsidRPr="009E4AF1">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30797" w14:textId="77777777" w:rsidR="009E4AF1" w:rsidRPr="009E4AF1" w:rsidRDefault="009E4AF1" w:rsidP="009E4AF1">
    <w:pPr>
      <w:pStyle w:val="EPFooter"/>
    </w:pPr>
    <w:r w:rsidRPr="009E4AF1">
      <w:rPr>
        <w:rStyle w:val="HideTWBExt"/>
      </w:rPr>
      <w:t>&lt;PathFdR&gt;</w:t>
    </w:r>
    <w:r w:rsidRPr="009E4AF1">
      <w:t>PR\1336948NL.docx</w:t>
    </w:r>
    <w:r w:rsidRPr="009E4AF1">
      <w:rPr>
        <w:rStyle w:val="HideTWBExt"/>
      </w:rPr>
      <w:t>&lt;/PathFdR&gt;</w:t>
    </w:r>
    <w:r w:rsidRPr="009E4AF1">
      <w:tab/>
    </w:r>
    <w:r w:rsidRPr="009E4AF1">
      <w:tab/>
      <w:t>PE</w:t>
    </w:r>
    <w:r w:rsidRPr="009E4AF1">
      <w:rPr>
        <w:rStyle w:val="HideTWBExt"/>
      </w:rPr>
      <w:t>&lt;NoPE&gt;</w:t>
    </w:r>
    <w:r w:rsidRPr="009E4AF1">
      <w:t>784.331</w:t>
    </w:r>
    <w:r w:rsidRPr="009E4AF1">
      <w:rPr>
        <w:rStyle w:val="HideTWBExt"/>
      </w:rPr>
      <w:t>&lt;/NoPE&gt;&lt;Version&gt;</w:t>
    </w:r>
    <w:r w:rsidRPr="009E4AF1">
      <w:t>v01-00</w:t>
    </w:r>
    <w:r w:rsidRPr="009E4AF1">
      <w:rPr>
        <w:rStyle w:val="HideTWBExt"/>
      </w:rPr>
      <w:t>&lt;/Version&gt;</w:t>
    </w:r>
  </w:p>
  <w:p w14:paraId="7666265F" w14:textId="74079AC8" w:rsidR="0085501C" w:rsidRPr="009E4AF1" w:rsidRDefault="009E4AF1" w:rsidP="009E4AF1">
    <w:pPr>
      <w:pStyle w:val="EPFooter2"/>
    </w:pPr>
    <w:r w:rsidRPr="009E4AF1">
      <w:t>NL</w:t>
    </w:r>
    <w:r w:rsidRPr="009E4AF1">
      <w:tab/>
    </w:r>
    <w:r w:rsidRPr="009E4AF1">
      <w:rPr>
        <w:b w:val="0"/>
        <w:i/>
        <w:color w:val="C0C0C0"/>
        <w:sz w:val="22"/>
      </w:rPr>
      <w:t>In verscheidenheid verenigd</w:t>
    </w:r>
    <w:r w:rsidRPr="009E4AF1">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0B021" w14:textId="77777777" w:rsidR="00B117C6" w:rsidRPr="009E4AF1" w:rsidRDefault="00B117C6">
      <w:r w:rsidRPr="009E4AF1">
        <w:separator/>
      </w:r>
    </w:p>
  </w:footnote>
  <w:footnote w:type="continuationSeparator" w:id="0">
    <w:p w14:paraId="7F2A9D98" w14:textId="77777777" w:rsidR="00B117C6" w:rsidRPr="009E4AF1" w:rsidRDefault="00B117C6">
      <w:r w:rsidRPr="009E4AF1">
        <w:continuationSeparator/>
      </w:r>
    </w:p>
  </w:footnote>
  <w:footnote w:id="1">
    <w:p w14:paraId="04D9AAB5" w14:textId="0F8E24E1" w:rsidR="00B07F2D" w:rsidRPr="009E4AF1" w:rsidRDefault="00B07F2D">
      <w:pPr>
        <w:pStyle w:val="FootnoteText"/>
      </w:pPr>
      <w:r w:rsidRPr="009E4AF1">
        <w:rPr>
          <w:rStyle w:val="FootnoteReference"/>
        </w:rPr>
        <w:footnoteRef/>
      </w:r>
      <w:r w:rsidRPr="009E4AF1">
        <w:t xml:space="preserve"> Interinstitutioneel Akkoord van 20 mei 2021 tussen het Europees Parlement, de Raad van de Europese Unie en de Europese Commissie over een verplicht transparantieregister (PB L 207 van 11.6.2021, blz. 1, ELI: </w:t>
      </w:r>
      <w:hyperlink r:id="rId1" w:history="1">
        <w:r w:rsidRPr="009E4AF1">
          <w:rPr>
            <w:rStyle w:val="Hyperlink"/>
          </w:rPr>
          <w:t>http://data.europa.eu/eli/agree_interinstit/2021/611/oj</w:t>
        </w:r>
      </w:hyperlink>
      <w:r w:rsidRPr="009E4AF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F2BCA" w14:textId="77777777" w:rsidR="00904559" w:rsidRDefault="009045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67E7B" w14:textId="77777777" w:rsidR="00904559" w:rsidRDefault="009045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3F52A" w14:textId="77777777" w:rsidR="00904559" w:rsidRDefault="009045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63908515">
    <w:abstractNumId w:val="9"/>
  </w:num>
  <w:num w:numId="2" w16cid:durableId="1311324778">
    <w:abstractNumId w:val="9"/>
  </w:num>
  <w:num w:numId="3" w16cid:durableId="240411805">
    <w:abstractNumId w:val="7"/>
  </w:num>
  <w:num w:numId="4" w16cid:durableId="192495898">
    <w:abstractNumId w:val="7"/>
  </w:num>
  <w:num w:numId="5" w16cid:durableId="907956975">
    <w:abstractNumId w:val="6"/>
  </w:num>
  <w:num w:numId="6" w16cid:durableId="1471746109">
    <w:abstractNumId w:val="6"/>
  </w:num>
  <w:num w:numId="7" w16cid:durableId="1616904470">
    <w:abstractNumId w:val="5"/>
  </w:num>
  <w:num w:numId="8" w16cid:durableId="1385787708">
    <w:abstractNumId w:val="5"/>
  </w:num>
  <w:num w:numId="9" w16cid:durableId="2097050972">
    <w:abstractNumId w:val="4"/>
  </w:num>
  <w:num w:numId="10" w16cid:durableId="1575360310">
    <w:abstractNumId w:val="4"/>
  </w:num>
  <w:num w:numId="11" w16cid:durableId="583539097">
    <w:abstractNumId w:val="8"/>
  </w:num>
  <w:num w:numId="12" w16cid:durableId="1924298834">
    <w:abstractNumId w:val="8"/>
  </w:num>
  <w:num w:numId="13" w16cid:durableId="1644847619">
    <w:abstractNumId w:val="3"/>
  </w:num>
  <w:num w:numId="14" w16cid:durableId="1340306349">
    <w:abstractNumId w:val="3"/>
  </w:num>
  <w:num w:numId="15" w16cid:durableId="411776207">
    <w:abstractNumId w:val="2"/>
  </w:num>
  <w:num w:numId="16" w16cid:durableId="1982299778">
    <w:abstractNumId w:val="2"/>
  </w:num>
  <w:num w:numId="17" w16cid:durableId="1491871113">
    <w:abstractNumId w:val="1"/>
  </w:num>
  <w:num w:numId="18" w16cid:durableId="1534536573">
    <w:abstractNumId w:val="1"/>
  </w:num>
  <w:num w:numId="19" w16cid:durableId="280769481">
    <w:abstractNumId w:val="0"/>
  </w:num>
  <w:num w:numId="20" w16cid:durableId="2022782651">
    <w:abstractNumId w:val="0"/>
  </w:num>
  <w:num w:numId="21" w16cid:durableId="587809324">
    <w:abstractNumId w:val="9"/>
  </w:num>
  <w:num w:numId="22" w16cid:durableId="1551261141">
    <w:abstractNumId w:val="7"/>
  </w:num>
  <w:num w:numId="23" w16cid:durableId="1661736556">
    <w:abstractNumId w:val="6"/>
  </w:num>
  <w:num w:numId="24" w16cid:durableId="386301469">
    <w:abstractNumId w:val="5"/>
  </w:num>
  <w:num w:numId="25" w16cid:durableId="1244951453">
    <w:abstractNumId w:val="4"/>
  </w:num>
  <w:num w:numId="26" w16cid:durableId="2058822331">
    <w:abstractNumId w:val="8"/>
  </w:num>
  <w:num w:numId="27" w16cid:durableId="1949005446">
    <w:abstractNumId w:val="3"/>
  </w:num>
  <w:num w:numId="28" w16cid:durableId="1011643203">
    <w:abstractNumId w:val="2"/>
  </w:num>
  <w:num w:numId="29" w16cid:durableId="1341663997">
    <w:abstractNumId w:val="1"/>
  </w:num>
  <w:num w:numId="30" w16cid:durableId="1348141862">
    <w:abstractNumId w:val="0"/>
  </w:num>
  <w:num w:numId="31" w16cid:durableId="1415935428">
    <w:abstractNumId w:val="9"/>
  </w:num>
  <w:num w:numId="32" w16cid:durableId="273901912">
    <w:abstractNumId w:val="7"/>
  </w:num>
  <w:num w:numId="33" w16cid:durableId="975836024">
    <w:abstractNumId w:val="6"/>
  </w:num>
  <w:num w:numId="34" w16cid:durableId="595557906">
    <w:abstractNumId w:val="5"/>
  </w:num>
  <w:num w:numId="35" w16cid:durableId="102118361">
    <w:abstractNumId w:val="4"/>
  </w:num>
  <w:num w:numId="36" w16cid:durableId="764038977">
    <w:abstractNumId w:val="8"/>
  </w:num>
  <w:num w:numId="37" w16cid:durableId="1313608132">
    <w:abstractNumId w:val="3"/>
  </w:num>
  <w:num w:numId="38" w16cid:durableId="562106988">
    <w:abstractNumId w:val="2"/>
  </w:num>
  <w:num w:numId="39" w16cid:durableId="1694648675">
    <w:abstractNumId w:val="1"/>
  </w:num>
  <w:num w:numId="40" w16cid:durableId="2464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pyToNetwork" w:val="-1"/>
    <w:docVar w:name="DOCDT" w:val="05/02/2026"/>
    <w:docVar w:name="LastEditedSection" w:val=" 1"/>
    <w:docVar w:name="strDocTypeID" w:val="PR_NLE-AP_Agreement"/>
    <w:docVar w:name="strSubDir" w:val="1336"/>
    <w:docVar w:name="TITLEMNU" w:val=" 2"/>
    <w:docVar w:name="TXTAUTHOR" w:val="Jaroslav Bžoch"/>
    <w:docVar w:name="TXTLANGUE" w:val="EN"/>
    <w:docVar w:name="TXTLANGUEMIN" w:val="en"/>
    <w:docVar w:name="TXTNRC" w:val="0279/2025"/>
    <w:docVar w:name="TXTNRCOUNC" w:val="11280/2025"/>
    <w:docVar w:name="TXTNRNLE" w:val="2025/0145"/>
    <w:docVar w:name="TXTNRPE" w:val="784.331"/>
    <w:docVar w:name="TXTPEorAP" w:val="PE"/>
    <w:docVar w:name="TXTROUTE" w:val="PR\1336948EN.docx"/>
    <w:docVar w:name="TXTTITLE" w:val="on the conclusion, on behalf of the Union, of the Agreement between the European Union and the Kingdom of Norway on the transfer of passenger name record (PNR) data to prevent, detect, investigate and prosecute terrorist offences and serious crime"/>
    <w:docVar w:name="TXTVERSION" w:val="01-00"/>
  </w:docVars>
  <w:rsids>
    <w:rsidRoot w:val="00B117C6"/>
    <w:rsid w:val="00001D52"/>
    <w:rsid w:val="0000443F"/>
    <w:rsid w:val="000053E3"/>
    <w:rsid w:val="0006167F"/>
    <w:rsid w:val="00061EFE"/>
    <w:rsid w:val="00095D8B"/>
    <w:rsid w:val="000A2F73"/>
    <w:rsid w:val="000B3AE2"/>
    <w:rsid w:val="000C123D"/>
    <w:rsid w:val="000D78AF"/>
    <w:rsid w:val="00120180"/>
    <w:rsid w:val="00180664"/>
    <w:rsid w:val="001874D8"/>
    <w:rsid w:val="001D02E3"/>
    <w:rsid w:val="001F7BBE"/>
    <w:rsid w:val="00206AC0"/>
    <w:rsid w:val="0021049A"/>
    <w:rsid w:val="0022685A"/>
    <w:rsid w:val="002E2E20"/>
    <w:rsid w:val="002F5A83"/>
    <w:rsid w:val="003072BE"/>
    <w:rsid w:val="00337C92"/>
    <w:rsid w:val="00363B94"/>
    <w:rsid w:val="00393B15"/>
    <w:rsid w:val="003B598C"/>
    <w:rsid w:val="004174FC"/>
    <w:rsid w:val="004468BE"/>
    <w:rsid w:val="00460BD6"/>
    <w:rsid w:val="004859B3"/>
    <w:rsid w:val="004A575E"/>
    <w:rsid w:val="004C083C"/>
    <w:rsid w:val="004E1650"/>
    <w:rsid w:val="005027B1"/>
    <w:rsid w:val="00503573"/>
    <w:rsid w:val="00514E30"/>
    <w:rsid w:val="0053367A"/>
    <w:rsid w:val="005438F6"/>
    <w:rsid w:val="00544D48"/>
    <w:rsid w:val="005877C0"/>
    <w:rsid w:val="005A6B14"/>
    <w:rsid w:val="005C779C"/>
    <w:rsid w:val="005D0B97"/>
    <w:rsid w:val="005E138D"/>
    <w:rsid w:val="005E6C18"/>
    <w:rsid w:val="005F0DD6"/>
    <w:rsid w:val="005F5D6C"/>
    <w:rsid w:val="006132CE"/>
    <w:rsid w:val="00613F2E"/>
    <w:rsid w:val="006A1A75"/>
    <w:rsid w:val="006A1E64"/>
    <w:rsid w:val="006A2CF5"/>
    <w:rsid w:val="006F1B6F"/>
    <w:rsid w:val="006F7132"/>
    <w:rsid w:val="00791637"/>
    <w:rsid w:val="0080122F"/>
    <w:rsid w:val="00822206"/>
    <w:rsid w:val="008368CB"/>
    <w:rsid w:val="0085501C"/>
    <w:rsid w:val="00893FBD"/>
    <w:rsid w:val="008B75A4"/>
    <w:rsid w:val="008D23C6"/>
    <w:rsid w:val="008D3030"/>
    <w:rsid w:val="008E3848"/>
    <w:rsid w:val="00904559"/>
    <w:rsid w:val="00924EE0"/>
    <w:rsid w:val="0093018A"/>
    <w:rsid w:val="00933A40"/>
    <w:rsid w:val="00942265"/>
    <w:rsid w:val="009612AA"/>
    <w:rsid w:val="00997EE7"/>
    <w:rsid w:val="009E39A7"/>
    <w:rsid w:val="009E4AF1"/>
    <w:rsid w:val="00A415B7"/>
    <w:rsid w:val="00A55926"/>
    <w:rsid w:val="00AD5D0C"/>
    <w:rsid w:val="00B07F2D"/>
    <w:rsid w:val="00B117C6"/>
    <w:rsid w:val="00B31D18"/>
    <w:rsid w:val="00B42885"/>
    <w:rsid w:val="00B50C20"/>
    <w:rsid w:val="00B6769C"/>
    <w:rsid w:val="00B75502"/>
    <w:rsid w:val="00BA4F74"/>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177C4"/>
    <w:rsid w:val="00E71368"/>
    <w:rsid w:val="00E93816"/>
    <w:rsid w:val="00E93B3F"/>
    <w:rsid w:val="00EA59ED"/>
    <w:rsid w:val="00EC6645"/>
    <w:rsid w:val="00EF48F2"/>
    <w:rsid w:val="00F04010"/>
    <w:rsid w:val="00FC0AEE"/>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A7D02"/>
  <w15:chartTrackingRefBased/>
  <w15:docId w15:val="{92B68A2E-7BF5-4A18-95EA-66241D0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55926"/>
    <w:pPr>
      <w:tabs>
        <w:tab w:val="right" w:pos="454"/>
        <w:tab w:val="left" w:pos="737"/>
      </w:tabs>
      <w:ind w:left="737" w:hanging="737"/>
    </w:pPr>
    <w:rPr>
      <w:snapToGrid w:val="0"/>
      <w:sz w:val="18"/>
      <w:lang w:eastAsia="en-US"/>
    </w:rPr>
  </w:style>
  <w:style w:type="paragraph" w:customStyle="1" w:styleId="Lgendetitre">
    <w:name w:val="Légende titre"/>
    <w:basedOn w:val="Normal"/>
    <w:rsid w:val="00A55926"/>
    <w:pPr>
      <w:spacing w:before="240" w:after="240"/>
    </w:pPr>
    <w:rPr>
      <w:b/>
      <w:i/>
      <w:snapToGrid w:val="0"/>
      <w:lang w:eastAsia="en-US"/>
    </w:rPr>
  </w:style>
  <w:style w:type="paragraph" w:customStyle="1" w:styleId="Lgendestandard">
    <w:name w:val="Légende standard"/>
    <w:basedOn w:val="Normal"/>
    <w:rsid w:val="00A55926"/>
    <w:rPr>
      <w:sz w:val="18"/>
    </w:rPr>
  </w:style>
  <w:style w:type="paragraph" w:styleId="FootnoteText">
    <w:name w:val="footnote text"/>
    <w:basedOn w:val="Normal"/>
    <w:link w:val="FootnoteTextChar"/>
    <w:rsid w:val="00B07F2D"/>
    <w:rPr>
      <w:sz w:val="20"/>
    </w:rPr>
  </w:style>
  <w:style w:type="character" w:customStyle="1" w:styleId="FootnoteTextChar">
    <w:name w:val="Footnote Text Char"/>
    <w:basedOn w:val="DefaultParagraphFont"/>
    <w:link w:val="FootnoteText"/>
    <w:rsid w:val="00B07F2D"/>
  </w:style>
  <w:style w:type="character" w:styleId="FootnoteReference">
    <w:name w:val="footnote reference"/>
    <w:basedOn w:val="DefaultParagraphFont"/>
    <w:rsid w:val="00B07F2D"/>
    <w:rPr>
      <w:vertAlign w:val="superscript"/>
    </w:rPr>
  </w:style>
  <w:style w:type="character" w:styleId="Hyperlink">
    <w:name w:val="Hyperlink"/>
    <w:basedOn w:val="DefaultParagraphFont"/>
    <w:rsid w:val="00B07F2D"/>
    <w:rPr>
      <w:color w:val="0563C1" w:themeColor="hyperlink"/>
      <w:u w:val="single"/>
    </w:rPr>
  </w:style>
  <w:style w:type="character" w:styleId="UnresolvedMention">
    <w:name w:val="Unresolved Mention"/>
    <w:basedOn w:val="DefaultParagraphFont"/>
    <w:uiPriority w:val="99"/>
    <w:semiHidden/>
    <w:unhideWhenUsed/>
    <w:rsid w:val="00B07F2D"/>
    <w:rPr>
      <w:color w:val="605E5C"/>
      <w:shd w:val="clear" w:color="auto" w:fill="E1DFDD"/>
    </w:rPr>
  </w:style>
  <w:style w:type="paragraph" w:styleId="Footer">
    <w:name w:val="footer"/>
    <w:basedOn w:val="Normal"/>
    <w:link w:val="FooterChar"/>
    <w:semiHidden/>
    <w:rsid w:val="00B07F2D"/>
    <w:pPr>
      <w:tabs>
        <w:tab w:val="center" w:pos="4513"/>
        <w:tab w:val="right" w:pos="9026"/>
      </w:tabs>
    </w:pPr>
  </w:style>
  <w:style w:type="character" w:customStyle="1" w:styleId="FooterChar">
    <w:name w:val="Footer Char"/>
    <w:basedOn w:val="DefaultParagraphFont"/>
    <w:link w:val="Footer"/>
    <w:semiHidden/>
    <w:rsid w:val="00B07F2D"/>
    <w:rPr>
      <w:sz w:val="24"/>
    </w:rPr>
  </w:style>
  <w:style w:type="paragraph" w:styleId="Revision">
    <w:name w:val="Revision"/>
    <w:hidden/>
    <w:uiPriority w:val="99"/>
    <w:semiHidden/>
    <w:rsid w:val="0093018A"/>
    <w:rPr>
      <w:sz w:val="24"/>
    </w:rPr>
  </w:style>
  <w:style w:type="character" w:styleId="CommentReference">
    <w:name w:val="annotation reference"/>
    <w:basedOn w:val="DefaultParagraphFont"/>
    <w:rsid w:val="005E138D"/>
    <w:rPr>
      <w:sz w:val="16"/>
      <w:szCs w:val="16"/>
    </w:rPr>
  </w:style>
  <w:style w:type="paragraph" w:styleId="CommentText">
    <w:name w:val="annotation text"/>
    <w:basedOn w:val="Normal"/>
    <w:link w:val="CommentTextChar"/>
    <w:rsid w:val="005E138D"/>
    <w:rPr>
      <w:sz w:val="20"/>
    </w:rPr>
  </w:style>
  <w:style w:type="character" w:customStyle="1" w:styleId="CommentTextChar">
    <w:name w:val="Comment Text Char"/>
    <w:basedOn w:val="DefaultParagraphFont"/>
    <w:link w:val="CommentText"/>
    <w:rsid w:val="005E138D"/>
  </w:style>
  <w:style w:type="paragraph" w:styleId="CommentSubject">
    <w:name w:val="annotation subject"/>
    <w:basedOn w:val="CommentText"/>
    <w:next w:val="CommentText"/>
    <w:link w:val="CommentSubjectChar"/>
    <w:semiHidden/>
    <w:unhideWhenUsed/>
    <w:rsid w:val="005E138D"/>
    <w:rPr>
      <w:b/>
      <w:bCs/>
    </w:rPr>
  </w:style>
  <w:style w:type="character" w:customStyle="1" w:styleId="CommentSubjectChar">
    <w:name w:val="Comment Subject Char"/>
    <w:basedOn w:val="CommentTextChar"/>
    <w:link w:val="CommentSubject"/>
    <w:semiHidden/>
    <w:rsid w:val="005E13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994</Words>
  <Characters>6363</Characters>
  <Application>Microsoft Office Word</Application>
  <DocSecurity>0</DocSecurity>
  <Lines>141</Lines>
  <Paragraphs>54</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MCGAHAN Justine</dc:creator>
  <cp:keywords/>
  <cp:lastModifiedBy>MIROIR Héloïse</cp:lastModifiedBy>
  <cp:revision>2</cp:revision>
  <cp:lastPrinted>2002-12-11T09:25:00Z</cp:lastPrinted>
  <dcterms:created xsi:type="dcterms:W3CDTF">2026-02-20T10:28:00Z</dcterms:created>
  <dcterms:modified xsi:type="dcterms:W3CDTF">2026-02-20T10:28:00Z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1336948</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\\eiciBRUpr1\pdocep$\DocEP\TRANSFIL\EN\PR_NLE-AP_Agreement.EN(04/10/2024 11:39:01)</vt:lpwstr>
  </property>
  <property fmtid="{D5CDD505-2E9C-101B-9397-08002B2CF9AE}" pid="9" name="&lt;Model&gt;">
    <vt:lpwstr>PR_NLE-AP_Agreement</vt:lpwstr>
  </property>
  <property fmtid="{D5CDD505-2E9C-101B-9397-08002B2CF9AE}" pid="10" name="FooterPath">
    <vt:lpwstr>PR\1336948NL.docx</vt:lpwstr>
  </property>
  <property fmtid="{D5CDD505-2E9C-101B-9397-08002B2CF9AE}" pid="11" name="PE number">
    <vt:lpwstr>784.331</vt:lpwstr>
  </property>
  <property fmtid="{D5CDD505-2E9C-101B-9397-08002B2CF9AE}" pid="12" name="SendToEpades">
    <vt:lpwstr>OK - 2026/02/06 11:47</vt:lpwstr>
  </property>
  <property fmtid="{D5CDD505-2E9C-101B-9397-08002B2CF9AE}" pid="13" name="SDLStudio">
    <vt:lpwstr/>
  </property>
  <property fmtid="{D5CDD505-2E9C-101B-9397-08002B2CF9AE}" pid="14" name="Bookout">
    <vt:lpwstr>OK - 2026/02/20 11:27</vt:lpwstr>
  </property>
</Properties>
</file>