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906F4" w:rsidRPr="00636B79" w14:paraId="1A11613F" w14:textId="77777777" w:rsidTr="00C85D0F">
        <w:trPr>
          <w:trHeight w:hRule="exact" w:val="1418"/>
        </w:trPr>
        <w:tc>
          <w:tcPr>
            <w:tcW w:w="6804" w:type="dxa"/>
            <w:shd w:val="clear" w:color="auto" w:fill="auto"/>
            <w:vAlign w:val="center"/>
          </w:tcPr>
          <w:p w14:paraId="0BFB4DE3" w14:textId="77777777" w:rsidR="00C05DD8" w:rsidRPr="00636B79" w:rsidRDefault="00AE336B" w:rsidP="00C85D0F">
            <w:pPr>
              <w:pStyle w:val="EPName"/>
            </w:pPr>
            <w:r w:rsidRPr="00636B79">
              <w:t>Parlament Europejski</w:t>
            </w:r>
          </w:p>
          <w:p w14:paraId="42E7BBCE" w14:textId="77777777" w:rsidR="00C05DD8" w:rsidRPr="00636B79" w:rsidRDefault="00AE336B" w:rsidP="00C85D0F">
            <w:pPr>
              <w:pStyle w:val="EPTerm"/>
            </w:pPr>
            <w:r w:rsidRPr="00636B79">
              <w:t>2024-2029</w:t>
            </w:r>
          </w:p>
        </w:tc>
        <w:tc>
          <w:tcPr>
            <w:tcW w:w="2268" w:type="dxa"/>
            <w:shd w:val="clear" w:color="auto" w:fill="auto"/>
          </w:tcPr>
          <w:p w14:paraId="4F1CAC78" w14:textId="77777777" w:rsidR="00C05DD8" w:rsidRPr="00636B79" w:rsidRDefault="00AE336B" w:rsidP="00C85D0F">
            <w:pPr>
              <w:pStyle w:val="EPLogo"/>
            </w:pPr>
            <w:r w:rsidRPr="00636B79">
              <w:rPr>
                <w:noProof/>
                <w:lang w:eastAsia="ja-JP"/>
              </w:rPr>
              <w:drawing>
                <wp:inline distT="0" distB="0" distL="0" distR="0" wp14:anchorId="792B2DF5" wp14:editId="088EF8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7CC65B6" w14:textId="77777777" w:rsidR="009612AA" w:rsidRPr="00636B79" w:rsidRDefault="009612AA" w:rsidP="009612AA">
      <w:pPr>
        <w:pStyle w:val="LineTop"/>
      </w:pPr>
    </w:p>
    <w:p w14:paraId="6766B6F4" w14:textId="77777777" w:rsidR="009612AA" w:rsidRPr="00636B79" w:rsidRDefault="00AE336B" w:rsidP="009612AA">
      <w:pPr>
        <w:pStyle w:val="EPBody"/>
      </w:pPr>
      <w:r w:rsidRPr="00636B79">
        <w:rPr>
          <w:rStyle w:val="HideTWBExt"/>
          <w:i w:val="0"/>
          <w:szCs w:val="20"/>
        </w:rPr>
        <w:t>&lt;</w:t>
      </w:r>
      <w:r w:rsidRPr="00636B79">
        <w:rPr>
          <w:rStyle w:val="HideTWBExt"/>
          <w:i w:val="0"/>
          <w:szCs w:val="20"/>
        </w:rPr>
        <w:t>Commission</w:t>
      </w:r>
      <w:r w:rsidRPr="00636B79">
        <w:rPr>
          <w:rStyle w:val="HideTWBExt"/>
          <w:i w:val="0"/>
          <w:szCs w:val="20"/>
        </w:rPr>
        <w:t>&gt;</w:t>
      </w:r>
      <w:r w:rsidRPr="00636B79">
        <w:rPr>
          <w:rStyle w:val="HideTWBInt"/>
          <w:i w:val="0"/>
          <w:szCs w:val="20"/>
        </w:rPr>
        <w:t>{LIBE}</w:t>
      </w:r>
      <w:r w:rsidRPr="00636B79">
        <w:t>Komisja Wolności Obywatelskich, Sprawiedliwości i Spraw Wewnętrznych</w:t>
      </w:r>
      <w:r w:rsidRPr="00636B79">
        <w:rPr>
          <w:rStyle w:val="HideTWBExt"/>
          <w:i w:val="0"/>
          <w:szCs w:val="20"/>
        </w:rPr>
        <w:t>&lt;/</w:t>
      </w:r>
      <w:r w:rsidRPr="00636B79">
        <w:rPr>
          <w:rStyle w:val="HideTWBExt"/>
          <w:i w:val="0"/>
          <w:szCs w:val="20"/>
        </w:rPr>
        <w:t>Commission</w:t>
      </w:r>
      <w:r w:rsidRPr="00636B79">
        <w:rPr>
          <w:rStyle w:val="HideTWBExt"/>
          <w:i w:val="0"/>
          <w:szCs w:val="20"/>
        </w:rPr>
        <w:t>&gt;</w:t>
      </w:r>
    </w:p>
    <w:p w14:paraId="6A85A58D" w14:textId="77777777" w:rsidR="009612AA" w:rsidRPr="00636B79" w:rsidRDefault="009612AA" w:rsidP="009612AA">
      <w:pPr>
        <w:pStyle w:val="LineBottom"/>
        <w:rPr>
          <w:lang w:val="en-GB"/>
        </w:rPr>
      </w:pPr>
    </w:p>
    <w:p w14:paraId="242CF62E" w14:textId="77777777" w:rsidR="00363B94" w:rsidRPr="00636B79" w:rsidRDefault="00AE336B">
      <w:pPr>
        <w:pStyle w:val="CoverReference"/>
      </w:pPr>
      <w:r w:rsidRPr="00636B79">
        <w:rPr>
          <w:rStyle w:val="HideTWBExt"/>
          <w:b w:val="0"/>
        </w:rPr>
        <w:t>&lt;RefProc&gt;</w:t>
      </w:r>
      <w:r w:rsidRPr="00636B79">
        <w:t>2025/0145</w:t>
      </w:r>
      <w:r w:rsidRPr="00636B79">
        <w:rPr>
          <w:rStyle w:val="HideTWBExt"/>
          <w:b w:val="0"/>
        </w:rPr>
        <w:t>&lt;/RefProc&gt;&lt;RefTypeProc&gt;</w:t>
      </w:r>
      <w:r w:rsidRPr="00636B79">
        <w:t>(NLE)</w:t>
      </w:r>
      <w:r w:rsidRPr="00636B79">
        <w:rPr>
          <w:rStyle w:val="HideTWBExt"/>
          <w:b w:val="0"/>
        </w:rPr>
        <w:t>&lt;/RefTypeProc&gt;</w:t>
      </w:r>
    </w:p>
    <w:p w14:paraId="6BED0206" w14:textId="77777777" w:rsidR="00363B94" w:rsidRPr="00636B79" w:rsidRDefault="00AE336B">
      <w:pPr>
        <w:pStyle w:val="CoverDate"/>
      </w:pPr>
      <w:r w:rsidRPr="00636B79">
        <w:rPr>
          <w:rStyle w:val="HideTWBExt"/>
        </w:rPr>
        <w:t>&lt;Date&gt;</w:t>
      </w:r>
      <w:r w:rsidRPr="00636B79">
        <w:rPr>
          <w:rStyle w:val="HideTWBInt"/>
        </w:rPr>
        <w:t>{05/02/2026}</w:t>
      </w:r>
      <w:r w:rsidRPr="00636B79">
        <w:t>5.2.2026</w:t>
      </w:r>
      <w:r w:rsidRPr="00636B79">
        <w:rPr>
          <w:rStyle w:val="HideTWBExt"/>
        </w:rPr>
        <w:t>&lt;/Date&gt;</w:t>
      </w:r>
    </w:p>
    <w:p w14:paraId="7E738CAC" w14:textId="77777777" w:rsidR="00363B94" w:rsidRPr="00636B79" w:rsidRDefault="00AE336B">
      <w:pPr>
        <w:pStyle w:val="CoverDocType"/>
      </w:pPr>
      <w:r w:rsidRPr="00636B79">
        <w:rPr>
          <w:rStyle w:val="HideTWBExt"/>
          <w:b w:val="0"/>
        </w:rPr>
        <w:t>&lt;RefProcLect&gt;</w:t>
      </w:r>
      <w:r w:rsidRPr="00636B79">
        <w:t>***</w:t>
      </w:r>
      <w:r w:rsidRPr="00636B79">
        <w:rPr>
          <w:rStyle w:val="HideTWBExt"/>
          <w:b w:val="0"/>
        </w:rPr>
        <w:t>&lt;/RefProcLect&gt;</w:t>
      </w:r>
    </w:p>
    <w:p w14:paraId="31E8A34A" w14:textId="77777777" w:rsidR="00363B94" w:rsidRPr="00636B79" w:rsidRDefault="00AE336B">
      <w:pPr>
        <w:pStyle w:val="CoverDocType24a"/>
      </w:pPr>
      <w:r w:rsidRPr="00636B79">
        <w:rPr>
          <w:rStyle w:val="HideTWBExt"/>
          <w:b w:val="0"/>
        </w:rPr>
        <w:t>&lt;TitreType&gt;</w:t>
      </w:r>
      <w:r w:rsidRPr="00636B79">
        <w:t>PROJEKT ZALECENIA</w:t>
      </w:r>
      <w:r w:rsidRPr="00636B79">
        <w:rPr>
          <w:rStyle w:val="HideTWBExt"/>
          <w:b w:val="0"/>
        </w:rPr>
        <w:t>&lt;/TitreType&gt;</w:t>
      </w:r>
    </w:p>
    <w:p w14:paraId="44CD0AA6" w14:textId="77777777" w:rsidR="00363B94" w:rsidRPr="00636B79" w:rsidRDefault="00AE336B">
      <w:pPr>
        <w:pStyle w:val="CoverNormal"/>
      </w:pPr>
      <w:r w:rsidRPr="00636B79">
        <w:rPr>
          <w:rStyle w:val="HideTWBExt"/>
        </w:rPr>
        <w:t>&lt;Titre&gt;</w:t>
      </w:r>
      <w:r w:rsidRPr="00636B79">
        <w:t>w sprawie projektu decyzji Rady w sprawie zawarcia, w imieniu Unii, Umowy między Unią Europejską a Królestwem Norwegii o przekazywaniu danych dotyczących przelotu pasażera (danych PNR) w celu zapobiegania przestępstwom terrorystycznym i poważnej przestępczości, ich wykrywania, prowadzenia postępowań przygotowawczych w ich sprawie i ich ścigania</w:t>
      </w:r>
      <w:r w:rsidRPr="00636B79">
        <w:rPr>
          <w:rStyle w:val="HideTWBExt"/>
        </w:rPr>
        <w:t>&lt;/Titre&gt;</w:t>
      </w:r>
    </w:p>
    <w:p w14:paraId="091E6810" w14:textId="77777777" w:rsidR="00363B94" w:rsidRPr="00636B79" w:rsidRDefault="00AE336B">
      <w:pPr>
        <w:pStyle w:val="CoverNormal24a"/>
      </w:pPr>
      <w:r w:rsidRPr="00636B79">
        <w:rPr>
          <w:rStyle w:val="HideTWBExt"/>
        </w:rPr>
        <w:t>&lt;DocRef&gt;</w:t>
      </w:r>
      <w:r w:rsidRPr="00636B79">
        <w:t>(11280/2025 – C10</w:t>
      </w:r>
      <w:r w:rsidRPr="00636B79">
        <w:noBreakHyphen/>
        <w:t>0279/2025 – 2025/0145(NLE))</w:t>
      </w:r>
      <w:r w:rsidRPr="00636B79">
        <w:rPr>
          <w:rStyle w:val="HideTWBExt"/>
        </w:rPr>
        <w:t>&lt;/DocRef&gt;</w:t>
      </w:r>
    </w:p>
    <w:p w14:paraId="6E8AD48C" w14:textId="77777777" w:rsidR="00363B94" w:rsidRPr="00636B79" w:rsidRDefault="00AE336B">
      <w:pPr>
        <w:pStyle w:val="CoverNormal24a"/>
      </w:pPr>
      <w:r w:rsidRPr="00636B79">
        <w:rPr>
          <w:rStyle w:val="HideTWBExt"/>
        </w:rPr>
        <w:t>&lt;Commission&gt;</w:t>
      </w:r>
      <w:r w:rsidRPr="00636B79">
        <w:rPr>
          <w:rStyle w:val="HideTWBInt"/>
        </w:rPr>
        <w:t>{LIBE}</w:t>
      </w:r>
      <w:r w:rsidRPr="00636B79">
        <w:t>Komisja Wolności Obywatelskich, Sprawiedliwości i Spraw Wewnętrznych</w:t>
      </w:r>
      <w:r w:rsidRPr="00636B79">
        <w:rPr>
          <w:rStyle w:val="HideTWBExt"/>
        </w:rPr>
        <w:t>&lt;/Commission&gt;</w:t>
      </w:r>
    </w:p>
    <w:p w14:paraId="5F08FB8A" w14:textId="77777777" w:rsidR="00363B94" w:rsidRPr="00636B79" w:rsidRDefault="00AE336B">
      <w:pPr>
        <w:pStyle w:val="CoverNormal24a"/>
      </w:pPr>
      <w:r w:rsidRPr="00636B79">
        <w:t xml:space="preserve">Sprawozdawca: </w:t>
      </w:r>
      <w:r w:rsidRPr="00636B79">
        <w:rPr>
          <w:rStyle w:val="HideTWBExt"/>
        </w:rPr>
        <w:t>&lt;Depute&gt;</w:t>
      </w:r>
      <w:r w:rsidRPr="00636B79">
        <w:t>Jaroslav Bžoch</w:t>
      </w:r>
      <w:r w:rsidRPr="00636B79">
        <w:rPr>
          <w:rStyle w:val="HideTWBExt"/>
        </w:rPr>
        <w:t>&lt;/Depute&gt;</w:t>
      </w:r>
    </w:p>
    <w:p w14:paraId="76A6C08F" w14:textId="77777777" w:rsidR="00B42885" w:rsidRPr="00636B79" w:rsidRDefault="00B42885" w:rsidP="00B42885">
      <w:pPr>
        <w:pStyle w:val="CoverNormal"/>
        <w:rPr>
          <w:lang w:val="fr-BE"/>
        </w:rPr>
      </w:pPr>
    </w:p>
    <w:p w14:paraId="76362F92" w14:textId="17CACA75" w:rsidR="00A55926" w:rsidRPr="00636B79" w:rsidRDefault="00AE336B" w:rsidP="00016E55">
      <w:r w:rsidRPr="00636B79">
        <w:br w:type="page"/>
      </w:r>
      <w:r w:rsidRPr="00636B79">
        <w:lastRenderedPageBreak/>
        <w:fldChar w:fldCharType="begin"/>
      </w:r>
      <w:r w:rsidRPr="00636B79">
        <w:instrText xml:space="preserve"> TITLE  \* MERGEFORMAT </w:instrText>
      </w:r>
      <w:r w:rsidRPr="00636B79">
        <w:fldChar w:fldCharType="separate"/>
      </w:r>
      <w:r w:rsidRPr="00AE336B">
        <w:rPr>
          <w:lang w:val="fr-BE"/>
        </w:rPr>
        <w:t>PR_NLE-AP_Agreement</w:t>
      </w:r>
      <w:r w:rsidRPr="00636B79">
        <w:fldChar w:fldCharType="end"/>
      </w:r>
    </w:p>
    <w:p w14:paraId="17CBFD89" w14:textId="77777777" w:rsidR="00A55926" w:rsidRPr="00636B79" w:rsidRDefault="00A55926" w:rsidP="00016E55">
      <w:pPr>
        <w:rPr>
          <w:lang w:val="fr-BE"/>
        </w:rPr>
      </w:pPr>
    </w:p>
    <w:p w14:paraId="07CA303D" w14:textId="77777777" w:rsidR="00A921F8" w:rsidRPr="00636B79" w:rsidRDefault="00A921F8" w:rsidP="00A921F8">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lang w:val="fr-FR"/>
        </w:rPr>
      </w:pPr>
    </w:p>
    <w:p w14:paraId="72A941DD" w14:textId="77777777" w:rsidR="00A921F8" w:rsidRPr="00636B79" w:rsidRDefault="00A921F8" w:rsidP="00A921F8">
      <w:pPr>
        <w:tabs>
          <w:tab w:val="center" w:pos="4677"/>
        </w:tabs>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906F4" w:rsidRPr="00636B79" w14:paraId="4D104959" w14:textId="77777777" w:rsidTr="009E7819">
        <w:tc>
          <w:tcPr>
            <w:tcW w:w="5811" w:type="dxa"/>
          </w:tcPr>
          <w:p w14:paraId="6250B3D8" w14:textId="77777777" w:rsidR="00A921F8" w:rsidRPr="00636B79" w:rsidRDefault="00AE336B" w:rsidP="009E7819">
            <w:pPr>
              <w:pStyle w:val="Lgendetitre"/>
            </w:pPr>
            <w:r w:rsidRPr="00636B79">
              <w:t>Objaśnienie używanych znaków</w:t>
            </w:r>
          </w:p>
        </w:tc>
      </w:tr>
      <w:tr w:rsidR="006906F4" w:rsidRPr="00636B79" w14:paraId="6EC48604" w14:textId="77777777" w:rsidTr="009E7819">
        <w:trPr>
          <w:cantSplit/>
          <w:trHeight w:val="2170"/>
        </w:trPr>
        <w:tc>
          <w:tcPr>
            <w:tcW w:w="5811" w:type="dxa"/>
            <w:tcBorders>
              <w:bottom w:val="single" w:sz="4" w:space="0" w:color="auto"/>
            </w:tcBorders>
          </w:tcPr>
          <w:p w14:paraId="04DABA0C" w14:textId="77777777" w:rsidR="00A921F8" w:rsidRPr="00636B79" w:rsidRDefault="00AE336B" w:rsidP="009E7819">
            <w:pPr>
              <w:pStyle w:val="Lgendesigne"/>
            </w:pPr>
            <w:r w:rsidRPr="00636B79">
              <w:tab/>
              <w:t>*</w:t>
            </w:r>
            <w:r w:rsidRPr="00636B79">
              <w:tab/>
            </w:r>
            <w:r w:rsidRPr="00636B79">
              <w:t>Procedura konsultacji</w:t>
            </w:r>
          </w:p>
          <w:p w14:paraId="56200240" w14:textId="77777777" w:rsidR="00A921F8" w:rsidRPr="00636B79" w:rsidRDefault="00AE336B" w:rsidP="009E7819">
            <w:pPr>
              <w:pStyle w:val="Lgendesigne"/>
            </w:pPr>
            <w:r w:rsidRPr="00636B79">
              <w:tab/>
              <w:t>***</w:t>
            </w:r>
            <w:r w:rsidRPr="00636B79">
              <w:tab/>
              <w:t>Procedura zgody</w:t>
            </w:r>
          </w:p>
          <w:p w14:paraId="25032B51" w14:textId="77777777" w:rsidR="00A921F8" w:rsidRPr="00636B79" w:rsidRDefault="00AE336B" w:rsidP="009E7819">
            <w:pPr>
              <w:pStyle w:val="Lgendesigne"/>
            </w:pPr>
            <w:r w:rsidRPr="00636B79">
              <w:tab/>
              <w:t>***I</w:t>
            </w:r>
            <w:r w:rsidRPr="00636B79">
              <w:tab/>
              <w:t>Zwykła procedura ustawodawcza (pierwsze czytanie)</w:t>
            </w:r>
          </w:p>
          <w:p w14:paraId="05A182A5" w14:textId="77777777" w:rsidR="00A921F8" w:rsidRPr="00636B79" w:rsidRDefault="00AE336B" w:rsidP="009E7819">
            <w:pPr>
              <w:pStyle w:val="Lgendesigne"/>
            </w:pPr>
            <w:r w:rsidRPr="00636B79">
              <w:tab/>
              <w:t>***II</w:t>
            </w:r>
            <w:r w:rsidRPr="00636B79">
              <w:tab/>
              <w:t>Zwykła procedura ustawodawcza (drugie czytanie)</w:t>
            </w:r>
          </w:p>
          <w:p w14:paraId="201D9A9B" w14:textId="77777777" w:rsidR="00A921F8" w:rsidRPr="00636B79" w:rsidRDefault="00AE336B" w:rsidP="009E7819">
            <w:pPr>
              <w:pStyle w:val="Lgendesigne"/>
            </w:pPr>
            <w:r w:rsidRPr="00636B79">
              <w:tab/>
              <w:t>***III</w:t>
            </w:r>
            <w:r w:rsidRPr="00636B79">
              <w:tab/>
            </w:r>
            <w:r w:rsidRPr="00636B79">
              <w:t>Zwykła procedura ustawodawcza (trzecie czytanie)</w:t>
            </w:r>
            <w:r w:rsidRPr="00636B79">
              <w:br/>
            </w:r>
          </w:p>
          <w:p w14:paraId="2AC0FBA9" w14:textId="77777777" w:rsidR="00A921F8" w:rsidRPr="00636B79" w:rsidRDefault="00AE336B" w:rsidP="009E7819">
            <w:pPr>
              <w:pStyle w:val="Lgendestandard"/>
            </w:pPr>
            <w:r w:rsidRPr="00636B79">
              <w:t>(Wskazana procedura opiera się na podstawie prawnej zaproponowanej w projekcie aktu)</w:t>
            </w:r>
          </w:p>
          <w:p w14:paraId="48834395" w14:textId="77777777" w:rsidR="00A921F8" w:rsidRPr="00636B79" w:rsidRDefault="00A921F8" w:rsidP="009E7819">
            <w:pPr>
              <w:pStyle w:val="Lgendestandard"/>
            </w:pPr>
          </w:p>
        </w:tc>
      </w:tr>
    </w:tbl>
    <w:p w14:paraId="04562DF6" w14:textId="77777777" w:rsidR="00A921F8" w:rsidRPr="00636B79" w:rsidRDefault="00A921F8" w:rsidP="00A921F8">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792DD60F" w14:textId="77777777" w:rsidR="00A921F8" w:rsidRPr="00636B79" w:rsidRDefault="00A921F8" w:rsidP="00A921F8">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6E79F748" w14:textId="77777777" w:rsidR="00363B94" w:rsidRPr="00636B79" w:rsidRDefault="00363B94" w:rsidP="00613F2E">
      <w:pPr>
        <w:widowControl/>
        <w:tabs>
          <w:tab w:val="center" w:pos="4677"/>
        </w:tabs>
      </w:pPr>
    </w:p>
    <w:p w14:paraId="58106C7B" w14:textId="77777777" w:rsidR="00363B94" w:rsidRPr="00636B79" w:rsidRDefault="00AE336B">
      <w:pPr>
        <w:pStyle w:val="TOCHeading"/>
      </w:pPr>
      <w:r w:rsidRPr="00636B79">
        <w:br w:type="page"/>
      </w:r>
      <w:r w:rsidRPr="00636B79">
        <w:lastRenderedPageBreak/>
        <w:t>SPIS TREŚCI</w:t>
      </w:r>
    </w:p>
    <w:p w14:paraId="091E971C" w14:textId="77777777" w:rsidR="00363B94" w:rsidRPr="00636B79" w:rsidRDefault="00AE336B">
      <w:pPr>
        <w:pStyle w:val="TOCPage"/>
      </w:pPr>
      <w:r w:rsidRPr="00636B79">
        <w:t>Strona</w:t>
      </w:r>
    </w:p>
    <w:p w14:paraId="24E1EE7D" w14:textId="0F7DDE83" w:rsidR="00AE336B" w:rsidRDefault="00AE336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36B79">
        <w:fldChar w:fldCharType="begin"/>
      </w:r>
      <w:r w:rsidRPr="00636B79">
        <w:instrText xml:space="preserve"> TOC \t "PageHeading</w:instrText>
      </w:r>
      <w:r w:rsidR="00BA4F74" w:rsidRPr="00636B79">
        <w:instrText>;</w:instrText>
      </w:r>
      <w:r w:rsidRPr="00636B79">
        <w:instrText xml:space="preserve">1" </w:instrText>
      </w:r>
      <w:r w:rsidRPr="00636B79">
        <w:fldChar w:fldCharType="separate"/>
      </w:r>
      <w:r>
        <w:rPr>
          <w:noProof/>
        </w:rPr>
        <w:t>PROJEKT REZOLUCJI USTAWODAWCZEJ PARLAMENTU EUROPEJSKIEGO</w:t>
      </w:r>
      <w:r>
        <w:rPr>
          <w:noProof/>
        </w:rPr>
        <w:tab/>
      </w:r>
      <w:r>
        <w:rPr>
          <w:noProof/>
        </w:rPr>
        <w:fldChar w:fldCharType="begin"/>
      </w:r>
      <w:r>
        <w:rPr>
          <w:noProof/>
        </w:rPr>
        <w:instrText xml:space="preserve"> PAGEREF _Toc222388108 \h </w:instrText>
      </w:r>
      <w:r>
        <w:rPr>
          <w:noProof/>
        </w:rPr>
      </w:r>
      <w:r>
        <w:rPr>
          <w:noProof/>
        </w:rPr>
        <w:fldChar w:fldCharType="separate"/>
      </w:r>
      <w:r>
        <w:rPr>
          <w:noProof/>
        </w:rPr>
        <w:t>5</w:t>
      </w:r>
      <w:r>
        <w:rPr>
          <w:noProof/>
        </w:rPr>
        <w:fldChar w:fldCharType="end"/>
      </w:r>
    </w:p>
    <w:p w14:paraId="0A87052F" w14:textId="7AC3D13E" w:rsidR="00AE336B" w:rsidRDefault="00AE336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_Toc222388109 \h </w:instrText>
      </w:r>
      <w:r>
        <w:rPr>
          <w:noProof/>
        </w:rPr>
      </w:r>
      <w:r>
        <w:rPr>
          <w:noProof/>
        </w:rPr>
        <w:fldChar w:fldCharType="separate"/>
      </w:r>
      <w:r>
        <w:rPr>
          <w:noProof/>
        </w:rPr>
        <w:t>6</w:t>
      </w:r>
      <w:r>
        <w:rPr>
          <w:noProof/>
        </w:rPr>
        <w:fldChar w:fldCharType="end"/>
      </w:r>
    </w:p>
    <w:p w14:paraId="78DE9265" w14:textId="2338C41D" w:rsidR="00AE336B" w:rsidRDefault="00AE336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ZAŁĄCZNIK: WYKAZ PODMIOTÓW, OD KTÓRYCH SPRAWOZDAWCA OTRZYMAŁ INFORMACJE</w:t>
      </w:r>
      <w:r>
        <w:rPr>
          <w:noProof/>
        </w:rPr>
        <w:tab/>
      </w:r>
      <w:r>
        <w:rPr>
          <w:noProof/>
        </w:rPr>
        <w:fldChar w:fldCharType="begin"/>
      </w:r>
      <w:r>
        <w:rPr>
          <w:noProof/>
        </w:rPr>
        <w:instrText xml:space="preserve"> PAGEREF _Toc222388110 \h </w:instrText>
      </w:r>
      <w:r>
        <w:rPr>
          <w:noProof/>
        </w:rPr>
      </w:r>
      <w:r>
        <w:rPr>
          <w:noProof/>
        </w:rPr>
        <w:fldChar w:fldCharType="separate"/>
      </w:r>
      <w:r>
        <w:rPr>
          <w:noProof/>
        </w:rPr>
        <w:t>8</w:t>
      </w:r>
      <w:r>
        <w:rPr>
          <w:noProof/>
        </w:rPr>
        <w:fldChar w:fldCharType="end"/>
      </w:r>
    </w:p>
    <w:p w14:paraId="2923ED7B" w14:textId="0DA320FC" w:rsidR="004E1650" w:rsidRPr="00636B79" w:rsidRDefault="00AE336B" w:rsidP="00F04010">
      <w:r w:rsidRPr="00636B79">
        <w:fldChar w:fldCharType="end"/>
      </w:r>
    </w:p>
    <w:p w14:paraId="625A47BF" w14:textId="77777777" w:rsidR="00363B94" w:rsidRPr="00636B79" w:rsidRDefault="00AE336B" w:rsidP="0006167F">
      <w:pPr>
        <w:pStyle w:val="PageHeading"/>
      </w:pPr>
      <w:r w:rsidRPr="00636B79">
        <w:br w:type="page"/>
      </w:r>
      <w:r w:rsidRPr="00636B79">
        <w:lastRenderedPageBreak/>
        <w:br w:type="page"/>
      </w:r>
      <w:bookmarkStart w:id="0" w:name="_Toc222388108"/>
      <w:r w:rsidRPr="00636B79">
        <w:lastRenderedPageBreak/>
        <w:t>PROJEKT REZOLUCJI USTAWODAWCZEJ PARLAMENTU EUROPEJSKIEGO</w:t>
      </w:r>
      <w:bookmarkEnd w:id="0"/>
    </w:p>
    <w:p w14:paraId="3C7F4FD7" w14:textId="77777777" w:rsidR="00363B94" w:rsidRPr="00636B79" w:rsidRDefault="00AE336B">
      <w:pPr>
        <w:pStyle w:val="NormalBold"/>
      </w:pPr>
      <w:r w:rsidRPr="00636B79">
        <w:t xml:space="preserve">w sprawie </w:t>
      </w:r>
      <w:bookmarkStart w:id="1" w:name="_Hlk221277797"/>
      <w:r w:rsidRPr="00636B79">
        <w:t>projektu decyzji Rady w sprawie zawarcia, w imieniu Unii, Umowy między Unią Europejską a Królestwem Norwegii o przekazywaniu danych dotyczących przelotu pasażera (danych PNR) w celu zapobiegania przestępstwom terrorystycznym i poważnej przestępczości, ich wykrywania, prowadzenia postępowań przygotowawczych w ich sprawie i ich ścigania</w:t>
      </w:r>
      <w:bookmarkEnd w:id="1"/>
    </w:p>
    <w:p w14:paraId="7B26C2B1" w14:textId="77777777" w:rsidR="00363B94" w:rsidRPr="00636B79" w:rsidRDefault="00AE336B">
      <w:pPr>
        <w:pStyle w:val="NormalBold12a"/>
      </w:pPr>
      <w:r w:rsidRPr="00636B79">
        <w:t>(</w:t>
      </w:r>
      <w:bookmarkStart w:id="2" w:name="_Hlk221278502"/>
      <w:r w:rsidRPr="00636B79">
        <w:t xml:space="preserve">11280/2025 </w:t>
      </w:r>
      <w:bookmarkEnd w:id="2"/>
      <w:r w:rsidRPr="00636B79">
        <w:t>– C10</w:t>
      </w:r>
      <w:r w:rsidRPr="00636B79">
        <w:noBreakHyphen/>
        <w:t xml:space="preserve">0279/2025 – </w:t>
      </w:r>
      <w:bookmarkStart w:id="3" w:name="_Hlk221279129"/>
      <w:r w:rsidRPr="00636B79">
        <w:t>2025/0145(NLE</w:t>
      </w:r>
      <w:bookmarkEnd w:id="3"/>
      <w:r w:rsidRPr="00636B79">
        <w:t>))</w:t>
      </w:r>
    </w:p>
    <w:p w14:paraId="19080D78" w14:textId="77777777" w:rsidR="00363B94" w:rsidRPr="00636B79" w:rsidRDefault="00AE336B" w:rsidP="00893FBD">
      <w:pPr>
        <w:pStyle w:val="NormalBold"/>
      </w:pPr>
      <w:r w:rsidRPr="00636B79">
        <w:t>(Zgoda)</w:t>
      </w:r>
    </w:p>
    <w:p w14:paraId="64F97029" w14:textId="77777777" w:rsidR="00363B94" w:rsidRPr="00636B79" w:rsidRDefault="00AE336B">
      <w:pPr>
        <w:pStyle w:val="EPComma"/>
      </w:pPr>
      <w:r w:rsidRPr="00636B79">
        <w:rPr>
          <w:i/>
          <w:iCs/>
        </w:rPr>
        <w:t>Parlament Europejski</w:t>
      </w:r>
      <w:r w:rsidRPr="00636B79">
        <w:t>,</w:t>
      </w:r>
    </w:p>
    <w:p w14:paraId="5050BE3E" w14:textId="77777777" w:rsidR="00BF7F55" w:rsidRPr="00636B79" w:rsidRDefault="00AE336B" w:rsidP="00BF7F55">
      <w:pPr>
        <w:pStyle w:val="NormalHanging12a"/>
      </w:pPr>
      <w:r w:rsidRPr="00636B79">
        <w:t>–</w:t>
      </w:r>
      <w:r w:rsidRPr="00636B79">
        <w:tab/>
        <w:t>uwzględniając projekt decyzji Rady (11280/2025),</w:t>
      </w:r>
    </w:p>
    <w:p w14:paraId="449F3933" w14:textId="77777777" w:rsidR="00363B94" w:rsidRPr="00636B79" w:rsidRDefault="00AE336B">
      <w:pPr>
        <w:pStyle w:val="NormalHanging12a"/>
      </w:pPr>
      <w:r w:rsidRPr="00636B79">
        <w:t>–</w:t>
      </w:r>
      <w:r w:rsidRPr="00636B79">
        <w:tab/>
        <w:t>uwzględniając projekt Umowy między Unią Europejską a Królestwem Norwegii o przekazywaniu danych dotyczących przelotu pasażera (danych PNR) w celu zapobiegania przestępstwom terrorystycznym i poważnej przestępczości, ich wykrywania, prowadzenia postępowań przygotowawczych w ich sprawie i ich ścigania (</w:t>
      </w:r>
      <w:bookmarkStart w:id="4" w:name="_Hlk221278511"/>
      <w:r w:rsidRPr="00636B79">
        <w:t>11281/2025</w:t>
      </w:r>
      <w:bookmarkEnd w:id="4"/>
      <w:r w:rsidRPr="00636B79">
        <w:t>),</w:t>
      </w:r>
    </w:p>
    <w:p w14:paraId="2B6229DA" w14:textId="77777777" w:rsidR="00363B94" w:rsidRPr="00636B79" w:rsidRDefault="00AE336B">
      <w:pPr>
        <w:pStyle w:val="NormalHanging12a"/>
      </w:pPr>
      <w:r w:rsidRPr="00636B79">
        <w:t>–</w:t>
      </w:r>
      <w:r w:rsidRPr="00636B79">
        <w:tab/>
        <w:t>uwzględniając wniosek o wyrażenie zgody przedstawiony przez Radę na podstawie art. 16 ust. 2, art. 87 ust. 2 lit. a) i art. 218 ust. 6 akapit drugi lit. a) Traktatu o funkcjonowaniu Unii Europejskiej (C10</w:t>
      </w:r>
      <w:r w:rsidRPr="00636B79">
        <w:noBreakHyphen/>
        <w:t>0279/2025),</w:t>
      </w:r>
    </w:p>
    <w:p w14:paraId="6FEC5F3E" w14:textId="77777777" w:rsidR="00363B94" w:rsidRPr="00636B79" w:rsidRDefault="00AE336B">
      <w:pPr>
        <w:pStyle w:val="NormalHanging12a"/>
      </w:pPr>
      <w:r w:rsidRPr="00636B79">
        <w:t>–</w:t>
      </w:r>
      <w:r w:rsidRPr="00636B79">
        <w:tab/>
        <w:t>uwzględniając art. 107 ust. 1 i 4 oraz art. 117 ust. 7 Regulaminu,</w:t>
      </w:r>
    </w:p>
    <w:p w14:paraId="5A0EBF90" w14:textId="77777777" w:rsidR="00363B94" w:rsidRPr="00636B79" w:rsidRDefault="00AE336B">
      <w:pPr>
        <w:pStyle w:val="NormalHanging12a"/>
      </w:pPr>
      <w:r w:rsidRPr="00636B79">
        <w:t>–</w:t>
      </w:r>
      <w:r w:rsidRPr="00636B79">
        <w:tab/>
        <w:t>uwzględniając zalecenie Komisji Wolności Obywatelskich, Sprawiedliwości i Spraw Wewnętrznych (A10</w:t>
      </w:r>
      <w:r w:rsidRPr="00636B79">
        <w:noBreakHyphen/>
        <w:t>0000/2026),</w:t>
      </w:r>
    </w:p>
    <w:p w14:paraId="02D7E2D7" w14:textId="77777777" w:rsidR="00363B94" w:rsidRPr="00636B79" w:rsidRDefault="00AE336B">
      <w:pPr>
        <w:pStyle w:val="NormalHanging12a"/>
      </w:pPr>
      <w:r w:rsidRPr="00636B79">
        <w:t>1.</w:t>
      </w:r>
      <w:r w:rsidRPr="00636B79">
        <w:tab/>
        <w:t>wyraża zgodę na zawarcie umowy;</w:t>
      </w:r>
    </w:p>
    <w:p w14:paraId="2F25F852" w14:textId="77777777" w:rsidR="001D02E3" w:rsidRPr="00636B79" w:rsidRDefault="00AE336B">
      <w:pPr>
        <w:pStyle w:val="NormalHanging12a"/>
      </w:pPr>
      <w:r w:rsidRPr="00636B79">
        <w:t>2.</w:t>
      </w:r>
      <w:r w:rsidRPr="00636B79">
        <w:tab/>
        <w:t>zobowiązuje swoją przewodniczącą do przekazania stanowiska Parlamentu Radzie i Komisji, jak również rządom i parlamentom państw członkowskich oraz Królestwa Norwegii.</w:t>
      </w:r>
    </w:p>
    <w:p w14:paraId="5EB42DB1" w14:textId="77777777" w:rsidR="00A55926" w:rsidRPr="00636B79" w:rsidRDefault="00A55926" w:rsidP="00822206">
      <w:pPr>
        <w:rPr>
          <w:lang w:val="en-GB"/>
        </w:rPr>
        <w:sectPr w:rsidR="00A55926" w:rsidRPr="00636B79" w:rsidSect="00A921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149D038" w14:textId="77777777" w:rsidR="00363B94" w:rsidRPr="00636B79" w:rsidRDefault="00AE336B" w:rsidP="00A55926">
      <w:pPr>
        <w:pStyle w:val="PageHeading"/>
      </w:pPr>
      <w:bookmarkStart w:id="5" w:name="_Toc222388109"/>
      <w:r w:rsidRPr="00636B79">
        <w:lastRenderedPageBreak/>
        <w:t>UZASADNIENIE</w:t>
      </w:r>
      <w:bookmarkEnd w:id="5"/>
    </w:p>
    <w:p w14:paraId="47C5C3EB" w14:textId="77777777" w:rsidR="00E93B3F" w:rsidRPr="00636B79" w:rsidRDefault="00AE336B" w:rsidP="00E93B3F">
      <w:r w:rsidRPr="00636B79">
        <w:t>Projekt decyzji Rady ma na celu zatwierdzenie Umowy między Unią Europejską a Królestwem Norwegii o przekazywaniu danych dotyczących przelotu pasażera (danych PNR) w celu zapobiegania przestępstwom terrorystycznym i poważnej przestępczości, ich wykrywania, prowadzenia postępowań przygotowawczych w ich sprawie i ich ścigania (zwanej dalej „umową”).</w:t>
      </w:r>
    </w:p>
    <w:p w14:paraId="08F9E478" w14:textId="77777777" w:rsidR="00E93B3F" w:rsidRPr="00636B79" w:rsidRDefault="00E93B3F" w:rsidP="00E93B3F">
      <w:pPr>
        <w:rPr>
          <w:lang w:val="en-GB"/>
        </w:rPr>
      </w:pPr>
    </w:p>
    <w:p w14:paraId="75BE77C1" w14:textId="77777777" w:rsidR="00E93B3F" w:rsidRPr="00636B79" w:rsidRDefault="00AE336B" w:rsidP="00E93B3F">
      <w:r w:rsidRPr="00636B79">
        <w:t>Norwegia i państwa członkowskie UE są umawiającymi się stronami konwencji z Schengen i ponoszą wspólną odpowiedzialność za zapewnienie bezpieczeństwa wewnętrznego na wspólnym obszarze bez kontroli na granicach wewnętrznych, w tym przez wymianę odpowiednich informacji. Dane dotyczące przelotu pasażera (dane PNR) to informacje o pasażerach zebrane podczas procesu rezerwacji lotu i odprawy, które przewoźnicy lotniczy gromadzą i przechowują do celów handlowych w systemach rezerwacji i odpraw pasażerskich. Obowi</w:t>
      </w:r>
      <w:r w:rsidRPr="00636B79">
        <w:t>ązujące umowy z państwami trzecimi w sprawie przetwarzania danych PNR pokazały, że dane te mogą przyczynić się do zwiększenia bezpieczeństwa strefy Schengen. Takie umowy usprawniają zapobieganie terroryzmowi i poważnym przestępstwom, w tym handlowi narkotykami, bronią palną i ludźmi, oraz wykrywanie tych zjawisk na granicach zewnętrznych UE, a także przewidują podejście oparte na analizie ryzyka i danych, które państwa członkowskie mogą stosować jako środek kompensujący brak kontroli na granicach wewnętrzny</w:t>
      </w:r>
      <w:r w:rsidRPr="00636B79">
        <w:t>ch w strefie Schengen.</w:t>
      </w:r>
    </w:p>
    <w:p w14:paraId="27050EBE" w14:textId="77777777" w:rsidR="00E93B3F" w:rsidRPr="00636B79" w:rsidRDefault="00E93B3F" w:rsidP="00E93B3F">
      <w:pPr>
        <w:rPr>
          <w:lang w:val="en-GB"/>
        </w:rPr>
      </w:pPr>
    </w:p>
    <w:p w14:paraId="08134A98" w14:textId="77777777" w:rsidR="00E93B3F" w:rsidRPr="00636B79" w:rsidRDefault="00AE336B" w:rsidP="00E93B3F">
      <w:r w:rsidRPr="00636B79">
        <w:t>Chociaż Norwegia nie jest uznawana za państwo trzecie w rozumieniu rozporządzenia 2016/679 („RODO”), te ramy prawne nie mają zastosowania do przetwarzania danych osobowych, w tym danych PNR, przez norweskie organy ścigania w celu zapobiegania przestępczości, prowadzenia postępowań przygotowawczych, wykrywania i ścigania czynów zabronionych lub wykonywania kar. Jednocześnie Norwegia jest związana aktami Unii, które stanowią rozwinięcie przepisów dorobku Schengen. Dyrektywa (UE) 2016/680) (dyrektywa w sprawie</w:t>
      </w:r>
      <w:r w:rsidRPr="00636B79">
        <w:t xml:space="preserve"> danych PNR) nie stanowi jednak takiego rozwinięcia, w związku z czym Norwegia nie uczestniczy we wdrażaniu tego aktu prawnego.</w:t>
      </w:r>
    </w:p>
    <w:p w14:paraId="67216C34" w14:textId="77777777" w:rsidR="00E93B3F" w:rsidRPr="00636B79" w:rsidRDefault="00E93B3F" w:rsidP="00E93B3F">
      <w:pPr>
        <w:rPr>
          <w:lang w:val="en-GB"/>
        </w:rPr>
      </w:pPr>
    </w:p>
    <w:p w14:paraId="0840EF92" w14:textId="77777777" w:rsidR="00E93B3F" w:rsidRPr="00636B79" w:rsidRDefault="00AE336B" w:rsidP="00E93B3F">
      <w:r w:rsidRPr="00636B79">
        <w:t>Zgodnie z obowiązującymi ramami Norwegia nie może zgodnie z prawem otrzymywać i przetwarzać danych PNR dotyczących lotów obsługiwanych przez przewoźników lotniczych między Unią a Norwegią. W związku z tym 6 września 2023 r. Komisja zaleciła rozpoczęcie negocjacji w sprawie umowy. Rada udzieliła upoważnienia 4 marca 2024 r., a negocjacje rozpoczęły się 21 marca 2024 r. 9 kwietnia 2025 r. negocjacje zostały formalnie zakończone, a 22 września 2025 r. Rada przyjęła umowę. W październiku 2025 r. została ona pod</w:t>
      </w:r>
      <w:r w:rsidRPr="00636B79">
        <w:t>pisana przez komisarza Magnusa Brunnera i sekretarza stanu Joakima Ørena.</w:t>
      </w:r>
    </w:p>
    <w:p w14:paraId="3E335E00" w14:textId="77777777" w:rsidR="00E93B3F" w:rsidRPr="00636B79" w:rsidRDefault="00E93B3F" w:rsidP="00E93B3F">
      <w:pPr>
        <w:rPr>
          <w:lang w:val="en-GB"/>
        </w:rPr>
      </w:pPr>
    </w:p>
    <w:p w14:paraId="53A9F50C" w14:textId="77777777" w:rsidR="00E93B3F" w:rsidRPr="00636B79" w:rsidRDefault="00AE336B" w:rsidP="00E93B3F">
      <w:r w:rsidRPr="00636B79">
        <w:t>Głównym celem przedmiotowej umowy jest wypełnienie luki w zakresie bezpieczeństwa w strefie Schengen, co umożliwi przewoźnikom lotniczym przekazywanie danych PNR Norwegii i odwrotnie. Przekazywanie i przetwarzanie danych osobowych, w tym danych PNR, wymaga jednak ścisłych ograniczeń i skutecznych zabezpieczeń. Zgodnie z opinią 16/2025 Europejskiego Inspektora Ochrony Danych z 24 lipca 2025 r. postanowienia umowy regulujące przekazywanie i przetwarzanie danych PNR okazały się zadowalające. W związku z tym 28</w:t>
      </w:r>
      <w:r w:rsidRPr="00636B79">
        <w:t xml:space="preserve"> stycznia 2026 r. Komisja poinformowała sprawozdawców i potwierdziła, że umowa ustanawia wysokie standardy nie tylko pod względem bezpieczeństwa, ale także ochrony danych i prywatności.</w:t>
      </w:r>
    </w:p>
    <w:p w14:paraId="3A2ABF67" w14:textId="77777777" w:rsidR="00E93B3F" w:rsidRPr="00636B79" w:rsidRDefault="00E93B3F" w:rsidP="00E93B3F">
      <w:pPr>
        <w:rPr>
          <w:lang w:val="en-GB"/>
        </w:rPr>
      </w:pPr>
    </w:p>
    <w:p w14:paraId="14FD976E" w14:textId="77777777" w:rsidR="00A55926" w:rsidRPr="00636B79" w:rsidRDefault="00AE336B" w:rsidP="00E93B3F">
      <w:r w:rsidRPr="00636B79">
        <w:t>Mając na uwadze powyższe, sprawozdawca zaleca, aby Parlament zatwierdził projekt tekstu decyzji Rady.</w:t>
      </w:r>
    </w:p>
    <w:p w14:paraId="5FA71599" w14:textId="77777777" w:rsidR="00A921F8" w:rsidRPr="00636B79" w:rsidRDefault="00A921F8" w:rsidP="00822206">
      <w:pPr>
        <w:rPr>
          <w:lang w:val="en-GB"/>
        </w:rPr>
        <w:sectPr w:rsidR="00A921F8" w:rsidRPr="00636B79" w:rsidSect="00A921F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F48917" w14:textId="77777777" w:rsidR="00A921F8" w:rsidRPr="00636B79" w:rsidRDefault="00AE336B" w:rsidP="007041CC">
      <w:pPr>
        <w:pStyle w:val="PageHeading"/>
        <w:rPr>
          <w:noProof/>
        </w:rPr>
      </w:pPr>
      <w:bookmarkStart w:id="6" w:name="FootprintPageRR"/>
      <w:bookmarkStart w:id="7" w:name="_Toc222388110"/>
      <w:r w:rsidRPr="00636B79">
        <w:lastRenderedPageBreak/>
        <w:t>ZAŁĄCZNIK: WYKAZ PODMIOTÓW, OD KTÓRYCH SPRAWOZDAWCA OTRZYMAŁ INFORMACJE</w:t>
      </w:r>
      <w:bookmarkEnd w:id="7"/>
    </w:p>
    <w:p w14:paraId="6B3C1085" w14:textId="77777777" w:rsidR="00A921F8" w:rsidRPr="00636B79" w:rsidRDefault="00AE336B" w:rsidP="00B31C6A">
      <w:pPr>
        <w:pStyle w:val="Normal24a"/>
        <w:spacing w:after="240"/>
      </w:pPr>
      <w:r w:rsidRPr="00636B79">
        <w:rPr>
          <w:rStyle w:val="HideTWBExt"/>
        </w:rPr>
        <w:t>&lt;FootprintIntro&gt;</w:t>
      </w:r>
      <w:r w:rsidRPr="00636B79">
        <w:t>Sprawozdawca oświadcza na swoją wyłączną odpowiedzialność, że nie ujął w swoim sprawozdaniu żadnych informacji od przedstawicieli grup interesu objętych zakresem porozumienia międzyinstytucjonalnego w sprawie obowiązkowego rejestru służącego przejrzystości</w:t>
      </w:r>
      <w:r w:rsidRPr="00636B79">
        <w:rPr>
          <w:rStyle w:val="FootnoteReference"/>
        </w:rPr>
        <w:footnoteReference w:id="1"/>
      </w:r>
      <w:r w:rsidRPr="00636B79">
        <w:t xml:space="preserve"> ani od przedstawicieli organów publicznych państw trzecich, w tym ich misji dyplomatycznych i ambasad, których należy wskazać w tym załączniku zgodnie z art. 8 załącznika I do Regulaminu.</w:t>
      </w:r>
      <w:r w:rsidRPr="00636B79">
        <w:rPr>
          <w:rStyle w:val="HideTWBExt"/>
        </w:rPr>
        <w:t>&lt;/FootprintIntro&gt;</w:t>
      </w:r>
    </w:p>
    <w:bookmarkEnd w:id="6"/>
    <w:p w14:paraId="7A529DFF" w14:textId="77777777" w:rsidR="00A921F8" w:rsidRPr="00636B79" w:rsidRDefault="00A921F8" w:rsidP="00822206"/>
    <w:p w14:paraId="4E843E31" w14:textId="77777777" w:rsidR="00A921F8" w:rsidRPr="00636B79" w:rsidRDefault="00A921F8" w:rsidP="00822206"/>
    <w:p w14:paraId="4252AFB3" w14:textId="77777777" w:rsidR="00B07F2D" w:rsidRPr="00636B79" w:rsidRDefault="00B07F2D" w:rsidP="00822206">
      <w:pPr>
        <w:rPr>
          <w:lang w:val="en-GB"/>
        </w:rPr>
      </w:pPr>
    </w:p>
    <w:sectPr w:rsidR="00B07F2D" w:rsidRPr="00636B79" w:rsidSect="00A921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7A912" w14:textId="77777777" w:rsidR="00AE336B" w:rsidRDefault="00AE336B">
      <w:r>
        <w:separator/>
      </w:r>
    </w:p>
  </w:endnote>
  <w:endnote w:type="continuationSeparator" w:id="0">
    <w:p w14:paraId="06D2F13A" w14:textId="77777777" w:rsidR="00AE336B" w:rsidRDefault="00AE3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CCB7" w14:textId="77777777" w:rsidR="001C4DB1" w:rsidRPr="00AC7BB6" w:rsidRDefault="00AE336B" w:rsidP="001C4DB1">
    <w:pPr>
      <w:pStyle w:val="EPFooter"/>
    </w:pPr>
    <w:r w:rsidRPr="00AC7BB6">
      <w:t>PE</w:t>
    </w:r>
    <w:r w:rsidRPr="00636B79">
      <w:rPr>
        <w:rStyle w:val="HideTWBExt"/>
      </w:rPr>
      <w:t>&lt;NoPE&gt;</w:t>
    </w:r>
    <w:r w:rsidRPr="00AC7BB6">
      <w:t>784.331</w:t>
    </w:r>
    <w:r w:rsidRPr="00636B79">
      <w:rPr>
        <w:rStyle w:val="HideTWBExt"/>
      </w:rPr>
      <w:t>&lt;/NoPE&gt;&lt;Version&gt;</w:t>
    </w:r>
    <w:r w:rsidRPr="00AC7BB6">
      <w:t>v01-00</w:t>
    </w:r>
    <w:r w:rsidRPr="00636B79">
      <w:rPr>
        <w:rStyle w:val="HideTWBExt"/>
      </w:rPr>
      <w:t>&lt;/Version&gt;</w:t>
    </w:r>
    <w:r w:rsidRPr="00AC7BB6">
      <w:tab/>
    </w:r>
    <w:r w:rsidRPr="00AC7BB6">
      <w:fldChar w:fldCharType="begin"/>
    </w:r>
    <w:r w:rsidRPr="00AC7BB6">
      <w:instrText xml:space="preserve"> PAGE  \* MERGEFORMAT </w:instrText>
    </w:r>
    <w:r w:rsidRPr="00AC7BB6">
      <w:fldChar w:fldCharType="separate"/>
    </w:r>
    <w:r w:rsidRPr="00AC7BB6">
      <w:rPr>
        <w:noProof/>
      </w:rPr>
      <w:t>6</w:t>
    </w:r>
    <w:r w:rsidRPr="00AC7BB6">
      <w:fldChar w:fldCharType="end"/>
    </w:r>
    <w:r w:rsidRPr="00AC7BB6">
      <w:t>/</w:t>
    </w:r>
    <w:r w:rsidRPr="00AC7BB6">
      <w:fldChar w:fldCharType="begin"/>
    </w:r>
    <w:r>
      <w:instrText xml:space="preserve"> NUMPAGES  \* MERGEFORMAT </w:instrText>
    </w:r>
    <w:r w:rsidRPr="00AC7BB6">
      <w:fldChar w:fldCharType="separate"/>
    </w:r>
    <w:r w:rsidRPr="00AC7BB6">
      <w:rPr>
        <w:noProof/>
      </w:rPr>
      <w:t>7</w:t>
    </w:r>
    <w:r w:rsidRPr="00AC7BB6">
      <w:rPr>
        <w:noProof/>
      </w:rPr>
      <w:fldChar w:fldCharType="end"/>
    </w:r>
    <w:r w:rsidRPr="00AC7BB6">
      <w:tab/>
    </w:r>
    <w:r w:rsidRPr="00636B79">
      <w:rPr>
        <w:rStyle w:val="HideTWBExt"/>
      </w:rPr>
      <w:t>&lt;PathFdR&gt;</w:t>
    </w:r>
    <w:r w:rsidRPr="00AC7BB6">
      <w:t>PR\1336948PL.docx</w:t>
    </w:r>
    <w:r w:rsidRPr="00636B79">
      <w:rPr>
        <w:rStyle w:val="HideTWBExt"/>
      </w:rPr>
      <w:t>&lt;/PathFdR&gt;</w:t>
    </w:r>
  </w:p>
  <w:p w14:paraId="57AB494B" w14:textId="77777777" w:rsidR="0085501C" w:rsidRPr="00AC7BB6" w:rsidRDefault="00AE336B" w:rsidP="001C4DB1">
    <w:pPr>
      <w:pStyle w:val="EPFooter2"/>
    </w:pPr>
    <w:r w:rsidRPr="00AC7BB6">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21C6" w14:textId="77777777" w:rsidR="001C4DB1" w:rsidRPr="00AC7BB6" w:rsidRDefault="00AE336B" w:rsidP="001C4DB1">
    <w:pPr>
      <w:pStyle w:val="EPFooter"/>
    </w:pPr>
    <w:r w:rsidRPr="00636B79">
      <w:rPr>
        <w:rStyle w:val="HideTWBExt"/>
      </w:rPr>
      <w:t>&lt;PathFdR&gt;</w:t>
    </w:r>
    <w:r w:rsidRPr="00AC7BB6">
      <w:t>PR\1336948PL.docx</w:t>
    </w:r>
    <w:r w:rsidRPr="00636B79">
      <w:rPr>
        <w:rStyle w:val="HideTWBExt"/>
      </w:rPr>
      <w:t>&lt;/PathFdR&gt;</w:t>
    </w:r>
    <w:r w:rsidRPr="00AC7BB6">
      <w:tab/>
    </w:r>
    <w:r w:rsidRPr="00AC7BB6">
      <w:fldChar w:fldCharType="begin"/>
    </w:r>
    <w:r w:rsidRPr="00AC7BB6">
      <w:instrText xml:space="preserve"> PAGE  \* MERGEFORMAT </w:instrText>
    </w:r>
    <w:r w:rsidRPr="00AC7BB6">
      <w:fldChar w:fldCharType="separate"/>
    </w:r>
    <w:r w:rsidRPr="00AC7BB6">
      <w:rPr>
        <w:noProof/>
      </w:rPr>
      <w:t>5</w:t>
    </w:r>
    <w:r w:rsidRPr="00AC7BB6">
      <w:fldChar w:fldCharType="end"/>
    </w:r>
    <w:r w:rsidRPr="00AC7BB6">
      <w:t>/</w:t>
    </w:r>
    <w:r w:rsidRPr="00AC7BB6">
      <w:fldChar w:fldCharType="begin"/>
    </w:r>
    <w:r>
      <w:instrText xml:space="preserve"> NUMPAGES  \* MERGEFORMAT </w:instrText>
    </w:r>
    <w:r w:rsidRPr="00AC7BB6">
      <w:fldChar w:fldCharType="separate"/>
    </w:r>
    <w:r w:rsidRPr="00AC7BB6">
      <w:rPr>
        <w:noProof/>
      </w:rPr>
      <w:t>7</w:t>
    </w:r>
    <w:r w:rsidRPr="00AC7BB6">
      <w:rPr>
        <w:noProof/>
      </w:rPr>
      <w:fldChar w:fldCharType="end"/>
    </w:r>
    <w:r w:rsidRPr="00AC7BB6">
      <w:tab/>
      <w:t>PE</w:t>
    </w:r>
    <w:r w:rsidRPr="00636B79">
      <w:rPr>
        <w:rStyle w:val="HideTWBExt"/>
      </w:rPr>
      <w:t>&lt;NoPE&gt;</w:t>
    </w:r>
    <w:r w:rsidRPr="00AC7BB6">
      <w:t>784.331</w:t>
    </w:r>
    <w:r w:rsidRPr="00636B79">
      <w:rPr>
        <w:rStyle w:val="HideTWBExt"/>
      </w:rPr>
      <w:t>&lt;/NoPE&gt;&lt;Version&gt;</w:t>
    </w:r>
    <w:r w:rsidRPr="00AC7BB6">
      <w:t>v01-00</w:t>
    </w:r>
    <w:r w:rsidRPr="00636B79">
      <w:rPr>
        <w:rStyle w:val="HideTWBExt"/>
      </w:rPr>
      <w:t>&lt;/Version&gt;</w:t>
    </w:r>
  </w:p>
  <w:p w14:paraId="055B937B" w14:textId="77777777" w:rsidR="0085501C" w:rsidRPr="00AC7BB6" w:rsidRDefault="00AE336B" w:rsidP="001C4DB1">
    <w:pPr>
      <w:pStyle w:val="EPFooter2"/>
    </w:pPr>
    <w:r w:rsidRPr="00AC7BB6">
      <w:tab/>
    </w:r>
    <w:r w:rsidRPr="00AC7BB6">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2EFD1" w14:textId="77777777" w:rsidR="001C4DB1" w:rsidRPr="00AC7BB6" w:rsidRDefault="00AE336B" w:rsidP="001C4DB1">
    <w:pPr>
      <w:pStyle w:val="EPFooter"/>
    </w:pPr>
    <w:r w:rsidRPr="00636B79">
      <w:rPr>
        <w:rStyle w:val="HideTWBExt"/>
      </w:rPr>
      <w:t>&lt;PathFdR&gt;</w:t>
    </w:r>
    <w:r w:rsidRPr="00AC7BB6">
      <w:t>PR\1336948PL.docx</w:t>
    </w:r>
    <w:r w:rsidRPr="00636B79">
      <w:rPr>
        <w:rStyle w:val="HideTWBExt"/>
      </w:rPr>
      <w:t>&lt;/PathFdR&gt;</w:t>
    </w:r>
    <w:r w:rsidRPr="00AC7BB6">
      <w:tab/>
    </w:r>
    <w:r w:rsidRPr="00AC7BB6">
      <w:tab/>
      <w:t>PE</w:t>
    </w:r>
    <w:r w:rsidRPr="00636B79">
      <w:rPr>
        <w:rStyle w:val="HideTWBExt"/>
      </w:rPr>
      <w:t>&lt;NoPE&gt;</w:t>
    </w:r>
    <w:r w:rsidRPr="00AC7BB6">
      <w:t>784.331</w:t>
    </w:r>
    <w:r w:rsidRPr="00636B79">
      <w:rPr>
        <w:rStyle w:val="HideTWBExt"/>
      </w:rPr>
      <w:t>&lt;/NoPE&gt;&lt;Version&gt;</w:t>
    </w:r>
    <w:r w:rsidRPr="00AC7BB6">
      <w:t>v01-00</w:t>
    </w:r>
    <w:r w:rsidRPr="00636B79">
      <w:rPr>
        <w:rStyle w:val="HideTWBExt"/>
      </w:rPr>
      <w:t>&lt;/Version&gt;</w:t>
    </w:r>
  </w:p>
  <w:p w14:paraId="7F16F984" w14:textId="77777777" w:rsidR="0085501C" w:rsidRPr="00AC7BB6" w:rsidRDefault="00AE336B" w:rsidP="001C4DB1">
    <w:pPr>
      <w:pStyle w:val="EPFooter2"/>
    </w:pPr>
    <w:r w:rsidRPr="00AC7BB6">
      <w:t>PL</w:t>
    </w:r>
    <w:r w:rsidRPr="00AC7BB6">
      <w:tab/>
    </w:r>
    <w:r w:rsidRPr="00AC7BB6">
      <w:rPr>
        <w:b w:val="0"/>
        <w:i/>
        <w:color w:val="C0C0C0"/>
        <w:sz w:val="22"/>
      </w:rPr>
      <w:t>Zjednoczona w różnorodności</w:t>
    </w:r>
    <w:r w:rsidRPr="00AC7BB6">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8EA58" w14:textId="77777777" w:rsidR="00B117C6" w:rsidRPr="00AC7BB6" w:rsidRDefault="00AE336B">
      <w:r w:rsidRPr="00AC7BB6">
        <w:separator/>
      </w:r>
    </w:p>
  </w:footnote>
  <w:footnote w:type="continuationSeparator" w:id="0">
    <w:p w14:paraId="000AB6E9" w14:textId="77777777" w:rsidR="00B117C6" w:rsidRPr="00AC7BB6" w:rsidRDefault="00AE336B">
      <w:r w:rsidRPr="00AC7BB6">
        <w:continuationSeparator/>
      </w:r>
    </w:p>
  </w:footnote>
  <w:footnote w:id="1">
    <w:p w14:paraId="0D57673D" w14:textId="77777777" w:rsidR="00A921F8" w:rsidRPr="00A921F8" w:rsidRDefault="00AE336B">
      <w:pPr>
        <w:pStyle w:val="FootnoteText"/>
      </w:pPr>
      <w:r>
        <w:rPr>
          <w:rStyle w:val="FootnoteReference"/>
        </w:rPr>
        <w:footnoteRef/>
      </w:r>
      <w:r>
        <w:t xml:space="preserve"> Porozumienie międzyinstytucjonalne z 20 maja 2021 r. pomiędzy Parlamentem Europejskim, Radą Unii Europejskiej i Komisją Europejską w sprawie obowiązkowego rejestru służącego przejrzystości (Dz.U. L 207 z 11.6.2021, s.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8EBA4" w14:textId="77777777" w:rsidR="00A921F8" w:rsidRDefault="00A92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B76F2" w14:textId="77777777" w:rsidR="00A921F8" w:rsidRDefault="00A921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AE82C" w14:textId="77777777" w:rsidR="00A921F8" w:rsidRDefault="00A921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NTRIBUTIONMNU" w:val=" 2"/>
    <w:docVar w:name="CopyToNetwork" w:val="-1"/>
    <w:docVar w:name="DOCDT" w:val="05/02/2026"/>
    <w:docVar w:name="LastEditedSection" w:val=" 1"/>
    <w:docVar w:name="NVAR1" w:val="0"/>
    <w:docVar w:name="strDocTypeID" w:val="PR_NLE-AP_Agreement"/>
    <w:docVar w:name="strSubDir" w:val="1336"/>
    <w:docVar w:name="TITLEMNU" w:val=" 2"/>
    <w:docVar w:name="TXTAUTHOR" w:val="Jaroslav Bžoch"/>
    <w:docVar w:name="TXTLANGUE" w:val="PL"/>
    <w:docVar w:name="TXTLANGUEMIN" w:val="pl"/>
    <w:docVar w:name="TXTNRC" w:val="0279/2025"/>
    <w:docVar w:name="TXTNRCOUNC" w:val="11280/2025"/>
    <w:docVar w:name="TXTNRNLE" w:val="2025/0145"/>
    <w:docVar w:name="TXTNRPE" w:val="784.331"/>
    <w:docVar w:name="TXTPEorAP" w:val="PE"/>
    <w:docVar w:name="TXTROUTE" w:val="PR\1336948PL.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16E55"/>
    <w:rsid w:val="0006167F"/>
    <w:rsid w:val="00061EFE"/>
    <w:rsid w:val="00095D8B"/>
    <w:rsid w:val="000A2F73"/>
    <w:rsid w:val="000B3AE2"/>
    <w:rsid w:val="000C123D"/>
    <w:rsid w:val="000D78AF"/>
    <w:rsid w:val="00180664"/>
    <w:rsid w:val="001874D8"/>
    <w:rsid w:val="001C4DB1"/>
    <w:rsid w:val="001D02E3"/>
    <w:rsid w:val="001F7BBE"/>
    <w:rsid w:val="00206AC0"/>
    <w:rsid w:val="0021049A"/>
    <w:rsid w:val="0022685A"/>
    <w:rsid w:val="00276E05"/>
    <w:rsid w:val="002E2E20"/>
    <w:rsid w:val="002F5A83"/>
    <w:rsid w:val="003072BE"/>
    <w:rsid w:val="00337C92"/>
    <w:rsid w:val="00363B94"/>
    <w:rsid w:val="00393B15"/>
    <w:rsid w:val="003B598C"/>
    <w:rsid w:val="004174FC"/>
    <w:rsid w:val="004468BE"/>
    <w:rsid w:val="00460BD6"/>
    <w:rsid w:val="004859B3"/>
    <w:rsid w:val="004A575E"/>
    <w:rsid w:val="004C083C"/>
    <w:rsid w:val="004E1650"/>
    <w:rsid w:val="005027B1"/>
    <w:rsid w:val="00503573"/>
    <w:rsid w:val="00514E30"/>
    <w:rsid w:val="0053367A"/>
    <w:rsid w:val="005438F6"/>
    <w:rsid w:val="00544D48"/>
    <w:rsid w:val="00544F0E"/>
    <w:rsid w:val="005877C0"/>
    <w:rsid w:val="005A6B14"/>
    <w:rsid w:val="005C4E6D"/>
    <w:rsid w:val="005C779C"/>
    <w:rsid w:val="005D0B97"/>
    <w:rsid w:val="005E138D"/>
    <w:rsid w:val="005E6C18"/>
    <w:rsid w:val="005F0DD6"/>
    <w:rsid w:val="005F5D6C"/>
    <w:rsid w:val="006132CE"/>
    <w:rsid w:val="00613F2E"/>
    <w:rsid w:val="00636B79"/>
    <w:rsid w:val="006906F4"/>
    <w:rsid w:val="006A1A75"/>
    <w:rsid w:val="006A1E64"/>
    <w:rsid w:val="006A2CF5"/>
    <w:rsid w:val="006F1B6F"/>
    <w:rsid w:val="006F7132"/>
    <w:rsid w:val="007041CC"/>
    <w:rsid w:val="00791637"/>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9A7"/>
    <w:rsid w:val="009E7819"/>
    <w:rsid w:val="00A415B7"/>
    <w:rsid w:val="00A55926"/>
    <w:rsid w:val="00A921F8"/>
    <w:rsid w:val="00AC7BB6"/>
    <w:rsid w:val="00AD5D0C"/>
    <w:rsid w:val="00AE336B"/>
    <w:rsid w:val="00B07F2D"/>
    <w:rsid w:val="00B117C6"/>
    <w:rsid w:val="00B31C6A"/>
    <w:rsid w:val="00B31D18"/>
    <w:rsid w:val="00B42885"/>
    <w:rsid w:val="00B50C20"/>
    <w:rsid w:val="00B6769C"/>
    <w:rsid w:val="00B75502"/>
    <w:rsid w:val="00BA4F74"/>
    <w:rsid w:val="00BB22CC"/>
    <w:rsid w:val="00BB41C8"/>
    <w:rsid w:val="00BE5E72"/>
    <w:rsid w:val="00BF0A0F"/>
    <w:rsid w:val="00BF1BE1"/>
    <w:rsid w:val="00BF2E15"/>
    <w:rsid w:val="00BF7F55"/>
    <w:rsid w:val="00C05DD8"/>
    <w:rsid w:val="00C15447"/>
    <w:rsid w:val="00C35D01"/>
    <w:rsid w:val="00C85D0F"/>
    <w:rsid w:val="00CB5651"/>
    <w:rsid w:val="00CC20CB"/>
    <w:rsid w:val="00CF44DF"/>
    <w:rsid w:val="00D04E0B"/>
    <w:rsid w:val="00D62DA0"/>
    <w:rsid w:val="00D6543C"/>
    <w:rsid w:val="00DF594D"/>
    <w:rsid w:val="00E14FEE"/>
    <w:rsid w:val="00E177C4"/>
    <w:rsid w:val="00E71368"/>
    <w:rsid w:val="00E93816"/>
    <w:rsid w:val="00E93B3F"/>
    <w:rsid w:val="00EA59ED"/>
    <w:rsid w:val="00EC6645"/>
    <w:rsid w:val="00EF48F2"/>
    <w:rsid w:val="00F04010"/>
    <w:rsid w:val="00F91844"/>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89E93"/>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 w:type="paragraph" w:customStyle="1" w:styleId="Normal24a">
    <w:name w:val="Normal24a"/>
    <w:basedOn w:val="Normal"/>
    <w:rsid w:val="00A921F8"/>
    <w:pPr>
      <w:spacing w:after="480"/>
    </w:pPr>
  </w:style>
  <w:style w:type="paragraph" w:customStyle="1" w:styleId="NormalBoldCenter">
    <w:name w:val="NormalBoldCenter"/>
    <w:basedOn w:val="Normal"/>
    <w:rsid w:val="00A921F8"/>
    <w:pPr>
      <w:jc w:val="center"/>
    </w:pPr>
    <w:rPr>
      <w:b/>
    </w:rPr>
  </w:style>
  <w:style w:type="paragraph" w:customStyle="1" w:styleId="Footprint12b">
    <w:name w:val="Footprint12b"/>
    <w:basedOn w:val="Normal"/>
    <w:rsid w:val="00A921F8"/>
    <w:pPr>
      <w:spacing w:before="240"/>
    </w:pPr>
    <w:rPr>
      <w:szCs w:val="24"/>
    </w:rPr>
  </w:style>
  <w:style w:type="paragraph" w:customStyle="1" w:styleId="NormalSingle">
    <w:name w:val="NormalSingle"/>
    <w:basedOn w:val="Normal"/>
    <w:qFormat/>
    <w:rsid w:val="00A921F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895</Words>
  <Characters>6102</Characters>
  <Application>Microsoft Office Word</Application>
  <DocSecurity>0</DocSecurity>
  <Lines>145</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MCGAHAN Justine</dc:creator>
  <cp:lastModifiedBy>WOJCIECHOWSKA Joanna</cp:lastModifiedBy>
  <cp:revision>2</cp:revision>
  <cp:lastPrinted>2002-12-11T09:25:00Z</cp:lastPrinted>
  <dcterms:created xsi:type="dcterms:W3CDTF">2026-02-19T09:08:00Z</dcterms:created>
  <dcterms:modified xsi:type="dcterms:W3CDTF">2026-02-19T09:08:00Z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1336948</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PR\1336948PL.docx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784.331</vt:lpwstr>
  </property>
  <property fmtid="{D5CDD505-2E9C-101B-9397-08002B2CF9AE}" pid="13" name="SendToEpades">
    <vt:lpwstr>OK - 2026/02/06 11:47</vt:lpwstr>
  </property>
  <property fmtid="{D5CDD505-2E9C-101B-9397-08002B2CF9AE}" pid="14" name="SDLStudio">
    <vt:lpwstr/>
  </property>
  <property fmtid="{D5CDD505-2E9C-101B-9397-08002B2CF9AE}" pid="15" name="Bookout">
    <vt:lpwstr>OK - 2026/02/19 10:08</vt:lpwstr>
  </property>
</Properties>
</file>