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566292" w:rsidRPr="00DF0BB1" w14:paraId="21718877" w14:textId="77777777" w:rsidTr="00C85D0F">
        <w:trPr>
          <w:trHeight w:hRule="exact" w:val="1418"/>
        </w:trPr>
        <w:tc>
          <w:tcPr>
            <w:tcW w:w="6804" w:type="dxa"/>
            <w:shd w:val="clear" w:color="auto" w:fill="auto"/>
            <w:vAlign w:val="center"/>
          </w:tcPr>
          <w:p w14:paraId="49C1545B" w14:textId="77777777" w:rsidR="00C05DD8" w:rsidRPr="00DF0BB1" w:rsidRDefault="006B4470" w:rsidP="00C85D0F">
            <w:pPr>
              <w:pStyle w:val="EPName"/>
            </w:pPr>
            <w:bookmarkStart w:id="0" w:name="iStart"/>
            <w:bookmarkEnd w:id="0"/>
            <w:r w:rsidRPr="00DF0BB1">
              <w:t>Europaparlamentet</w:t>
            </w:r>
          </w:p>
          <w:p w14:paraId="18CE05B2" w14:textId="77777777" w:rsidR="00C05DD8" w:rsidRPr="00DF0BB1" w:rsidRDefault="006B4470" w:rsidP="00C85D0F">
            <w:pPr>
              <w:pStyle w:val="EPTerm"/>
            </w:pPr>
            <w:r w:rsidRPr="00DF0BB1">
              <w:t>2024-2029</w:t>
            </w:r>
          </w:p>
        </w:tc>
        <w:tc>
          <w:tcPr>
            <w:tcW w:w="2268" w:type="dxa"/>
            <w:shd w:val="clear" w:color="auto" w:fill="auto"/>
          </w:tcPr>
          <w:p w14:paraId="32BD40F3" w14:textId="77777777" w:rsidR="00C05DD8" w:rsidRPr="00DF0BB1" w:rsidRDefault="006B4470" w:rsidP="00C85D0F">
            <w:pPr>
              <w:pStyle w:val="EPLogo"/>
            </w:pPr>
            <w:r w:rsidRPr="00DF0BB1">
              <w:rPr>
                <w:noProof/>
                <w:lang w:eastAsia="ja-JP"/>
              </w:rPr>
              <w:drawing>
                <wp:inline distT="0" distB="0" distL="0" distR="0" wp14:anchorId="652022EB" wp14:editId="1CE88D6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B8CFD12" w14:textId="77777777" w:rsidR="009612AA" w:rsidRPr="00DF0BB1" w:rsidRDefault="009612AA" w:rsidP="009612AA">
      <w:pPr>
        <w:pStyle w:val="LineTop"/>
      </w:pPr>
    </w:p>
    <w:p w14:paraId="0AD56C17" w14:textId="77777777" w:rsidR="009612AA" w:rsidRPr="00DF0BB1" w:rsidRDefault="006B4470" w:rsidP="009612AA">
      <w:pPr>
        <w:pStyle w:val="EPBody"/>
      </w:pPr>
      <w:r w:rsidRPr="00DF0BB1">
        <w:rPr>
          <w:rStyle w:val="HideTWBExt"/>
        </w:rPr>
        <w:t>&lt;</w:t>
      </w:r>
      <w:r w:rsidRPr="00DF0BB1">
        <w:rPr>
          <w:rStyle w:val="HideTWBExt"/>
          <w:i w:val="0"/>
        </w:rPr>
        <w:t>Commission</w:t>
      </w:r>
      <w:r w:rsidRPr="00DF0BB1">
        <w:rPr>
          <w:rStyle w:val="HideTWBExt"/>
        </w:rPr>
        <w:t>&gt;</w:t>
      </w:r>
      <w:r w:rsidRPr="00DF0BB1">
        <w:rPr>
          <w:rStyle w:val="HideTWBInt"/>
          <w:color w:val="auto"/>
        </w:rPr>
        <w:t>{LIBE}</w:t>
      </w:r>
      <w:r w:rsidRPr="00DF0BB1">
        <w:t>Utskottet för medborgerliga fri- och rättigheter samt rättsliga och inrikes frågor</w:t>
      </w:r>
      <w:r w:rsidRPr="00DF0BB1">
        <w:rPr>
          <w:rStyle w:val="HideTWBExt"/>
        </w:rPr>
        <w:t>&lt;/</w:t>
      </w:r>
      <w:r w:rsidRPr="00DF0BB1">
        <w:rPr>
          <w:rStyle w:val="HideTWBExt"/>
          <w:i w:val="0"/>
        </w:rPr>
        <w:t>Commission</w:t>
      </w:r>
      <w:r w:rsidRPr="00DF0BB1">
        <w:rPr>
          <w:rStyle w:val="HideTWBExt"/>
        </w:rPr>
        <w:t>&gt;</w:t>
      </w:r>
    </w:p>
    <w:p w14:paraId="38A06BF3" w14:textId="77777777" w:rsidR="009612AA" w:rsidRPr="00DF0BB1" w:rsidRDefault="009612AA" w:rsidP="009612AA">
      <w:pPr>
        <w:pStyle w:val="LineBottom"/>
      </w:pPr>
    </w:p>
    <w:p w14:paraId="7D5A0897" w14:textId="77777777" w:rsidR="00363B94" w:rsidRPr="00DF0BB1" w:rsidRDefault="006B4470">
      <w:pPr>
        <w:pStyle w:val="CoverReference"/>
      </w:pPr>
      <w:r w:rsidRPr="00DF0BB1">
        <w:rPr>
          <w:rStyle w:val="HideTWBExt"/>
          <w:b w:val="0"/>
        </w:rPr>
        <w:t>&lt;RefProc&gt;</w:t>
      </w:r>
      <w:r w:rsidRPr="00DF0BB1">
        <w:t>2025/0145</w:t>
      </w:r>
      <w:r w:rsidRPr="00DF0BB1">
        <w:rPr>
          <w:rStyle w:val="HideTWBExt"/>
          <w:b w:val="0"/>
        </w:rPr>
        <w:t>&lt;/RefProc&gt;&lt;RefTypeProc&gt;</w:t>
      </w:r>
      <w:r w:rsidRPr="00DF0BB1">
        <w:t>(NLE)</w:t>
      </w:r>
      <w:r w:rsidRPr="00DF0BB1">
        <w:rPr>
          <w:rStyle w:val="HideTWBExt"/>
          <w:b w:val="0"/>
        </w:rPr>
        <w:t>&lt;/RefTypeProc&gt;</w:t>
      </w:r>
    </w:p>
    <w:p w14:paraId="0208755B" w14:textId="77777777" w:rsidR="00363B94" w:rsidRPr="00DF0BB1" w:rsidRDefault="006B4470">
      <w:pPr>
        <w:pStyle w:val="CoverDate"/>
      </w:pPr>
      <w:r w:rsidRPr="00DF0BB1">
        <w:rPr>
          <w:rStyle w:val="HideTWBExt"/>
        </w:rPr>
        <w:t>&lt;Date&gt;</w:t>
      </w:r>
      <w:r w:rsidRPr="00DF0BB1">
        <w:rPr>
          <w:rStyle w:val="HideTWBInt"/>
          <w:color w:val="auto"/>
        </w:rPr>
        <w:t>{05/02/2026}</w:t>
      </w:r>
      <w:r w:rsidRPr="00DF0BB1">
        <w:t>5.2.2026</w:t>
      </w:r>
      <w:r w:rsidRPr="00DF0BB1">
        <w:rPr>
          <w:rStyle w:val="HideTWBExt"/>
        </w:rPr>
        <w:t>&lt;/Date&gt;</w:t>
      </w:r>
    </w:p>
    <w:p w14:paraId="198AD823" w14:textId="77777777" w:rsidR="00363B94" w:rsidRPr="00DF0BB1" w:rsidRDefault="006B4470">
      <w:pPr>
        <w:pStyle w:val="CoverDocType"/>
      </w:pPr>
      <w:r w:rsidRPr="00DF0BB1">
        <w:rPr>
          <w:rStyle w:val="HideTWBExt"/>
          <w:b w:val="0"/>
        </w:rPr>
        <w:t>&lt;RefProcLect&gt;</w:t>
      </w:r>
      <w:r w:rsidRPr="00DF0BB1">
        <w:t>***</w:t>
      </w:r>
      <w:r w:rsidRPr="00DF0BB1">
        <w:rPr>
          <w:rStyle w:val="HideTWBExt"/>
          <w:b w:val="0"/>
        </w:rPr>
        <w:t>&lt;/RefProcLect&gt;</w:t>
      </w:r>
    </w:p>
    <w:p w14:paraId="7E927368" w14:textId="77777777" w:rsidR="00363B94" w:rsidRPr="00DF0BB1" w:rsidRDefault="006B4470">
      <w:pPr>
        <w:pStyle w:val="CoverDocType24a"/>
      </w:pPr>
      <w:r w:rsidRPr="00DF0BB1">
        <w:rPr>
          <w:rStyle w:val="HideTWBExt"/>
          <w:b w:val="0"/>
        </w:rPr>
        <w:t>&lt;TitreType&gt;</w:t>
      </w:r>
      <w:r w:rsidRPr="00DF0BB1">
        <w:t>FÖRSLAG TILL REKOMMENDATION</w:t>
      </w:r>
      <w:r w:rsidRPr="00DF0BB1">
        <w:rPr>
          <w:rStyle w:val="HideTWBExt"/>
          <w:b w:val="0"/>
        </w:rPr>
        <w:t>&lt;/TitreType&gt;</w:t>
      </w:r>
    </w:p>
    <w:p w14:paraId="53625291" w14:textId="77777777" w:rsidR="00363B94" w:rsidRPr="00DF0BB1" w:rsidRDefault="006B4470">
      <w:pPr>
        <w:pStyle w:val="CoverNormal"/>
      </w:pPr>
      <w:r w:rsidRPr="00DF0BB1">
        <w:rPr>
          <w:rStyle w:val="HideTWBExt"/>
        </w:rPr>
        <w:t>&lt;Titre&gt;</w:t>
      </w:r>
      <w:r w:rsidRPr="00DF0BB1">
        <w:t>om utkastet till rådets beslut om ingående på unionens vägnar av avtalet mellan Europeiska unionen och Konungariket Norge om överföring av passageraruppgiftssamlingar (PNR-uppgifter) för att förebygga, förhindra, upptäcka, utreda och lagföra terroristbrott och grov brottslighet</w:t>
      </w:r>
      <w:r w:rsidRPr="00DF0BB1">
        <w:rPr>
          <w:rStyle w:val="HideTWBExt"/>
        </w:rPr>
        <w:t>&lt;/Titre&gt;</w:t>
      </w:r>
    </w:p>
    <w:p w14:paraId="7E067331" w14:textId="77777777" w:rsidR="00363B94" w:rsidRPr="00DF0BB1" w:rsidRDefault="006B4470">
      <w:pPr>
        <w:pStyle w:val="CoverNormal24a"/>
      </w:pPr>
      <w:r w:rsidRPr="00DF0BB1">
        <w:rPr>
          <w:rStyle w:val="HideTWBExt"/>
        </w:rPr>
        <w:t>&lt;DocRef&gt;</w:t>
      </w:r>
      <w:r w:rsidRPr="00DF0BB1">
        <w:t>(11280/2025 – C10</w:t>
      </w:r>
      <w:r w:rsidRPr="00DF0BB1">
        <w:noBreakHyphen/>
        <w:t>0279/2025 – 2025/0145(NLE))</w:t>
      </w:r>
      <w:r w:rsidRPr="00DF0BB1">
        <w:rPr>
          <w:rStyle w:val="HideTWBExt"/>
        </w:rPr>
        <w:t>&lt;/DocRef&gt;</w:t>
      </w:r>
    </w:p>
    <w:p w14:paraId="587E1BEE" w14:textId="77777777" w:rsidR="00363B94" w:rsidRPr="00DF0BB1" w:rsidRDefault="006B4470">
      <w:pPr>
        <w:pStyle w:val="CoverNormal24a"/>
      </w:pPr>
      <w:r w:rsidRPr="00DF0BB1">
        <w:rPr>
          <w:rStyle w:val="HideTWBExt"/>
        </w:rPr>
        <w:t>&lt;Commission&gt;</w:t>
      </w:r>
      <w:r w:rsidRPr="00DF0BB1">
        <w:rPr>
          <w:rStyle w:val="HideTWBInt"/>
          <w:color w:val="auto"/>
        </w:rPr>
        <w:t>{LIBE}</w:t>
      </w:r>
      <w:r w:rsidRPr="00DF0BB1">
        <w:t>Utskottet för medborgerliga fri- och rättigheter samt rättsliga och inrikes frågor</w:t>
      </w:r>
      <w:r w:rsidRPr="00DF0BB1">
        <w:rPr>
          <w:rStyle w:val="HideTWBExt"/>
        </w:rPr>
        <w:t>&lt;/Commission&gt;</w:t>
      </w:r>
    </w:p>
    <w:p w14:paraId="7902607C" w14:textId="77777777" w:rsidR="00363B94" w:rsidRPr="00DF0BB1" w:rsidRDefault="006B4470">
      <w:pPr>
        <w:pStyle w:val="CoverNormal24a"/>
      </w:pPr>
      <w:r w:rsidRPr="00DF0BB1">
        <w:t xml:space="preserve">Föredragande: </w:t>
      </w:r>
      <w:r w:rsidRPr="00DF0BB1">
        <w:rPr>
          <w:rStyle w:val="HideTWBExt"/>
        </w:rPr>
        <w:t>&lt;Depute&gt;</w:t>
      </w:r>
      <w:r w:rsidRPr="00DF0BB1">
        <w:t>Jaroslav Bžoch</w:t>
      </w:r>
      <w:r w:rsidRPr="00DF0BB1">
        <w:rPr>
          <w:rStyle w:val="HideTWBExt"/>
        </w:rPr>
        <w:t>&lt;/Depute&gt;</w:t>
      </w:r>
    </w:p>
    <w:p w14:paraId="6B3C6BE1" w14:textId="77777777" w:rsidR="00B42885" w:rsidRPr="00DF0BB1" w:rsidRDefault="00B42885" w:rsidP="00B42885">
      <w:pPr>
        <w:pStyle w:val="CoverNormal"/>
      </w:pPr>
    </w:p>
    <w:p w14:paraId="08039A3E" w14:textId="380076E7" w:rsidR="00A55926" w:rsidRPr="00DF0BB1" w:rsidRDefault="006B4470" w:rsidP="00016E55">
      <w:r w:rsidRPr="00DF0BB1">
        <w:br w:type="page"/>
      </w:r>
      <w:r w:rsidRPr="00DF0BB1">
        <w:lastRenderedPageBreak/>
        <w:fldChar w:fldCharType="begin"/>
      </w:r>
      <w:r w:rsidRPr="00DF0BB1">
        <w:instrText xml:space="preserve"> TITLE  \* MERGEFORMAT </w:instrText>
      </w:r>
      <w:r w:rsidRPr="00DF0BB1">
        <w:fldChar w:fldCharType="separate"/>
      </w:r>
      <w:r>
        <w:t>PR_NLE-AP_Agreement</w:t>
      </w:r>
      <w:r w:rsidRPr="00DF0BB1">
        <w:fldChar w:fldCharType="end"/>
      </w:r>
    </w:p>
    <w:p w14:paraId="0D40E79C" w14:textId="77777777" w:rsidR="00A55926" w:rsidRPr="00DF0BB1" w:rsidRDefault="00A55926" w:rsidP="00016E55"/>
    <w:p w14:paraId="0E021029" w14:textId="77777777" w:rsidR="00A55926" w:rsidRPr="00DF0BB1" w:rsidRDefault="00A55926"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566292" w:rsidRPr="00DF0BB1" w14:paraId="328ED4E4" w14:textId="77777777">
        <w:tc>
          <w:tcPr>
            <w:tcW w:w="5811" w:type="dxa"/>
          </w:tcPr>
          <w:p w14:paraId="0032A920" w14:textId="77777777" w:rsidR="00A55926" w:rsidRPr="00DF0BB1" w:rsidRDefault="006B4470" w:rsidP="00016E55">
            <w:pPr>
              <w:pStyle w:val="Lgendetitre"/>
            </w:pPr>
            <w:r w:rsidRPr="00DF0BB1">
              <w:t>Teckenförklaring</w:t>
            </w:r>
          </w:p>
        </w:tc>
      </w:tr>
      <w:tr w:rsidR="00566292" w:rsidRPr="00DF0BB1" w14:paraId="3C67B219" w14:textId="77777777" w:rsidTr="004247A2">
        <w:trPr>
          <w:cantSplit/>
          <w:trHeight w:val="1807"/>
        </w:trPr>
        <w:tc>
          <w:tcPr>
            <w:tcW w:w="5811" w:type="dxa"/>
            <w:tcBorders>
              <w:bottom w:val="single" w:sz="4" w:space="0" w:color="auto"/>
            </w:tcBorders>
          </w:tcPr>
          <w:p w14:paraId="2C8A0560" w14:textId="77777777" w:rsidR="00A55926" w:rsidRPr="00DF0BB1" w:rsidRDefault="006B4470" w:rsidP="00717061">
            <w:pPr>
              <w:pStyle w:val="Lgendesigne"/>
            </w:pPr>
            <w:r w:rsidRPr="00DF0BB1">
              <w:tab/>
              <w:t>*</w:t>
            </w:r>
            <w:r w:rsidRPr="00DF0BB1">
              <w:tab/>
              <w:t>Samrådsförfarande</w:t>
            </w:r>
          </w:p>
          <w:p w14:paraId="45FCEDDF" w14:textId="77777777" w:rsidR="00A55926" w:rsidRPr="00DF0BB1" w:rsidRDefault="006B4470" w:rsidP="00717061">
            <w:pPr>
              <w:pStyle w:val="Lgendesigne"/>
            </w:pPr>
            <w:r w:rsidRPr="00DF0BB1">
              <w:tab/>
              <w:t>***</w:t>
            </w:r>
            <w:r w:rsidRPr="00DF0BB1">
              <w:tab/>
              <w:t>Godkännandeförfarande</w:t>
            </w:r>
          </w:p>
          <w:p w14:paraId="133E4E1E" w14:textId="77777777" w:rsidR="00A55926" w:rsidRPr="00DF0BB1" w:rsidRDefault="006B4470" w:rsidP="00717061">
            <w:pPr>
              <w:pStyle w:val="Lgendesigne"/>
            </w:pPr>
            <w:r w:rsidRPr="00DF0BB1">
              <w:tab/>
              <w:t>***I</w:t>
            </w:r>
            <w:r w:rsidRPr="00DF0BB1">
              <w:tab/>
              <w:t xml:space="preserve">Ordinarie </w:t>
            </w:r>
            <w:r w:rsidRPr="00DF0BB1">
              <w:t>lagstiftningsförfarande (första behandlingen)</w:t>
            </w:r>
          </w:p>
          <w:p w14:paraId="5847A106" w14:textId="77777777" w:rsidR="00A55926" w:rsidRPr="00DF0BB1" w:rsidRDefault="006B4470" w:rsidP="00717061">
            <w:pPr>
              <w:pStyle w:val="Lgendesigne"/>
            </w:pPr>
            <w:r w:rsidRPr="00DF0BB1">
              <w:tab/>
              <w:t>***II</w:t>
            </w:r>
            <w:r w:rsidRPr="00DF0BB1">
              <w:tab/>
              <w:t>Ordinarie lagstiftningsförfarande (andra behandlingen)</w:t>
            </w:r>
          </w:p>
          <w:p w14:paraId="4EF951FF" w14:textId="77777777" w:rsidR="00A55926" w:rsidRPr="00DF0BB1" w:rsidRDefault="006B4470" w:rsidP="00717061">
            <w:pPr>
              <w:pStyle w:val="Lgendesigne"/>
            </w:pPr>
            <w:r w:rsidRPr="00DF0BB1">
              <w:tab/>
              <w:t>***III</w:t>
            </w:r>
            <w:r w:rsidRPr="00DF0BB1">
              <w:tab/>
              <w:t>Ordinarie lagstiftningsförfarande (tredje behandlingen)</w:t>
            </w:r>
          </w:p>
          <w:p w14:paraId="4DCB9647" w14:textId="77777777" w:rsidR="00A55926" w:rsidRPr="00DF0BB1" w:rsidRDefault="00A55926" w:rsidP="00717061">
            <w:pPr>
              <w:pStyle w:val="Lgendestandard"/>
            </w:pPr>
          </w:p>
          <w:p w14:paraId="1650F830" w14:textId="77777777" w:rsidR="00A55926" w:rsidRPr="00DF0BB1" w:rsidRDefault="006B4470" w:rsidP="00717061">
            <w:pPr>
              <w:pStyle w:val="Lgendestandard"/>
            </w:pPr>
            <w:r w:rsidRPr="00DF0BB1">
              <w:t>(Det angivna förfarandet baseras på den rättsliga grund som angetts i förslaget till akt.)</w:t>
            </w:r>
          </w:p>
          <w:p w14:paraId="3B4E0D79" w14:textId="77777777" w:rsidR="00A55926" w:rsidRPr="00DF0BB1" w:rsidRDefault="00A55926" w:rsidP="00B837B7">
            <w:pPr>
              <w:pStyle w:val="Lgendestandard"/>
            </w:pPr>
          </w:p>
        </w:tc>
      </w:tr>
    </w:tbl>
    <w:p w14:paraId="71284C6F" w14:textId="77777777" w:rsidR="00A55926" w:rsidRPr="00DF0BB1" w:rsidRDefault="00A55926" w:rsidP="00016E55"/>
    <w:p w14:paraId="320938FC" w14:textId="77777777" w:rsidR="00363B94" w:rsidRPr="00DF0BB1" w:rsidRDefault="00363B94" w:rsidP="00613F2E">
      <w:pPr>
        <w:widowControl/>
        <w:tabs>
          <w:tab w:val="center" w:pos="4677"/>
        </w:tabs>
      </w:pPr>
    </w:p>
    <w:p w14:paraId="26DBDC5D" w14:textId="77777777" w:rsidR="00363B94" w:rsidRPr="00DF0BB1" w:rsidRDefault="006B4470">
      <w:pPr>
        <w:pStyle w:val="TOCHeading"/>
      </w:pPr>
      <w:r w:rsidRPr="00DF0BB1">
        <w:br w:type="page"/>
      </w:r>
      <w:r w:rsidRPr="00DF0BB1">
        <w:lastRenderedPageBreak/>
        <w:t>INNEHÅLL</w:t>
      </w:r>
    </w:p>
    <w:p w14:paraId="5BA193D5" w14:textId="77777777" w:rsidR="00363B94" w:rsidRPr="00DF0BB1" w:rsidRDefault="006B4470">
      <w:pPr>
        <w:pStyle w:val="TOCPage"/>
      </w:pPr>
      <w:r w:rsidRPr="00DF0BB1">
        <w:t>Sida</w:t>
      </w:r>
    </w:p>
    <w:p w14:paraId="545133EF" w14:textId="5D84A811" w:rsidR="006B4470" w:rsidRDefault="006B4470">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DF0BB1">
        <w:fldChar w:fldCharType="begin"/>
      </w:r>
      <w:r w:rsidRPr="00DF0BB1">
        <w:instrText xml:space="preserve"> TOC \t "PageHeading</w:instrText>
      </w:r>
      <w:r w:rsidR="00BA4F74" w:rsidRPr="00DF0BB1">
        <w:instrText>;</w:instrText>
      </w:r>
      <w:r w:rsidRPr="00DF0BB1">
        <w:instrText xml:space="preserve">1" </w:instrText>
      </w:r>
      <w:r w:rsidRPr="00DF0BB1">
        <w:fldChar w:fldCharType="separate"/>
      </w:r>
      <w:r>
        <w:rPr>
          <w:noProof/>
        </w:rPr>
        <w:t>FÖRSLAG TILL EUROPAPARLAMENTETS LAGSTIFTNINGSRESOLUTION</w:t>
      </w:r>
      <w:r>
        <w:rPr>
          <w:noProof/>
        </w:rPr>
        <w:tab/>
      </w:r>
      <w:r>
        <w:rPr>
          <w:noProof/>
        </w:rPr>
        <w:fldChar w:fldCharType="begin"/>
      </w:r>
      <w:r>
        <w:rPr>
          <w:noProof/>
        </w:rPr>
        <w:instrText xml:space="preserve"> PAGEREF _Toc222130877 \h </w:instrText>
      </w:r>
      <w:r>
        <w:rPr>
          <w:noProof/>
        </w:rPr>
      </w:r>
      <w:r>
        <w:rPr>
          <w:noProof/>
        </w:rPr>
        <w:fldChar w:fldCharType="separate"/>
      </w:r>
      <w:r>
        <w:rPr>
          <w:noProof/>
        </w:rPr>
        <w:t>5</w:t>
      </w:r>
      <w:r>
        <w:rPr>
          <w:noProof/>
        </w:rPr>
        <w:fldChar w:fldCharType="end"/>
      </w:r>
    </w:p>
    <w:p w14:paraId="4A423017" w14:textId="6DEDE1A4" w:rsidR="006B4470" w:rsidRDefault="006B4470">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MOTIVERING</w:t>
      </w:r>
      <w:r>
        <w:rPr>
          <w:noProof/>
        </w:rPr>
        <w:tab/>
      </w:r>
      <w:r>
        <w:rPr>
          <w:noProof/>
        </w:rPr>
        <w:fldChar w:fldCharType="begin"/>
      </w:r>
      <w:r>
        <w:rPr>
          <w:noProof/>
        </w:rPr>
        <w:instrText xml:space="preserve"> PAGEREF _Toc222130878 \h </w:instrText>
      </w:r>
      <w:r>
        <w:rPr>
          <w:noProof/>
        </w:rPr>
      </w:r>
      <w:r>
        <w:rPr>
          <w:noProof/>
        </w:rPr>
        <w:fldChar w:fldCharType="separate"/>
      </w:r>
      <w:r>
        <w:rPr>
          <w:noProof/>
        </w:rPr>
        <w:t>6</w:t>
      </w:r>
      <w:r>
        <w:rPr>
          <w:noProof/>
        </w:rPr>
        <w:fldChar w:fldCharType="end"/>
      </w:r>
    </w:p>
    <w:p w14:paraId="683BBB25" w14:textId="562D40F1" w:rsidR="006B4470" w:rsidRDefault="006B4470">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BILAGA: FÖRKLARING OM SYNPUNKTER</w:t>
      </w:r>
      <w:r>
        <w:rPr>
          <w:noProof/>
        </w:rPr>
        <w:tab/>
      </w:r>
      <w:r>
        <w:rPr>
          <w:noProof/>
        </w:rPr>
        <w:fldChar w:fldCharType="begin"/>
      </w:r>
      <w:r>
        <w:rPr>
          <w:noProof/>
        </w:rPr>
        <w:instrText xml:space="preserve"> PAGEREF _Toc222130879 \h </w:instrText>
      </w:r>
      <w:r>
        <w:rPr>
          <w:noProof/>
        </w:rPr>
      </w:r>
      <w:r>
        <w:rPr>
          <w:noProof/>
        </w:rPr>
        <w:fldChar w:fldCharType="separate"/>
      </w:r>
      <w:r>
        <w:rPr>
          <w:noProof/>
        </w:rPr>
        <w:t>7</w:t>
      </w:r>
      <w:r>
        <w:rPr>
          <w:noProof/>
        </w:rPr>
        <w:fldChar w:fldCharType="end"/>
      </w:r>
    </w:p>
    <w:p w14:paraId="56118AE8" w14:textId="56875DA5" w:rsidR="004E1650" w:rsidRPr="00DF0BB1" w:rsidRDefault="006B4470" w:rsidP="00F04010">
      <w:r w:rsidRPr="00DF0BB1">
        <w:fldChar w:fldCharType="end"/>
      </w:r>
    </w:p>
    <w:p w14:paraId="7A0ABB52" w14:textId="77777777" w:rsidR="00363B94" w:rsidRPr="00DF0BB1" w:rsidRDefault="006B4470" w:rsidP="0006167F">
      <w:pPr>
        <w:pStyle w:val="PageHeading"/>
      </w:pPr>
      <w:r w:rsidRPr="00DF0BB1">
        <w:br w:type="page"/>
      </w:r>
      <w:r w:rsidRPr="00DF0BB1">
        <w:lastRenderedPageBreak/>
        <w:br w:type="page"/>
      </w:r>
      <w:bookmarkStart w:id="1" w:name="_Toc222130877"/>
      <w:r w:rsidRPr="00DF0BB1">
        <w:lastRenderedPageBreak/>
        <w:t>FÖRSLAG TILL EUROPAPARLAMENTETS LAGSTIFTNINGSRESOLUTION</w:t>
      </w:r>
      <w:bookmarkEnd w:id="1"/>
    </w:p>
    <w:p w14:paraId="08C13F37" w14:textId="77777777" w:rsidR="00363B94" w:rsidRPr="00DF0BB1" w:rsidRDefault="006B4470">
      <w:pPr>
        <w:pStyle w:val="NormalBold"/>
      </w:pPr>
      <w:r w:rsidRPr="00DF0BB1">
        <w:t xml:space="preserve">om </w:t>
      </w:r>
      <w:bookmarkStart w:id="2" w:name="_Hlk221277797"/>
      <w:r w:rsidRPr="00DF0BB1">
        <w:t>utkastet till rådets beslut om ingående på unionens vägnar av avtalet mellan Europeiska unionen och Konungariket Norge om överföring av passageraruppgiftssamlingar (PNR-uppgifter) för att förebygga, förhindra, upptäcka, utreda och lagföra terroristbrott och grov brottslighet</w:t>
      </w:r>
      <w:bookmarkEnd w:id="2"/>
    </w:p>
    <w:p w14:paraId="78A2CF5C" w14:textId="77777777" w:rsidR="00363B94" w:rsidRPr="00DF0BB1" w:rsidRDefault="006B4470">
      <w:pPr>
        <w:pStyle w:val="NormalBold12a"/>
      </w:pPr>
      <w:r w:rsidRPr="00DF0BB1">
        <w:t>(</w:t>
      </w:r>
      <w:bookmarkStart w:id="3" w:name="_Hlk221278502"/>
      <w:r w:rsidRPr="00DF0BB1">
        <w:t xml:space="preserve">11280/2025 </w:t>
      </w:r>
      <w:bookmarkEnd w:id="3"/>
      <w:r w:rsidRPr="00DF0BB1">
        <w:t>– C10</w:t>
      </w:r>
      <w:r w:rsidRPr="00DF0BB1">
        <w:noBreakHyphen/>
        <w:t xml:space="preserve">0279/2025 – </w:t>
      </w:r>
      <w:bookmarkStart w:id="4" w:name="_Hlk221279129"/>
      <w:r w:rsidRPr="00DF0BB1">
        <w:t>2025/0145(NLE</w:t>
      </w:r>
      <w:bookmarkEnd w:id="4"/>
      <w:r w:rsidRPr="00DF0BB1">
        <w:t>))</w:t>
      </w:r>
    </w:p>
    <w:p w14:paraId="18F9E6F9" w14:textId="77777777" w:rsidR="00363B94" w:rsidRPr="00DF0BB1" w:rsidRDefault="006B4470" w:rsidP="00893FBD">
      <w:pPr>
        <w:pStyle w:val="NormalBold"/>
      </w:pPr>
      <w:r w:rsidRPr="00DF0BB1">
        <w:t>(Godkännande)</w:t>
      </w:r>
    </w:p>
    <w:p w14:paraId="461E9D52" w14:textId="77777777" w:rsidR="00363B94" w:rsidRPr="00DF0BB1" w:rsidRDefault="006B4470">
      <w:pPr>
        <w:pStyle w:val="EPComma"/>
      </w:pPr>
      <w:r w:rsidRPr="00DF0BB1">
        <w:rPr>
          <w:i/>
        </w:rPr>
        <w:t>Europaparlamentet utfärdar denna resolution</w:t>
      </w:r>
    </w:p>
    <w:p w14:paraId="1F863BD7" w14:textId="77777777" w:rsidR="00BF7F55" w:rsidRPr="00DF0BB1" w:rsidRDefault="006B4470" w:rsidP="00BF7F55">
      <w:pPr>
        <w:pStyle w:val="NormalHanging12a"/>
      </w:pPr>
      <w:r w:rsidRPr="00DF0BB1">
        <w:t>–</w:t>
      </w:r>
      <w:r w:rsidRPr="00DF0BB1">
        <w:tab/>
        <w:t xml:space="preserve">med </w:t>
      </w:r>
      <w:r w:rsidRPr="00DF0BB1">
        <w:t>beaktande av utkastet till rådets beslut (11280/2025),</w:t>
      </w:r>
    </w:p>
    <w:p w14:paraId="7BB273E7" w14:textId="3832F745" w:rsidR="00363B94" w:rsidRPr="00DF0BB1" w:rsidRDefault="006B4470">
      <w:pPr>
        <w:pStyle w:val="NormalHanging12a"/>
      </w:pPr>
      <w:r w:rsidRPr="00DF0BB1">
        <w:t>–</w:t>
      </w:r>
      <w:r w:rsidRPr="00DF0BB1">
        <w:tab/>
        <w:t>med beaktande av utkastet till avtal mellan Europeiska unionen och Konungariket</w:t>
      </w:r>
      <w:r w:rsidR="00A21E93">
        <w:t> </w:t>
      </w:r>
      <w:r w:rsidRPr="00DF0BB1">
        <w:t>Norge om överföring av passageraruppgiftssamlingar (PNR-uppgifter) för att förebygga, förhindra, upptäcka, utreda och lagföra terroristbrott och grov brottslighet (</w:t>
      </w:r>
      <w:bookmarkStart w:id="5" w:name="_Hlk221278511"/>
      <w:r w:rsidRPr="00DF0BB1">
        <w:t>11281/2025</w:t>
      </w:r>
      <w:bookmarkEnd w:id="5"/>
      <w:r w:rsidRPr="00DF0BB1">
        <w:t>),</w:t>
      </w:r>
    </w:p>
    <w:p w14:paraId="08156C18" w14:textId="6D93AF85" w:rsidR="00363B94" w:rsidRPr="00DF0BB1" w:rsidRDefault="006B4470">
      <w:pPr>
        <w:pStyle w:val="NormalHanging12a"/>
      </w:pPr>
      <w:r w:rsidRPr="00DF0BB1">
        <w:t>–</w:t>
      </w:r>
      <w:r w:rsidRPr="00DF0BB1">
        <w:tab/>
        <w:t>med beaktande av den begäran om godkännande som rådet har lagt fram i enlighet med artiklarna 16.2 och 87.2 a samt artikel 218.6 andra stycket a i fördraget om Europeiska</w:t>
      </w:r>
      <w:r w:rsidR="00A21E93">
        <w:t> </w:t>
      </w:r>
      <w:r w:rsidRPr="00DF0BB1">
        <w:t>unionens funktionssätt (C10</w:t>
      </w:r>
      <w:r w:rsidRPr="00DF0BB1">
        <w:noBreakHyphen/>
        <w:t>0279/2025),</w:t>
      </w:r>
    </w:p>
    <w:p w14:paraId="38E07BE8" w14:textId="77777777" w:rsidR="00363B94" w:rsidRPr="00DF0BB1" w:rsidRDefault="006B4470">
      <w:pPr>
        <w:pStyle w:val="NormalHanging12a"/>
      </w:pPr>
      <w:r w:rsidRPr="00DF0BB1">
        <w:t>–</w:t>
      </w:r>
      <w:r w:rsidRPr="00DF0BB1">
        <w:tab/>
        <w:t>med beaktande av artikel 107.1 och 107.4 samt artikel 117.7 i arbetsordningen,</w:t>
      </w:r>
    </w:p>
    <w:p w14:paraId="16FE4D0C" w14:textId="77777777" w:rsidR="00363B94" w:rsidRPr="00DF0BB1" w:rsidRDefault="006B4470">
      <w:pPr>
        <w:pStyle w:val="NormalHanging12a"/>
      </w:pPr>
      <w:r w:rsidRPr="00DF0BB1">
        <w:t>–</w:t>
      </w:r>
      <w:r w:rsidRPr="00DF0BB1">
        <w:tab/>
        <w:t>med beaktande av rekommendationen från utskottet för medborgerliga fri- och rättigheter samt rättsliga och inrikes frågor (A10</w:t>
      </w:r>
      <w:r w:rsidRPr="00DF0BB1">
        <w:noBreakHyphen/>
        <w:t>0000/2026).</w:t>
      </w:r>
    </w:p>
    <w:p w14:paraId="34DE9010" w14:textId="77777777" w:rsidR="00363B94" w:rsidRPr="00DF0BB1" w:rsidRDefault="006B4470">
      <w:pPr>
        <w:pStyle w:val="NormalHanging12a"/>
      </w:pPr>
      <w:r w:rsidRPr="00DF0BB1">
        <w:t>1.</w:t>
      </w:r>
      <w:r w:rsidRPr="00DF0BB1">
        <w:tab/>
        <w:t>Europaparlamentet godkänner att avtalet ingås.</w:t>
      </w:r>
    </w:p>
    <w:p w14:paraId="59499352" w14:textId="78903FB8" w:rsidR="001D02E3" w:rsidRPr="00DF0BB1" w:rsidRDefault="006B4470">
      <w:pPr>
        <w:pStyle w:val="NormalHanging12a"/>
      </w:pPr>
      <w:r w:rsidRPr="00DF0BB1">
        <w:t>2.</w:t>
      </w:r>
      <w:r w:rsidRPr="00DF0BB1">
        <w:tab/>
        <w:t>Europaparlamentet uppdrar åt talmannen att översända parlamentets ståndpunkt till rådet och kommissionen samt till regeringarna och parlamenten i medlemsstaterna och i</w:t>
      </w:r>
      <w:r w:rsidR="00A21E93">
        <w:t> </w:t>
      </w:r>
      <w:r w:rsidRPr="00DF0BB1">
        <w:t>Konungariket Norge.</w:t>
      </w:r>
    </w:p>
    <w:p w14:paraId="76A5A500" w14:textId="77777777" w:rsidR="00A55926" w:rsidRPr="00DF0BB1" w:rsidRDefault="00A55926" w:rsidP="00822206">
      <w:pPr>
        <w:sectPr w:rsidR="00A55926" w:rsidRPr="00DF0BB1" w:rsidSect="00DF0BB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4BB7E6A3" w14:textId="77777777" w:rsidR="00363B94" w:rsidRPr="00DF0BB1" w:rsidRDefault="006B4470" w:rsidP="00A55926">
      <w:pPr>
        <w:pStyle w:val="PageHeading"/>
      </w:pPr>
      <w:bookmarkStart w:id="6" w:name="_Toc222130878"/>
      <w:r w:rsidRPr="00DF0BB1">
        <w:lastRenderedPageBreak/>
        <w:t>MOTIVERING</w:t>
      </w:r>
      <w:bookmarkEnd w:id="6"/>
    </w:p>
    <w:p w14:paraId="6917DBF2" w14:textId="77777777" w:rsidR="00E93B3F" w:rsidRPr="00DF0BB1" w:rsidRDefault="006B4470" w:rsidP="00E93B3F">
      <w:r w:rsidRPr="00DF0BB1">
        <w:t>Detta föreslagna rådsbeslut syftar till att godkänna avtalet mellan Europeiska unionen och Konungariket Norge om överföring av passageraruppgiftssamlingar (PNR-uppgifter) för att förebygga, förhindra, upptäcka, utreda och lagföra terroristbrott och grov brottslighet (</w:t>
      </w:r>
      <w:r w:rsidRPr="00DF0BB1">
        <w:rPr>
          <w:i/>
          <w:iCs/>
        </w:rPr>
        <w:t>avtalet</w:t>
      </w:r>
      <w:r w:rsidRPr="00DF0BB1">
        <w:t>).</w:t>
      </w:r>
    </w:p>
    <w:p w14:paraId="535DBFDC" w14:textId="77777777" w:rsidR="00E93B3F" w:rsidRPr="00DF0BB1" w:rsidRDefault="00E93B3F" w:rsidP="00E93B3F"/>
    <w:p w14:paraId="4E9638CE" w14:textId="4224295C" w:rsidR="00E93B3F" w:rsidRPr="00DF0BB1" w:rsidRDefault="006B4470" w:rsidP="00E93B3F">
      <w:r w:rsidRPr="00DF0BB1">
        <w:t>Norge och de EU-medlemsstater som är avtalsslutande parter i Schengenkonventionen har gemensamt ansvar för att säkerställa inre säkerhet inom det gemensamma området utan kontroller vid de inre gränserna, bland annat genom att utbyta relevant information. PNR</w:t>
      </w:r>
      <w:r w:rsidR="00A21E93">
        <w:noBreakHyphen/>
      </w:r>
      <w:r w:rsidRPr="00DF0BB1">
        <w:t>uppgifter är information som tillhandahålls av passagerare, som samlas in under flygbolagens boknings- och incheckningsprocesser och som lagras i lufttrafikföretagens reservations- och avgångskontrollsystem för deras egna kommersiella syften. Befintliga avtal om behandling av PNR-uppgifter med tredjeländer har visat på potentialen att öka säkerheten i Schengenområdet. Sådana avtal förbättrar förebyggandet och upptäckten av terroristbrott och grov brottslighet, inbegripet olaglig handel med narkotika, skjutv</w:t>
      </w:r>
      <w:r w:rsidRPr="00DF0BB1">
        <w:t>apen och människor, vid EU:s yttre gränser, samt föreskriver en riskbaserad datadriven strategi som medlemsstaterna kan använda för att kompensera för avsaknaden av kontroller vid de inre gränserna i</w:t>
      </w:r>
      <w:r w:rsidR="00A21E93">
        <w:t> </w:t>
      </w:r>
      <w:r w:rsidRPr="00DF0BB1">
        <w:t>Schengenområdet.</w:t>
      </w:r>
    </w:p>
    <w:p w14:paraId="740E2786" w14:textId="77777777" w:rsidR="00E93B3F" w:rsidRPr="00DF0BB1" w:rsidRDefault="00E93B3F" w:rsidP="00E93B3F"/>
    <w:p w14:paraId="5E0F4713" w14:textId="1D381FB1" w:rsidR="00E93B3F" w:rsidRPr="00DF0BB1" w:rsidRDefault="006B4470" w:rsidP="00E93B3F">
      <w:r w:rsidRPr="00DF0BB1">
        <w:t>Även om Norge inte betraktas som ett tredjeland enligt den allmänna dataskyddsförordningen (förordning (EU) 2016/679) är denna rättsliga ram inte tillämplig på behandling av personuppgifter, inbegripet PNR-uppgifter, som utförs av norska brottsbekämpande myndigheter för att förebygga, förhindra, utreda, upptäcka eller lagföra brott, eller för att verkställa straffrättsliga påföljder. Samtidigt är Norge bundet av de unionsakter som utgör en utveckling av bestämmelserna i Schengenregelverket. PNR-direktivet (</w:t>
      </w:r>
      <w:r w:rsidRPr="00DF0BB1">
        <w:t>direktiv (EU) 2016/680) utgör dock inte en utveckling av Schengenregelverket, så Norge deltar inte i</w:t>
      </w:r>
      <w:r w:rsidR="00A21E93">
        <w:t> </w:t>
      </w:r>
      <w:r w:rsidRPr="00DF0BB1">
        <w:t>genomförandet av denna rättsakt.</w:t>
      </w:r>
    </w:p>
    <w:p w14:paraId="0B268670" w14:textId="77777777" w:rsidR="00E93B3F" w:rsidRPr="00DF0BB1" w:rsidRDefault="00E93B3F" w:rsidP="00E93B3F"/>
    <w:p w14:paraId="600024B1" w14:textId="3DC3D54F" w:rsidR="00E93B3F" w:rsidRPr="00DF0BB1" w:rsidRDefault="006B4470" w:rsidP="00E93B3F">
      <w:r w:rsidRPr="00DF0BB1">
        <w:t>Enligt den nuvarande ramen får Norge inte lagligen ta emot och behandla PNR-uppgifter om flygningar som utförs av lufttrafikföretag mellan unionen och Norge. Kommissionen rekommenderade därför att förhandlingar om avtalet skulle inledas den 6 september 2023. Den 4 mars 2024 lämnade rådet sitt bemyndigande, och förhandlingarna inleddes den</w:t>
      </w:r>
      <w:r w:rsidR="00A21E93">
        <w:t> </w:t>
      </w:r>
      <w:r w:rsidRPr="00DF0BB1">
        <w:t>21</w:t>
      </w:r>
      <w:r w:rsidR="00A21E93">
        <w:t> </w:t>
      </w:r>
      <w:r w:rsidRPr="00DF0BB1">
        <w:t>mars</w:t>
      </w:r>
      <w:r w:rsidR="00A21E93">
        <w:t> </w:t>
      </w:r>
      <w:r w:rsidRPr="00DF0BB1">
        <w:t>2024. Den 9 april 2025 slutfördes förhandlingarna formellt, och avtalet antogs av rådet den 22 september 2025. Avtalet undertecknades av kommissionsledamot Magnus</w:t>
      </w:r>
      <w:r w:rsidR="00A21E93">
        <w:t> </w:t>
      </w:r>
      <w:r w:rsidRPr="00DF0BB1">
        <w:t>Brunner och statssekreterare Joakim Øren i oktober 2025.</w:t>
      </w:r>
    </w:p>
    <w:p w14:paraId="008C8860" w14:textId="77777777" w:rsidR="00E93B3F" w:rsidRPr="00DF0BB1" w:rsidRDefault="00E93B3F" w:rsidP="00E93B3F"/>
    <w:p w14:paraId="2A5877D5" w14:textId="5AA11DF7" w:rsidR="00E93B3F" w:rsidRPr="00DF0BB1" w:rsidRDefault="006B4470" w:rsidP="00E93B3F">
      <w:r w:rsidRPr="00DF0BB1">
        <w:t>Huvudsyftet med detta avtal är att överbrygga säkerhetsgapet i Schengenområdet och på så sätt göra det möjligt för lufttrafikföretagen att överföra PNR-uppgifter till Norge och vice</w:t>
      </w:r>
      <w:r>
        <w:t> </w:t>
      </w:r>
      <w:r w:rsidRPr="00DF0BB1">
        <w:t>versa. Överföring och behandling av personuppgifter, inbegripet PNR-uppgifter, kräver dock strikta begränsningar och effektiva skyddsåtgärder. Enligt Europeiska datatillsynsmannens yttrande 16/2025 av den 24 juli 2025 har avtalets bestämmelser om överföring och behandling av PNR-uppgifter visat sig vara tillfredsställande. Den 28 januari</w:t>
      </w:r>
      <w:r w:rsidRPr="00DF0BB1">
        <w:t xml:space="preserve"> </w:t>
      </w:r>
      <w:r w:rsidRPr="00DF0BB1">
        <w:t>2026 informerade kommissionen föredragandena i detta avseende. Den vidhöll att avtalet sätter höga standarder när det gäller inte bara säkerhet utan även integritet och dataskydd.</w:t>
      </w:r>
    </w:p>
    <w:p w14:paraId="1EF9FF9F" w14:textId="77777777" w:rsidR="00E93B3F" w:rsidRPr="00DF0BB1" w:rsidRDefault="00E93B3F" w:rsidP="00E93B3F"/>
    <w:p w14:paraId="77D0428C" w14:textId="77777777" w:rsidR="00A55926" w:rsidRPr="00DF0BB1" w:rsidRDefault="006B4470" w:rsidP="00E93B3F">
      <w:r w:rsidRPr="00DF0BB1">
        <w:t>Mot denna bakgrund rekommenderar föredraganden att parlamentet godkänner utkastet till rådets beslut.</w:t>
      </w:r>
    </w:p>
    <w:p w14:paraId="0B95FDDF" w14:textId="77777777" w:rsidR="00B07F2D" w:rsidRPr="00DF0BB1" w:rsidRDefault="00B07F2D" w:rsidP="00822206">
      <w:pPr>
        <w:sectPr w:rsidR="00B07F2D" w:rsidRPr="00DF0BB1" w:rsidSect="00B07F2D">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438F967" w14:textId="77777777" w:rsidR="00A55926" w:rsidRPr="00DF0BB1" w:rsidRDefault="006B4470" w:rsidP="00B07F2D">
      <w:pPr>
        <w:pStyle w:val="PageHeading"/>
      </w:pPr>
      <w:bookmarkStart w:id="7" w:name="_Toc222130879"/>
      <w:r w:rsidRPr="00DF0BB1">
        <w:lastRenderedPageBreak/>
        <w:t xml:space="preserve">BILAGA: </w:t>
      </w:r>
      <w:bookmarkStart w:id="8" w:name="iEnd"/>
      <w:bookmarkEnd w:id="8"/>
      <w:r w:rsidRPr="00DF0BB1">
        <w:t>FÖRKLARING OM SYNPUNKTER</w:t>
      </w:r>
      <w:bookmarkEnd w:id="7"/>
    </w:p>
    <w:p w14:paraId="5CAFF392" w14:textId="48A48CAA" w:rsidR="00B07F2D" w:rsidRPr="00DF0BB1" w:rsidRDefault="006B4470" w:rsidP="00822206">
      <w:r w:rsidRPr="00DF0BB1">
        <w:t>Föredraganden förklarar på eget ansvar att han i sitt betänkande inte har inkluderat några synpunkter från någon företrädare för intressegrupper som omfattas av tillämpningsområdet för det interinstitutionella avtalet om ett obligatoriskt öppenhetsregister</w:t>
      </w:r>
      <w:r w:rsidRPr="00DF0BB1">
        <w:rPr>
          <w:rStyle w:val="FootnoteReference"/>
        </w:rPr>
        <w:footnoteReference w:id="1"/>
      </w:r>
      <w:r w:rsidRPr="00DF0BB1">
        <w:t xml:space="preserve"> eller någon företrädare för offentliga myndigheter i tredjeländer, inbegripet deras diplomatiska beskickningar och ambassader, som ska förtecknas i denna bilaga i enlighet med artikel 8 i</w:t>
      </w:r>
      <w:r w:rsidR="00A21E93">
        <w:t> </w:t>
      </w:r>
      <w:r w:rsidRPr="00DF0BB1">
        <w:t>bilaga I till arbetsordningen.</w:t>
      </w:r>
    </w:p>
    <w:sectPr w:rsidR="00B07F2D" w:rsidRPr="00DF0BB1" w:rsidSect="00B07F2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5A6F3" w14:textId="77777777" w:rsidR="006B4470" w:rsidRPr="00DF0BB1" w:rsidRDefault="006B4470">
      <w:r w:rsidRPr="00DF0BB1">
        <w:separator/>
      </w:r>
    </w:p>
  </w:endnote>
  <w:endnote w:type="continuationSeparator" w:id="0">
    <w:p w14:paraId="6BEB1531" w14:textId="77777777" w:rsidR="006B4470" w:rsidRPr="00DF0BB1" w:rsidRDefault="006B4470">
      <w:r w:rsidRPr="00DF0B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52B62" w14:textId="77777777" w:rsidR="00DF0BB1" w:rsidRPr="00DF0BB1" w:rsidRDefault="00DF0BB1" w:rsidP="00DF0BB1">
    <w:pPr>
      <w:pStyle w:val="EPFooter"/>
    </w:pPr>
    <w:r w:rsidRPr="00DF0BB1">
      <w:t>PE</w:t>
    </w:r>
    <w:r w:rsidRPr="00DF0BB1">
      <w:rPr>
        <w:rStyle w:val="HideTWBExt"/>
      </w:rPr>
      <w:t>&lt;NoPE&gt;</w:t>
    </w:r>
    <w:r w:rsidRPr="00DF0BB1">
      <w:t>784.331</w:t>
    </w:r>
    <w:r w:rsidRPr="00DF0BB1">
      <w:rPr>
        <w:rStyle w:val="HideTWBExt"/>
      </w:rPr>
      <w:t>&lt;/NoPE&gt;&lt;Version&gt;</w:t>
    </w:r>
    <w:r w:rsidRPr="00DF0BB1">
      <w:t>v01-00</w:t>
    </w:r>
    <w:r w:rsidRPr="00DF0BB1">
      <w:rPr>
        <w:rStyle w:val="HideTWBExt"/>
      </w:rPr>
      <w:t>&lt;/Version&gt;</w:t>
    </w:r>
    <w:r w:rsidRPr="00DF0BB1">
      <w:tab/>
    </w:r>
    <w:r w:rsidRPr="00DF0BB1">
      <w:fldChar w:fldCharType="begin"/>
    </w:r>
    <w:r w:rsidRPr="00DF0BB1">
      <w:instrText xml:space="preserve"> PAGE  \* MERGEFORMAT </w:instrText>
    </w:r>
    <w:r w:rsidRPr="00DF0BB1">
      <w:fldChar w:fldCharType="separate"/>
    </w:r>
    <w:r w:rsidRPr="00DF0BB1">
      <w:rPr>
        <w:noProof/>
      </w:rPr>
      <w:t>1</w:t>
    </w:r>
    <w:r w:rsidRPr="00DF0BB1">
      <w:fldChar w:fldCharType="end"/>
    </w:r>
    <w:r w:rsidRPr="00DF0BB1">
      <w:t>/</w:t>
    </w:r>
    <w:fldSimple w:instr=" NUMPAGES  \* MERGEFORMAT ">
      <w:r w:rsidRPr="00DF0BB1">
        <w:rPr>
          <w:noProof/>
        </w:rPr>
        <w:t>1</w:t>
      </w:r>
    </w:fldSimple>
    <w:r w:rsidRPr="00DF0BB1">
      <w:tab/>
    </w:r>
    <w:r w:rsidRPr="00DF0BB1">
      <w:rPr>
        <w:rStyle w:val="HideTWBExt"/>
      </w:rPr>
      <w:t>&lt;PathFdR&gt;</w:t>
    </w:r>
    <w:r w:rsidRPr="00DF0BB1">
      <w:t>PR\1336948SV.docx</w:t>
    </w:r>
    <w:r w:rsidRPr="00DF0BB1">
      <w:rPr>
        <w:rStyle w:val="HideTWBExt"/>
      </w:rPr>
      <w:t>&lt;/PathFdR&gt;</w:t>
    </w:r>
  </w:p>
  <w:p w14:paraId="68A48B15" w14:textId="76D18BE8" w:rsidR="0085501C" w:rsidRPr="00DF0BB1" w:rsidRDefault="00DF0BB1" w:rsidP="00DF0BB1">
    <w:pPr>
      <w:pStyle w:val="EPFooter2"/>
    </w:pPr>
    <w:r w:rsidRPr="00DF0BB1">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35E37" w14:textId="77777777" w:rsidR="00DF0BB1" w:rsidRPr="00DF0BB1" w:rsidRDefault="00DF0BB1" w:rsidP="00DF0BB1">
    <w:pPr>
      <w:pStyle w:val="EPFooter"/>
    </w:pPr>
    <w:r w:rsidRPr="00DF0BB1">
      <w:rPr>
        <w:rStyle w:val="HideTWBExt"/>
      </w:rPr>
      <w:t>&lt;PathFdR&gt;</w:t>
    </w:r>
    <w:r w:rsidRPr="00DF0BB1">
      <w:t>PR\1336948SV.docx</w:t>
    </w:r>
    <w:r w:rsidRPr="00DF0BB1">
      <w:rPr>
        <w:rStyle w:val="HideTWBExt"/>
      </w:rPr>
      <w:t>&lt;/PathFdR&gt;</w:t>
    </w:r>
    <w:r w:rsidRPr="00DF0BB1">
      <w:tab/>
    </w:r>
    <w:r w:rsidRPr="00DF0BB1">
      <w:fldChar w:fldCharType="begin"/>
    </w:r>
    <w:r w:rsidRPr="00DF0BB1">
      <w:instrText xml:space="preserve"> PAGE  \* MERGEFORMAT </w:instrText>
    </w:r>
    <w:r w:rsidRPr="00DF0BB1">
      <w:fldChar w:fldCharType="separate"/>
    </w:r>
    <w:r w:rsidRPr="00DF0BB1">
      <w:rPr>
        <w:noProof/>
      </w:rPr>
      <w:t>1</w:t>
    </w:r>
    <w:r w:rsidRPr="00DF0BB1">
      <w:fldChar w:fldCharType="end"/>
    </w:r>
    <w:r w:rsidRPr="00DF0BB1">
      <w:t>/</w:t>
    </w:r>
    <w:fldSimple w:instr=" NUMPAGES  \* MERGEFORMAT ">
      <w:r w:rsidRPr="00DF0BB1">
        <w:rPr>
          <w:noProof/>
        </w:rPr>
        <w:t>1</w:t>
      </w:r>
    </w:fldSimple>
    <w:r w:rsidRPr="00DF0BB1">
      <w:tab/>
      <w:t>PE</w:t>
    </w:r>
    <w:r w:rsidRPr="00DF0BB1">
      <w:rPr>
        <w:rStyle w:val="HideTWBExt"/>
      </w:rPr>
      <w:t>&lt;NoPE&gt;</w:t>
    </w:r>
    <w:r w:rsidRPr="00DF0BB1">
      <w:t>784.331</w:t>
    </w:r>
    <w:r w:rsidRPr="00DF0BB1">
      <w:rPr>
        <w:rStyle w:val="HideTWBExt"/>
      </w:rPr>
      <w:t>&lt;/NoPE&gt;&lt;Version&gt;</w:t>
    </w:r>
    <w:r w:rsidRPr="00DF0BB1">
      <w:t>v01-00</w:t>
    </w:r>
    <w:r w:rsidRPr="00DF0BB1">
      <w:rPr>
        <w:rStyle w:val="HideTWBExt"/>
      </w:rPr>
      <w:t>&lt;/Version&gt;</w:t>
    </w:r>
  </w:p>
  <w:p w14:paraId="7470A447" w14:textId="5B6C567F" w:rsidR="0085501C" w:rsidRPr="00DF0BB1" w:rsidRDefault="00DF0BB1" w:rsidP="00DF0BB1">
    <w:pPr>
      <w:pStyle w:val="EPFooter2"/>
    </w:pPr>
    <w:r w:rsidRPr="00DF0BB1">
      <w:tab/>
    </w:r>
    <w:r w:rsidRPr="00DF0BB1">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8F91C" w14:textId="77777777" w:rsidR="00DF0BB1" w:rsidRPr="00DF0BB1" w:rsidRDefault="00DF0BB1" w:rsidP="00DF0BB1">
    <w:pPr>
      <w:pStyle w:val="EPFooter"/>
    </w:pPr>
    <w:r w:rsidRPr="00DF0BB1">
      <w:rPr>
        <w:rStyle w:val="HideTWBExt"/>
      </w:rPr>
      <w:t>&lt;PathFdR&gt;</w:t>
    </w:r>
    <w:r w:rsidRPr="00DF0BB1">
      <w:t>PR\1336948SV.docx</w:t>
    </w:r>
    <w:r w:rsidRPr="00DF0BB1">
      <w:rPr>
        <w:rStyle w:val="HideTWBExt"/>
      </w:rPr>
      <w:t>&lt;/PathFdR&gt;</w:t>
    </w:r>
    <w:r w:rsidRPr="00DF0BB1">
      <w:tab/>
    </w:r>
    <w:r w:rsidRPr="00DF0BB1">
      <w:tab/>
      <w:t>PE</w:t>
    </w:r>
    <w:r w:rsidRPr="00DF0BB1">
      <w:rPr>
        <w:rStyle w:val="HideTWBExt"/>
      </w:rPr>
      <w:t>&lt;NoPE&gt;</w:t>
    </w:r>
    <w:r w:rsidRPr="00DF0BB1">
      <w:t>784.331</w:t>
    </w:r>
    <w:r w:rsidRPr="00DF0BB1">
      <w:rPr>
        <w:rStyle w:val="HideTWBExt"/>
      </w:rPr>
      <w:t>&lt;/NoPE&gt;&lt;Version&gt;</w:t>
    </w:r>
    <w:r w:rsidRPr="00DF0BB1">
      <w:t>v01-00</w:t>
    </w:r>
    <w:r w:rsidRPr="00DF0BB1">
      <w:rPr>
        <w:rStyle w:val="HideTWBExt"/>
      </w:rPr>
      <w:t>&lt;/Version&gt;</w:t>
    </w:r>
  </w:p>
  <w:p w14:paraId="548B4DDD" w14:textId="65E4D7C1" w:rsidR="0085501C" w:rsidRPr="00DF0BB1" w:rsidRDefault="00DF0BB1" w:rsidP="00DF0BB1">
    <w:pPr>
      <w:pStyle w:val="EPFooter2"/>
    </w:pPr>
    <w:r w:rsidRPr="00DF0BB1">
      <w:t>SV</w:t>
    </w:r>
    <w:r w:rsidRPr="00DF0BB1">
      <w:tab/>
    </w:r>
    <w:r w:rsidRPr="00DF0BB1">
      <w:rPr>
        <w:b w:val="0"/>
        <w:i/>
        <w:color w:val="C0C0C0"/>
        <w:sz w:val="22"/>
      </w:rPr>
      <w:t>Förenade i mångfalden</w:t>
    </w:r>
    <w:r w:rsidRPr="00DF0BB1">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2E366B" w14:textId="77777777" w:rsidR="00B117C6" w:rsidRPr="00DF0BB1" w:rsidRDefault="006B4470">
      <w:r w:rsidRPr="00DF0BB1">
        <w:separator/>
      </w:r>
    </w:p>
  </w:footnote>
  <w:footnote w:type="continuationSeparator" w:id="0">
    <w:p w14:paraId="1D76300C" w14:textId="77777777" w:rsidR="00B117C6" w:rsidRPr="00DF0BB1" w:rsidRDefault="006B4470">
      <w:r w:rsidRPr="00DF0BB1">
        <w:continuationSeparator/>
      </w:r>
    </w:p>
  </w:footnote>
  <w:footnote w:id="1">
    <w:p w14:paraId="0D2E5E7B" w14:textId="77777777" w:rsidR="00B07F2D" w:rsidRPr="00DF0BB1" w:rsidRDefault="006B4470">
      <w:pPr>
        <w:pStyle w:val="FootnoteText"/>
      </w:pPr>
      <w:r w:rsidRPr="00DF0BB1">
        <w:rPr>
          <w:rStyle w:val="FootnoteReference"/>
        </w:rPr>
        <w:footnoteRef/>
      </w:r>
      <w:r w:rsidRPr="00DF0BB1">
        <w:t xml:space="preserve"> Interinstitutionellt avtal av den 20 maj 2021 mellan Europaparlamentet, Europeiska unionens råd och Europeiska kommissionen om ett obligatoriskt öppenhetsregister (EUT L 207, 11.6.2021, s. 1, ELI: </w:t>
      </w:r>
      <w:hyperlink r:id="rId1" w:history="1">
        <w:r w:rsidRPr="00DF0BB1">
          <w:rPr>
            <w:rStyle w:val="Hyperlink"/>
          </w:rPr>
          <w:t>http://data.europa.eu/eli/agree_interinstit/2021/611/oj</w:t>
        </w:r>
      </w:hyperlink>
      <w:r w:rsidRPr="00DF0BB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6352F" w14:textId="77777777" w:rsidR="00F01B9D" w:rsidRDefault="00F01B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1E1B4" w14:textId="77777777" w:rsidR="00F01B9D" w:rsidRDefault="00F01B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9555C" w14:textId="77777777" w:rsidR="00F01B9D" w:rsidRDefault="00F01B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863908515">
    <w:abstractNumId w:val="9"/>
  </w:num>
  <w:num w:numId="2" w16cid:durableId="1311324778">
    <w:abstractNumId w:val="9"/>
  </w:num>
  <w:num w:numId="3" w16cid:durableId="240411805">
    <w:abstractNumId w:val="7"/>
  </w:num>
  <w:num w:numId="4" w16cid:durableId="192495898">
    <w:abstractNumId w:val="7"/>
  </w:num>
  <w:num w:numId="5" w16cid:durableId="907956975">
    <w:abstractNumId w:val="6"/>
  </w:num>
  <w:num w:numId="6" w16cid:durableId="1471746109">
    <w:abstractNumId w:val="6"/>
  </w:num>
  <w:num w:numId="7" w16cid:durableId="1616904470">
    <w:abstractNumId w:val="5"/>
  </w:num>
  <w:num w:numId="8" w16cid:durableId="1385787708">
    <w:abstractNumId w:val="5"/>
  </w:num>
  <w:num w:numId="9" w16cid:durableId="2097050972">
    <w:abstractNumId w:val="4"/>
  </w:num>
  <w:num w:numId="10" w16cid:durableId="1575360310">
    <w:abstractNumId w:val="4"/>
  </w:num>
  <w:num w:numId="11" w16cid:durableId="583539097">
    <w:abstractNumId w:val="8"/>
  </w:num>
  <w:num w:numId="12" w16cid:durableId="1924298834">
    <w:abstractNumId w:val="8"/>
  </w:num>
  <w:num w:numId="13" w16cid:durableId="1644847619">
    <w:abstractNumId w:val="3"/>
  </w:num>
  <w:num w:numId="14" w16cid:durableId="1340306349">
    <w:abstractNumId w:val="3"/>
  </w:num>
  <w:num w:numId="15" w16cid:durableId="411776207">
    <w:abstractNumId w:val="2"/>
  </w:num>
  <w:num w:numId="16" w16cid:durableId="1982299778">
    <w:abstractNumId w:val="2"/>
  </w:num>
  <w:num w:numId="17" w16cid:durableId="1491871113">
    <w:abstractNumId w:val="1"/>
  </w:num>
  <w:num w:numId="18" w16cid:durableId="1534536573">
    <w:abstractNumId w:val="1"/>
  </w:num>
  <w:num w:numId="19" w16cid:durableId="280769481">
    <w:abstractNumId w:val="0"/>
  </w:num>
  <w:num w:numId="20" w16cid:durableId="2022782651">
    <w:abstractNumId w:val="0"/>
  </w:num>
  <w:num w:numId="21" w16cid:durableId="587809324">
    <w:abstractNumId w:val="9"/>
  </w:num>
  <w:num w:numId="22" w16cid:durableId="1551261141">
    <w:abstractNumId w:val="7"/>
  </w:num>
  <w:num w:numId="23" w16cid:durableId="1661736556">
    <w:abstractNumId w:val="6"/>
  </w:num>
  <w:num w:numId="24" w16cid:durableId="386301469">
    <w:abstractNumId w:val="5"/>
  </w:num>
  <w:num w:numId="25" w16cid:durableId="1244951453">
    <w:abstractNumId w:val="4"/>
  </w:num>
  <w:num w:numId="26" w16cid:durableId="2058822331">
    <w:abstractNumId w:val="8"/>
  </w:num>
  <w:num w:numId="27" w16cid:durableId="1949005446">
    <w:abstractNumId w:val="3"/>
  </w:num>
  <w:num w:numId="28" w16cid:durableId="1011643203">
    <w:abstractNumId w:val="2"/>
  </w:num>
  <w:num w:numId="29" w16cid:durableId="1341663997">
    <w:abstractNumId w:val="1"/>
  </w:num>
  <w:num w:numId="30" w16cid:durableId="1348141862">
    <w:abstractNumId w:val="0"/>
  </w:num>
  <w:num w:numId="31" w16cid:durableId="1415935428">
    <w:abstractNumId w:val="9"/>
  </w:num>
  <w:num w:numId="32" w16cid:durableId="273901912">
    <w:abstractNumId w:val="7"/>
  </w:num>
  <w:num w:numId="33" w16cid:durableId="975836024">
    <w:abstractNumId w:val="6"/>
  </w:num>
  <w:num w:numId="34" w16cid:durableId="595557906">
    <w:abstractNumId w:val="5"/>
  </w:num>
  <w:num w:numId="35" w16cid:durableId="102118361">
    <w:abstractNumId w:val="4"/>
  </w:num>
  <w:num w:numId="36" w16cid:durableId="764038977">
    <w:abstractNumId w:val="8"/>
  </w:num>
  <w:num w:numId="37" w16cid:durableId="1313608132">
    <w:abstractNumId w:val="3"/>
  </w:num>
  <w:num w:numId="38" w16cid:durableId="562106988">
    <w:abstractNumId w:val="2"/>
  </w:num>
  <w:num w:numId="39" w16cid:durableId="1694648675">
    <w:abstractNumId w:val="1"/>
  </w:num>
  <w:num w:numId="40" w16cid:durableId="24643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GREEMENTMNU" w:val=" 1"/>
    <w:docVar w:name="AUTHORMFPMNU" w:val=" 1"/>
    <w:docVar w:name="CIT1MNU" w:val=" 4"/>
    <w:docVar w:name="CIT2MNU" w:val=" 4"/>
    <w:docVar w:name="CIT3MNU" w:val=" 4"/>
    <w:docVar w:name="COMKEY" w:val="LIBE"/>
    <w:docVar w:name="CONSENTMNU" w:val=" 1"/>
    <w:docVar w:name="CopyToNetwork" w:val="-1"/>
    <w:docVar w:name="DOCDT" w:val="05/02/2026"/>
    <w:docVar w:name="LastEditedSection" w:val=" 1"/>
    <w:docVar w:name="strDocTypeID" w:val="PR_NLE-AP_Agreement"/>
    <w:docVar w:name="strSubDir" w:val="1336"/>
    <w:docVar w:name="TITLEMNU" w:val=" 2"/>
    <w:docVar w:name="TXTAUTHOR" w:val="Jaroslav Bžoch"/>
    <w:docVar w:name="TXTLANGUE" w:val="EN"/>
    <w:docVar w:name="TXTLANGUEMIN" w:val="en"/>
    <w:docVar w:name="TXTNRC" w:val="0279/2025"/>
    <w:docVar w:name="TXTNRCOUNC" w:val="11280/2025"/>
    <w:docVar w:name="TXTNRNLE" w:val="2025/0145"/>
    <w:docVar w:name="TXTNRPE" w:val="784.331"/>
    <w:docVar w:name="TXTPEorAP" w:val="PE"/>
    <w:docVar w:name="TXTROUTE" w:val="PR\1336948EN.docx"/>
    <w:docVar w:name="TXTTITLE" w:val="on the conclusion, on behalf of the Union, of the Agreement between the European Union and the Kingdom of Norway on the transfer of passenger name record (PNR) data to prevent, detect, investigate and prosecute terrorist offences and serious crime"/>
    <w:docVar w:name="TXTVERSION" w:val="01-00"/>
  </w:docVars>
  <w:rsids>
    <w:rsidRoot w:val="00B117C6"/>
    <w:rsid w:val="00001D52"/>
    <w:rsid w:val="0000443F"/>
    <w:rsid w:val="000053E3"/>
    <w:rsid w:val="00016E55"/>
    <w:rsid w:val="0006167F"/>
    <w:rsid w:val="00061EFE"/>
    <w:rsid w:val="00095D8B"/>
    <w:rsid w:val="000A2F73"/>
    <w:rsid w:val="000B3AE2"/>
    <w:rsid w:val="000C123D"/>
    <w:rsid w:val="000D78AF"/>
    <w:rsid w:val="00180664"/>
    <w:rsid w:val="001874D8"/>
    <w:rsid w:val="001D02E3"/>
    <w:rsid w:val="001F7BBE"/>
    <w:rsid w:val="00206AC0"/>
    <w:rsid w:val="0021049A"/>
    <w:rsid w:val="0022685A"/>
    <w:rsid w:val="002E2E20"/>
    <w:rsid w:val="002F5A83"/>
    <w:rsid w:val="003072BE"/>
    <w:rsid w:val="00337C92"/>
    <w:rsid w:val="00363B94"/>
    <w:rsid w:val="00393B15"/>
    <w:rsid w:val="003B598C"/>
    <w:rsid w:val="004174FC"/>
    <w:rsid w:val="004468BE"/>
    <w:rsid w:val="00460BD6"/>
    <w:rsid w:val="00485649"/>
    <w:rsid w:val="004859B3"/>
    <w:rsid w:val="004A575E"/>
    <w:rsid w:val="004C083C"/>
    <w:rsid w:val="004E1650"/>
    <w:rsid w:val="005027B1"/>
    <w:rsid w:val="00503573"/>
    <w:rsid w:val="00514E30"/>
    <w:rsid w:val="0053367A"/>
    <w:rsid w:val="005438F6"/>
    <w:rsid w:val="00544D48"/>
    <w:rsid w:val="00566292"/>
    <w:rsid w:val="005877C0"/>
    <w:rsid w:val="005A6B14"/>
    <w:rsid w:val="005C779C"/>
    <w:rsid w:val="005D0B97"/>
    <w:rsid w:val="005E138D"/>
    <w:rsid w:val="005E6C18"/>
    <w:rsid w:val="005F0DD6"/>
    <w:rsid w:val="005F5D6C"/>
    <w:rsid w:val="006132CE"/>
    <w:rsid w:val="00613F2E"/>
    <w:rsid w:val="006A1A75"/>
    <w:rsid w:val="006A1E64"/>
    <w:rsid w:val="006A2CF5"/>
    <w:rsid w:val="006B4470"/>
    <w:rsid w:val="006F1B6F"/>
    <w:rsid w:val="006F7132"/>
    <w:rsid w:val="00717061"/>
    <w:rsid w:val="00791637"/>
    <w:rsid w:val="0080122F"/>
    <w:rsid w:val="00822206"/>
    <w:rsid w:val="008368CB"/>
    <w:rsid w:val="0085501C"/>
    <w:rsid w:val="00893FBD"/>
    <w:rsid w:val="008B75A4"/>
    <w:rsid w:val="008D23C6"/>
    <w:rsid w:val="008D3030"/>
    <w:rsid w:val="008E3848"/>
    <w:rsid w:val="00924EE0"/>
    <w:rsid w:val="0093018A"/>
    <w:rsid w:val="00933A40"/>
    <w:rsid w:val="00942265"/>
    <w:rsid w:val="009612AA"/>
    <w:rsid w:val="00997EE7"/>
    <w:rsid w:val="009E39A7"/>
    <w:rsid w:val="00A21E93"/>
    <w:rsid w:val="00A415B7"/>
    <w:rsid w:val="00A55926"/>
    <w:rsid w:val="00AD5D0C"/>
    <w:rsid w:val="00B07F2D"/>
    <w:rsid w:val="00B117C6"/>
    <w:rsid w:val="00B31D18"/>
    <w:rsid w:val="00B42885"/>
    <w:rsid w:val="00B50C20"/>
    <w:rsid w:val="00B6769C"/>
    <w:rsid w:val="00B75502"/>
    <w:rsid w:val="00B837B7"/>
    <w:rsid w:val="00BA4F74"/>
    <w:rsid w:val="00BB22CC"/>
    <w:rsid w:val="00BB41C8"/>
    <w:rsid w:val="00BE5E72"/>
    <w:rsid w:val="00BF0A0F"/>
    <w:rsid w:val="00BF2E15"/>
    <w:rsid w:val="00BF7F55"/>
    <w:rsid w:val="00C05DD8"/>
    <w:rsid w:val="00C15447"/>
    <w:rsid w:val="00C35D01"/>
    <w:rsid w:val="00C85D0F"/>
    <w:rsid w:val="00CB5651"/>
    <w:rsid w:val="00CC20CB"/>
    <w:rsid w:val="00CF44DF"/>
    <w:rsid w:val="00D04E0B"/>
    <w:rsid w:val="00D62DA0"/>
    <w:rsid w:val="00D6543C"/>
    <w:rsid w:val="00DF0BB1"/>
    <w:rsid w:val="00DF594D"/>
    <w:rsid w:val="00E14FEE"/>
    <w:rsid w:val="00E177C4"/>
    <w:rsid w:val="00E71368"/>
    <w:rsid w:val="00E93816"/>
    <w:rsid w:val="00E93B3F"/>
    <w:rsid w:val="00EA59ED"/>
    <w:rsid w:val="00EC6645"/>
    <w:rsid w:val="00EF48F2"/>
    <w:rsid w:val="00F01B9D"/>
    <w:rsid w:val="00F04010"/>
    <w:rsid w:val="00FC0AEE"/>
    <w:rsid w:val="00FC69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84F320"/>
  <w15:chartTrackingRefBased/>
  <w15:docId w15:val="{92B68A2E-7BF5-4A18-95EA-66241D053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A55926"/>
    <w:pPr>
      <w:tabs>
        <w:tab w:val="right" w:pos="454"/>
        <w:tab w:val="left" w:pos="737"/>
      </w:tabs>
      <w:ind w:left="737" w:hanging="737"/>
    </w:pPr>
    <w:rPr>
      <w:snapToGrid w:val="0"/>
      <w:sz w:val="18"/>
      <w:lang w:eastAsia="en-US"/>
    </w:rPr>
  </w:style>
  <w:style w:type="paragraph" w:customStyle="1" w:styleId="Lgendetitre">
    <w:name w:val="Légende titre"/>
    <w:basedOn w:val="Normal"/>
    <w:rsid w:val="00A55926"/>
    <w:pPr>
      <w:spacing w:before="240" w:after="240"/>
    </w:pPr>
    <w:rPr>
      <w:b/>
      <w:i/>
      <w:snapToGrid w:val="0"/>
      <w:lang w:eastAsia="en-US"/>
    </w:rPr>
  </w:style>
  <w:style w:type="paragraph" w:customStyle="1" w:styleId="Lgendestandard">
    <w:name w:val="Légende standard"/>
    <w:basedOn w:val="Normal"/>
    <w:rsid w:val="00A55926"/>
    <w:rPr>
      <w:sz w:val="18"/>
    </w:rPr>
  </w:style>
  <w:style w:type="paragraph" w:styleId="FootnoteText">
    <w:name w:val="footnote text"/>
    <w:basedOn w:val="Normal"/>
    <w:link w:val="FootnoteTextChar"/>
    <w:rsid w:val="00B07F2D"/>
    <w:rPr>
      <w:sz w:val="20"/>
    </w:rPr>
  </w:style>
  <w:style w:type="character" w:customStyle="1" w:styleId="FootnoteTextChar">
    <w:name w:val="Footnote Text Char"/>
    <w:basedOn w:val="DefaultParagraphFont"/>
    <w:link w:val="FootnoteText"/>
    <w:rsid w:val="00B07F2D"/>
  </w:style>
  <w:style w:type="character" w:styleId="FootnoteReference">
    <w:name w:val="footnote reference"/>
    <w:basedOn w:val="DefaultParagraphFont"/>
    <w:rsid w:val="00B07F2D"/>
    <w:rPr>
      <w:vertAlign w:val="superscript"/>
    </w:rPr>
  </w:style>
  <w:style w:type="character" w:styleId="Hyperlink">
    <w:name w:val="Hyperlink"/>
    <w:basedOn w:val="DefaultParagraphFont"/>
    <w:rsid w:val="00B07F2D"/>
    <w:rPr>
      <w:color w:val="0563C1" w:themeColor="hyperlink"/>
      <w:u w:val="single"/>
    </w:rPr>
  </w:style>
  <w:style w:type="character" w:styleId="UnresolvedMention">
    <w:name w:val="Unresolved Mention"/>
    <w:basedOn w:val="DefaultParagraphFont"/>
    <w:uiPriority w:val="99"/>
    <w:semiHidden/>
    <w:unhideWhenUsed/>
    <w:rsid w:val="00B07F2D"/>
    <w:rPr>
      <w:color w:val="605E5C"/>
      <w:shd w:val="clear" w:color="auto" w:fill="E1DFDD"/>
    </w:rPr>
  </w:style>
  <w:style w:type="paragraph" w:styleId="Footer">
    <w:name w:val="footer"/>
    <w:basedOn w:val="Normal"/>
    <w:link w:val="FooterChar"/>
    <w:semiHidden/>
    <w:rsid w:val="00B07F2D"/>
    <w:pPr>
      <w:tabs>
        <w:tab w:val="center" w:pos="4513"/>
        <w:tab w:val="right" w:pos="9026"/>
      </w:tabs>
    </w:pPr>
  </w:style>
  <w:style w:type="character" w:customStyle="1" w:styleId="FooterChar">
    <w:name w:val="Footer Char"/>
    <w:basedOn w:val="DefaultParagraphFont"/>
    <w:link w:val="Footer"/>
    <w:semiHidden/>
    <w:rsid w:val="00B07F2D"/>
    <w:rPr>
      <w:sz w:val="24"/>
    </w:rPr>
  </w:style>
  <w:style w:type="paragraph" w:styleId="Revision">
    <w:name w:val="Revision"/>
    <w:hidden/>
    <w:uiPriority w:val="99"/>
    <w:semiHidden/>
    <w:rsid w:val="0093018A"/>
    <w:rPr>
      <w:sz w:val="24"/>
    </w:rPr>
  </w:style>
  <w:style w:type="character" w:styleId="CommentReference">
    <w:name w:val="annotation reference"/>
    <w:basedOn w:val="DefaultParagraphFont"/>
    <w:rsid w:val="005E138D"/>
    <w:rPr>
      <w:sz w:val="16"/>
      <w:szCs w:val="16"/>
    </w:rPr>
  </w:style>
  <w:style w:type="paragraph" w:styleId="CommentText">
    <w:name w:val="annotation text"/>
    <w:basedOn w:val="Normal"/>
    <w:link w:val="CommentTextChar"/>
    <w:rsid w:val="005E138D"/>
    <w:rPr>
      <w:sz w:val="20"/>
    </w:rPr>
  </w:style>
  <w:style w:type="character" w:customStyle="1" w:styleId="CommentTextChar">
    <w:name w:val="Comment Text Char"/>
    <w:basedOn w:val="DefaultParagraphFont"/>
    <w:link w:val="CommentText"/>
    <w:rsid w:val="005E138D"/>
  </w:style>
  <w:style w:type="paragraph" w:styleId="CommentSubject">
    <w:name w:val="annotation subject"/>
    <w:basedOn w:val="CommentText"/>
    <w:next w:val="CommentText"/>
    <w:link w:val="CommentSubjectChar"/>
    <w:semiHidden/>
    <w:unhideWhenUsed/>
    <w:rsid w:val="005E138D"/>
    <w:rPr>
      <w:b/>
      <w:bCs/>
    </w:rPr>
  </w:style>
  <w:style w:type="character" w:customStyle="1" w:styleId="CommentSubjectChar">
    <w:name w:val="Comment Subject Char"/>
    <w:basedOn w:val="CommentTextChar"/>
    <w:link w:val="CommentSubject"/>
    <w:semiHidden/>
    <w:rsid w:val="005E13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FCE4-4C56-492C-8A66-45D618C0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841</Words>
  <Characters>5889</Characters>
  <Application>Microsoft Office Word</Application>
  <DocSecurity>0</DocSecurity>
  <Lines>133</Lines>
  <Paragraphs>54</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6676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MCGAHAN Justine</dc:creator>
  <cp:lastModifiedBy>SHEHU  Benjamin</cp:lastModifiedBy>
  <cp:revision>2</cp:revision>
  <cp:lastPrinted>2002-12-11T09:25:00Z</cp:lastPrinted>
  <dcterms:created xsi:type="dcterms:W3CDTF">2026-02-16T09:41:00Z</dcterms:created>
  <dcterms:modified xsi:type="dcterms:W3CDTF">2026-02-16T09:41:00Z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1336948</vt:lpwstr>
  </property>
  <property fmtid="{D5CDD505-2E9C-101B-9397-08002B2CF9AE}" pid="4" name="&lt;Model&gt;">
    <vt:lpwstr>PR_NLE-AP_Agreement</vt:lpwstr>
  </property>
  <property fmtid="{D5CDD505-2E9C-101B-9397-08002B2CF9AE}" pid="5" name="&lt;ModelCod&gt;">
    <vt:lpwstr>\\eiciBRUpr1\pdocep$\DocEP\DOCS\General\PR\PR_Leg\NLE\PR_NLE-AP_Agreement.dotx(12/08/2024 16:05:00)</vt:lpwstr>
  </property>
  <property fmtid="{D5CDD505-2E9C-101B-9397-08002B2CF9AE}" pid="6" name="&lt;ModelTra&gt;">
    <vt:lpwstr>\\eiciBRUpr1\pdocep$\DocEP\TRANSFIL\EN\PR_NLE-AP_Agreement.EN(04/10/2024 11:39:01)</vt:lpwstr>
  </property>
  <property fmtid="{D5CDD505-2E9C-101B-9397-08002B2CF9AE}" pid="7" name="&lt;Type&gt;">
    <vt:lpwstr>PR</vt:lpwstr>
  </property>
  <property fmtid="{D5CDD505-2E9C-101B-9397-08002B2CF9AE}" pid="8" name="Created with">
    <vt:lpwstr>10.2.1 Build [20260110]</vt:lpwstr>
  </property>
  <property fmtid="{D5CDD505-2E9C-101B-9397-08002B2CF9AE}" pid="9" name="FooterPath">
    <vt:lpwstr>PR\1336948SV.docx</vt:lpwstr>
  </property>
  <property fmtid="{D5CDD505-2E9C-101B-9397-08002B2CF9AE}" pid="10" name="LastEdited with">
    <vt:lpwstr>10.2.1 Build [20260110]</vt:lpwstr>
  </property>
  <property fmtid="{D5CDD505-2E9C-101B-9397-08002B2CF9AE}" pid="11" name="PE number">
    <vt:lpwstr>784.331</vt:lpwstr>
  </property>
  <property fmtid="{D5CDD505-2E9C-101B-9397-08002B2CF9AE}" pid="12" name="SDLStudio">
    <vt:lpwstr/>
  </property>
  <property fmtid="{D5CDD505-2E9C-101B-9397-08002B2CF9AE}" pid="13" name="SendToEpades">
    <vt:lpwstr>OK - 2026/02/06 11:47</vt:lpwstr>
  </property>
  <property fmtid="{D5CDD505-2E9C-101B-9397-08002B2CF9AE}" pid="14" name="Bookout">
    <vt:lpwstr>OK - 2026/02/16 10:39</vt:lpwstr>
  </property>
</Properties>
</file>