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A4375" w14:paraId="3DEA0875" w14:textId="77777777" w:rsidTr="00C85D0F">
        <w:trPr>
          <w:trHeight w:hRule="exact" w:val="1418"/>
        </w:trPr>
        <w:tc>
          <w:tcPr>
            <w:tcW w:w="6804" w:type="dxa"/>
            <w:shd w:val="clear" w:color="auto" w:fill="auto"/>
            <w:vAlign w:val="center"/>
          </w:tcPr>
          <w:p w14:paraId="58B4967C" w14:textId="77777777" w:rsidR="00C05DD8" w:rsidRPr="000E7E43" w:rsidRDefault="005B105F" w:rsidP="00C85D0F">
            <w:pPr>
              <w:pStyle w:val="EPName"/>
            </w:pPr>
            <w:r>
              <w:t>Europos Parlamentas</w:t>
            </w:r>
          </w:p>
          <w:p w14:paraId="22FDFBB9" w14:textId="77777777" w:rsidR="00C05DD8" w:rsidRPr="000E7E43" w:rsidRDefault="005B105F" w:rsidP="00C85D0F">
            <w:pPr>
              <w:pStyle w:val="EPTerm"/>
            </w:pPr>
            <w:r>
              <w:t>2024-2029</w:t>
            </w:r>
          </w:p>
        </w:tc>
        <w:tc>
          <w:tcPr>
            <w:tcW w:w="2268" w:type="dxa"/>
            <w:shd w:val="clear" w:color="auto" w:fill="auto"/>
          </w:tcPr>
          <w:p w14:paraId="04AEB889" w14:textId="77777777" w:rsidR="00C05DD8" w:rsidRPr="000E7E43" w:rsidRDefault="005B105F" w:rsidP="00C85D0F">
            <w:pPr>
              <w:pStyle w:val="EPLogo"/>
            </w:pPr>
            <w:r w:rsidRPr="000E7E43">
              <w:rPr>
                <w:noProof/>
                <w:lang w:eastAsia="ja-JP"/>
              </w:rPr>
              <w:drawing>
                <wp:inline distT="0" distB="0" distL="0" distR="0" wp14:anchorId="7F9920E4" wp14:editId="308FC0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533C2E" w14:textId="77777777" w:rsidR="009612AA" w:rsidRPr="000E7E43" w:rsidRDefault="009612AA" w:rsidP="009612AA">
      <w:pPr>
        <w:pStyle w:val="LineTop"/>
      </w:pPr>
    </w:p>
    <w:p w14:paraId="52389C15" w14:textId="77777777" w:rsidR="009612AA" w:rsidRPr="000E7E43" w:rsidRDefault="005B105F" w:rsidP="009612AA">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14:paraId="60C8B6A1" w14:textId="77777777" w:rsidR="009612AA" w:rsidRPr="000E7E43" w:rsidRDefault="009612AA" w:rsidP="009612AA">
      <w:pPr>
        <w:pStyle w:val="LineBottom"/>
      </w:pPr>
    </w:p>
    <w:p w14:paraId="0F133900" w14:textId="77777777" w:rsidR="00363B94" w:rsidRPr="000E7E43" w:rsidRDefault="005B105F">
      <w:pPr>
        <w:pStyle w:val="CoverReference"/>
      </w:pPr>
      <w:r>
        <w:rPr>
          <w:rStyle w:val="HideTWBExt"/>
          <w:b w:val="0"/>
        </w:rPr>
        <w:t>&lt;RefProc&gt;</w:t>
      </w:r>
      <w:r>
        <w:t>2025/0156</w:t>
      </w:r>
      <w:r>
        <w:rPr>
          <w:rStyle w:val="HideTWBExt"/>
          <w:b w:val="0"/>
        </w:rPr>
        <w:t>&lt;/RefProc&gt;&lt;RefTypeProc&gt;</w:t>
      </w:r>
      <w:r>
        <w:t>(NLE)</w:t>
      </w:r>
      <w:r>
        <w:rPr>
          <w:rStyle w:val="HideTWBExt"/>
          <w:b w:val="0"/>
        </w:rPr>
        <w:t>&lt;/RefTypeProc&gt;</w:t>
      </w:r>
    </w:p>
    <w:p w14:paraId="6F7E67CC" w14:textId="77777777" w:rsidR="00363B94" w:rsidRPr="000E7E43" w:rsidRDefault="005B105F">
      <w:pPr>
        <w:pStyle w:val="CoverDate"/>
      </w:pPr>
      <w:r>
        <w:rPr>
          <w:rStyle w:val="HideTWBExt"/>
        </w:rPr>
        <w:t>&lt;Date&gt;</w:t>
      </w:r>
      <w:r>
        <w:rPr>
          <w:rStyle w:val="HideTWBInt"/>
          <w:color w:val="auto"/>
        </w:rPr>
        <w:t>{12/02/2026}</w:t>
      </w:r>
      <w:r>
        <w:t>12.2.2026</w:t>
      </w:r>
      <w:r>
        <w:rPr>
          <w:rStyle w:val="HideTWBExt"/>
        </w:rPr>
        <w:t>&lt;/Date&gt;</w:t>
      </w:r>
    </w:p>
    <w:p w14:paraId="5F610328" w14:textId="77777777" w:rsidR="00363B94" w:rsidRPr="000E7E43" w:rsidRDefault="005B105F">
      <w:pPr>
        <w:pStyle w:val="CoverDocType"/>
      </w:pPr>
      <w:r>
        <w:rPr>
          <w:rStyle w:val="HideTWBExt"/>
          <w:b w:val="0"/>
        </w:rPr>
        <w:t>&lt;RefProcLect&gt;</w:t>
      </w:r>
      <w:r>
        <w:t>***</w:t>
      </w:r>
      <w:r>
        <w:rPr>
          <w:rStyle w:val="HideTWBExt"/>
          <w:b w:val="0"/>
        </w:rPr>
        <w:t>&lt;/RefProcLect&gt;</w:t>
      </w:r>
    </w:p>
    <w:p w14:paraId="27C2EDB9" w14:textId="77777777" w:rsidR="00363B94" w:rsidRPr="000E7E43" w:rsidRDefault="005B105F">
      <w:pPr>
        <w:pStyle w:val="CoverDocType24a"/>
      </w:pPr>
      <w:r>
        <w:rPr>
          <w:rStyle w:val="HideTWBExt"/>
          <w:b w:val="0"/>
        </w:rPr>
        <w:t>&lt;TitreType&gt;</w:t>
      </w:r>
      <w:r>
        <w:t>REKOMENDACIJOS PROJEKTAS</w:t>
      </w:r>
      <w:r>
        <w:rPr>
          <w:rStyle w:val="HideTWBExt"/>
          <w:b w:val="0"/>
        </w:rPr>
        <w:t>&lt;/TitreType&gt;</w:t>
      </w:r>
    </w:p>
    <w:p w14:paraId="7C26A406" w14:textId="77777777" w:rsidR="00363B94" w:rsidRPr="000E7E43" w:rsidRDefault="005B105F">
      <w:pPr>
        <w:pStyle w:val="CoverNormal"/>
      </w:pPr>
      <w:r>
        <w:rPr>
          <w:rStyle w:val="HideTWBExt"/>
        </w:rPr>
        <w:t>&lt;Titre&gt;</w:t>
      </w:r>
      <w:r>
        <w:t>dėl Tarybos sprendimo dėl Europos Sąjungos ir Islandijos susitarimo dėl keleivio duomenų įrašo (PNR) duomenų perdavimo teroristinių nusikaltimų ir sunkių nusikaltimų prevencijos, nustatymo, tyrimo ir patraukimo už juos baudžiamojon atsakomybėn tikslais sudarymo Sąjungos vardu</w:t>
      </w:r>
      <w:r>
        <w:rPr>
          <w:rStyle w:val="HideTWBExt"/>
        </w:rPr>
        <w:t>&lt;/Titre&gt;</w:t>
      </w:r>
    </w:p>
    <w:p w14:paraId="716F87DE" w14:textId="77777777" w:rsidR="00363B94" w:rsidRPr="000E7E43" w:rsidRDefault="005B105F">
      <w:pPr>
        <w:pStyle w:val="CoverNormal24a"/>
      </w:pPr>
      <w:r>
        <w:rPr>
          <w:rStyle w:val="HideTWBExt"/>
        </w:rPr>
        <w:t>&lt;DocRef&gt;</w:t>
      </w:r>
      <w:r>
        <w:t>(11283/2025 – C10</w:t>
      </w:r>
      <w:r>
        <w:noBreakHyphen/>
        <w:t>0278/2025 – 2025/0156(NLE))</w:t>
      </w:r>
      <w:r>
        <w:rPr>
          <w:rStyle w:val="HideTWBExt"/>
        </w:rPr>
        <w:t>&lt;/DocRef&gt;</w:t>
      </w:r>
    </w:p>
    <w:p w14:paraId="5EBC3C11" w14:textId="77777777" w:rsidR="00363B94" w:rsidRPr="000E7E43" w:rsidRDefault="005B105F">
      <w:pPr>
        <w:pStyle w:val="CoverNormal24a"/>
      </w:pPr>
      <w:r>
        <w:rPr>
          <w:rStyle w:val="HideTWBExt"/>
        </w:rPr>
        <w:t>&lt;Commission&gt;</w:t>
      </w:r>
      <w:r>
        <w:rPr>
          <w:rStyle w:val="HideTWBInt"/>
          <w:color w:val="auto"/>
        </w:rPr>
        <w:t>{LIBE}</w:t>
      </w:r>
      <w:r>
        <w:t>Piliečių laisvių, teisingumo ir vidaus reikalų komitetas</w:t>
      </w:r>
      <w:r>
        <w:rPr>
          <w:rStyle w:val="HideTWBExt"/>
        </w:rPr>
        <w:t>&lt;/Commission&gt;</w:t>
      </w:r>
    </w:p>
    <w:p w14:paraId="76595215" w14:textId="77777777" w:rsidR="00363B94" w:rsidRPr="000E7E43" w:rsidRDefault="005B105F" w:rsidP="000E7E43">
      <w:pPr>
        <w:pStyle w:val="CoverNormal24a"/>
        <w:rPr>
          <w:color w:val="008080"/>
        </w:rPr>
      </w:pPr>
      <w:r>
        <w:t xml:space="preserve">Pranešėjas: </w:t>
      </w:r>
      <w:r>
        <w:rPr>
          <w:rStyle w:val="HideTWBExt"/>
        </w:rPr>
        <w:t>&lt;Depute&gt;</w:t>
      </w:r>
      <w:r>
        <w:t>Jaroslav Bžoch</w:t>
      </w:r>
      <w:r>
        <w:rPr>
          <w:rStyle w:val="HideTWBExt"/>
        </w:rPr>
        <w:t>&lt;/Depute&gt;</w:t>
      </w:r>
    </w:p>
    <w:p w14:paraId="5BAEDDC6" w14:textId="77777777" w:rsidR="00B42885" w:rsidRPr="000E7E43" w:rsidRDefault="00B42885" w:rsidP="00B42885">
      <w:pPr>
        <w:pStyle w:val="CoverNormal"/>
      </w:pPr>
    </w:p>
    <w:p w14:paraId="5E7ECF5E" w14:textId="1C88594C" w:rsidR="000E7E43" w:rsidRPr="000E7E43" w:rsidRDefault="005B105F" w:rsidP="00016E55">
      <w:r>
        <w:br w:type="page"/>
      </w:r>
      <w:r w:rsidRPr="000E7E43">
        <w:lastRenderedPageBreak/>
        <w:fldChar w:fldCharType="begin"/>
      </w:r>
      <w:r w:rsidRPr="000E7E43">
        <w:instrText xml:space="preserve"> TITLE  \* MERGEFORMAT </w:instrText>
      </w:r>
      <w:r w:rsidRPr="000E7E43">
        <w:fldChar w:fldCharType="separate"/>
      </w:r>
      <w:r>
        <w:t>PR_NLE-AP_Agreement</w:t>
      </w:r>
      <w:r w:rsidRPr="000E7E43">
        <w:fldChar w:fldCharType="end"/>
      </w:r>
    </w:p>
    <w:p w14:paraId="41E62C34" w14:textId="77777777" w:rsidR="000E7E43" w:rsidRPr="000E7E43" w:rsidRDefault="000E7E43" w:rsidP="00016E55"/>
    <w:p w14:paraId="363AA5AD" w14:textId="77777777" w:rsidR="000E7E43" w:rsidRPr="000E7E43" w:rsidRDefault="000E7E43"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A4375" w14:paraId="33331B7C" w14:textId="77777777">
        <w:tc>
          <w:tcPr>
            <w:tcW w:w="5811" w:type="dxa"/>
          </w:tcPr>
          <w:p w14:paraId="02F2AF13" w14:textId="77777777" w:rsidR="000E7E43" w:rsidRPr="000E7E43" w:rsidRDefault="005B105F" w:rsidP="00016E55">
            <w:pPr>
              <w:pStyle w:val="Lgendetitre"/>
            </w:pPr>
            <w:r>
              <w:t>Procedūrų sutartiniai ženklai</w:t>
            </w:r>
          </w:p>
        </w:tc>
      </w:tr>
      <w:tr w:rsidR="005A4375" w14:paraId="3EC815B6" w14:textId="77777777" w:rsidTr="007948A1">
        <w:trPr>
          <w:cantSplit/>
          <w:trHeight w:val="1944"/>
        </w:trPr>
        <w:tc>
          <w:tcPr>
            <w:tcW w:w="5811" w:type="dxa"/>
            <w:tcBorders>
              <w:bottom w:val="single" w:sz="4" w:space="0" w:color="auto"/>
            </w:tcBorders>
          </w:tcPr>
          <w:p w14:paraId="4AB224A3" w14:textId="77777777" w:rsidR="000E7E43" w:rsidRPr="000E7E43" w:rsidRDefault="005B105F" w:rsidP="00CA494E">
            <w:pPr>
              <w:pStyle w:val="Lgendesigne"/>
              <w:rPr>
                <w:szCs w:val="24"/>
              </w:rPr>
            </w:pPr>
            <w:r>
              <w:tab/>
              <w:t>*</w:t>
            </w:r>
            <w:r>
              <w:tab/>
              <w:t>Konsultavimosi procedūra</w:t>
            </w:r>
          </w:p>
          <w:p w14:paraId="2F3461B9" w14:textId="77777777" w:rsidR="000E7E43" w:rsidRPr="000E7E43" w:rsidRDefault="005B105F" w:rsidP="00CA494E">
            <w:pPr>
              <w:pStyle w:val="Lgendesigne"/>
              <w:rPr>
                <w:szCs w:val="24"/>
              </w:rPr>
            </w:pPr>
            <w:r>
              <w:tab/>
              <w:t>***</w:t>
            </w:r>
            <w:r>
              <w:tab/>
              <w:t>Pritarimo procedūra</w:t>
            </w:r>
          </w:p>
          <w:p w14:paraId="0795CE40" w14:textId="77777777" w:rsidR="000E7E43" w:rsidRPr="000E7E43" w:rsidRDefault="005B105F" w:rsidP="00CA494E">
            <w:pPr>
              <w:pStyle w:val="Lgendesigne"/>
              <w:rPr>
                <w:szCs w:val="24"/>
              </w:rPr>
            </w:pPr>
            <w:r>
              <w:tab/>
              <w:t>***I</w:t>
            </w:r>
            <w:r>
              <w:tab/>
              <w:t>Įprasta teisėkūros procedūra (pirmasis svarstymas)</w:t>
            </w:r>
          </w:p>
          <w:p w14:paraId="19163123" w14:textId="77777777" w:rsidR="000E7E43" w:rsidRPr="000E7E43" w:rsidRDefault="005B105F" w:rsidP="00CA494E">
            <w:pPr>
              <w:pStyle w:val="Lgendesigne"/>
              <w:rPr>
                <w:szCs w:val="24"/>
              </w:rPr>
            </w:pPr>
            <w:r>
              <w:tab/>
              <w:t>***II</w:t>
            </w:r>
            <w:r>
              <w:tab/>
              <w:t xml:space="preserve">Įprasta </w:t>
            </w:r>
            <w:r>
              <w:t>teisėkūros procedūra (antrasis svarstymas)</w:t>
            </w:r>
          </w:p>
          <w:p w14:paraId="0367D4EC" w14:textId="77777777" w:rsidR="000E7E43" w:rsidRPr="000E7E43" w:rsidRDefault="005B105F" w:rsidP="00CA494E">
            <w:pPr>
              <w:pStyle w:val="Lgendesigne"/>
              <w:rPr>
                <w:szCs w:val="24"/>
              </w:rPr>
            </w:pPr>
            <w:r>
              <w:tab/>
              <w:t>***III</w:t>
            </w:r>
            <w:r>
              <w:tab/>
              <w:t>Įprasta teisėkūros procedūra (trečiasis svarstymas)</w:t>
            </w:r>
          </w:p>
          <w:p w14:paraId="416026F8" w14:textId="77777777" w:rsidR="000E7E43" w:rsidRPr="000E7E43" w:rsidRDefault="000E7E43" w:rsidP="00CA494E">
            <w:pPr>
              <w:pStyle w:val="Lgendestandard"/>
            </w:pPr>
          </w:p>
          <w:p w14:paraId="20C3CBA4" w14:textId="77777777" w:rsidR="000E7E43" w:rsidRPr="000E7E43" w:rsidRDefault="005B105F" w:rsidP="00CA494E">
            <w:pPr>
              <w:pStyle w:val="Lgendestandard"/>
            </w:pPr>
            <w:r>
              <w:t>(Procedūra pasirenkama atsižvelgiant į teisės akto projekte pasiūlytą teisinį pagrindą.)</w:t>
            </w:r>
          </w:p>
          <w:p w14:paraId="12681A5D" w14:textId="77777777" w:rsidR="000E7E43" w:rsidRPr="000E7E43" w:rsidRDefault="000E7E43" w:rsidP="00CA494E">
            <w:pPr>
              <w:pStyle w:val="Lgendestandard"/>
            </w:pPr>
          </w:p>
        </w:tc>
      </w:tr>
    </w:tbl>
    <w:p w14:paraId="1CF5BC3D" w14:textId="77777777" w:rsidR="000E7E43" w:rsidRPr="000E7E43" w:rsidRDefault="000E7E43" w:rsidP="00016E55"/>
    <w:p w14:paraId="1A4330D3" w14:textId="77777777" w:rsidR="00363B94" w:rsidRPr="000E7E43" w:rsidRDefault="00363B94" w:rsidP="00613F2E">
      <w:pPr>
        <w:widowControl/>
        <w:tabs>
          <w:tab w:val="center" w:pos="4677"/>
        </w:tabs>
      </w:pPr>
    </w:p>
    <w:p w14:paraId="1EB4DF21" w14:textId="77777777" w:rsidR="00363B94" w:rsidRPr="000E7E43" w:rsidRDefault="005B105F">
      <w:pPr>
        <w:pStyle w:val="TOCHeading"/>
      </w:pPr>
      <w:r>
        <w:br w:type="page"/>
      </w:r>
      <w:r>
        <w:lastRenderedPageBreak/>
        <w:t>TURINYS</w:t>
      </w:r>
    </w:p>
    <w:p w14:paraId="1BE0AB9D" w14:textId="77777777" w:rsidR="00363B94" w:rsidRPr="000E7E43" w:rsidRDefault="005B105F">
      <w:pPr>
        <w:pStyle w:val="TOCPage"/>
      </w:pPr>
      <w:r>
        <w:t>Psl.</w:t>
      </w:r>
    </w:p>
    <w:p w14:paraId="11DB4182" w14:textId="7DF4BA0C" w:rsidR="005B105F" w:rsidRDefault="005B105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E7E43">
        <w:fldChar w:fldCharType="begin"/>
      </w:r>
      <w:r w:rsidRPr="000E7E43">
        <w:instrText xml:space="preserve"> TOC \t "PageHeading;1" </w:instrText>
      </w:r>
      <w:r w:rsidRPr="000E7E43">
        <w:fldChar w:fldCharType="separate"/>
      </w:r>
      <w:r>
        <w:rPr>
          <w:noProof/>
        </w:rPr>
        <w:t>EUROPOS PARLAMENTO TEISĖKŪROS REZOLIUCIJOS PROJEKTAS</w:t>
      </w:r>
      <w:r>
        <w:rPr>
          <w:noProof/>
        </w:rPr>
        <w:tab/>
      </w:r>
      <w:r>
        <w:rPr>
          <w:noProof/>
        </w:rPr>
        <w:fldChar w:fldCharType="begin"/>
      </w:r>
      <w:r>
        <w:rPr>
          <w:noProof/>
        </w:rPr>
        <w:instrText xml:space="preserve"> PAGEREF _Toc222236663 \h </w:instrText>
      </w:r>
      <w:r>
        <w:rPr>
          <w:noProof/>
        </w:rPr>
      </w:r>
      <w:r>
        <w:rPr>
          <w:noProof/>
        </w:rPr>
        <w:fldChar w:fldCharType="separate"/>
      </w:r>
      <w:r>
        <w:rPr>
          <w:noProof/>
        </w:rPr>
        <w:t>5</w:t>
      </w:r>
      <w:r>
        <w:rPr>
          <w:noProof/>
        </w:rPr>
        <w:fldChar w:fldCharType="end"/>
      </w:r>
    </w:p>
    <w:p w14:paraId="236CDBAA" w14:textId="7C0B9791" w:rsidR="005B105F" w:rsidRDefault="005B105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_Toc222236664 \h </w:instrText>
      </w:r>
      <w:r>
        <w:rPr>
          <w:noProof/>
        </w:rPr>
      </w:r>
      <w:r>
        <w:rPr>
          <w:noProof/>
        </w:rPr>
        <w:fldChar w:fldCharType="separate"/>
      </w:r>
      <w:r>
        <w:rPr>
          <w:noProof/>
        </w:rPr>
        <w:t>6</w:t>
      </w:r>
      <w:r>
        <w:rPr>
          <w:noProof/>
        </w:rPr>
        <w:fldChar w:fldCharType="end"/>
      </w:r>
    </w:p>
    <w:p w14:paraId="2233CE85" w14:textId="3C8C3896" w:rsidR="005B105F" w:rsidRDefault="005B105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_Toc222236665 \h </w:instrText>
      </w:r>
      <w:r>
        <w:rPr>
          <w:noProof/>
        </w:rPr>
      </w:r>
      <w:r>
        <w:rPr>
          <w:noProof/>
        </w:rPr>
        <w:fldChar w:fldCharType="separate"/>
      </w:r>
      <w:r>
        <w:rPr>
          <w:noProof/>
        </w:rPr>
        <w:t>7</w:t>
      </w:r>
      <w:r>
        <w:rPr>
          <w:noProof/>
        </w:rPr>
        <w:fldChar w:fldCharType="end"/>
      </w:r>
    </w:p>
    <w:p w14:paraId="4F490E59" w14:textId="38867BEA" w:rsidR="004E1650" w:rsidRPr="000E7E43" w:rsidRDefault="005B105F" w:rsidP="00F04010">
      <w:r w:rsidRPr="000E7E43">
        <w:fldChar w:fldCharType="end"/>
      </w:r>
    </w:p>
    <w:p w14:paraId="40B8493E" w14:textId="77777777" w:rsidR="00363B94" w:rsidRPr="000E7E43" w:rsidRDefault="005B105F" w:rsidP="0006167F">
      <w:pPr>
        <w:pStyle w:val="PageHeading"/>
      </w:pPr>
      <w:r>
        <w:br w:type="page"/>
      </w:r>
      <w:r>
        <w:lastRenderedPageBreak/>
        <w:br w:type="page"/>
      </w:r>
      <w:bookmarkStart w:id="0" w:name="_Toc222236663"/>
      <w:r>
        <w:lastRenderedPageBreak/>
        <w:t>EUROPOS PARLAMENTO TEISĖKŪROS REZOLIUCIJOS PROJEKTAS</w:t>
      </w:r>
      <w:bookmarkEnd w:id="0"/>
    </w:p>
    <w:p w14:paraId="78DEB25A" w14:textId="77777777" w:rsidR="00363B94" w:rsidRPr="000E7E43" w:rsidRDefault="005B105F">
      <w:pPr>
        <w:pStyle w:val="NormalBold12a"/>
      </w:pPr>
      <w:r>
        <w:t>dėl Tarybos sprendimo dėl Europos Sąjungos ir Islandijos susitarimo dėl keleivio duomenų įrašo (PNR) duomenų perdavimo teroristinių nusikaltimų ir sunkių nusikaltimų prevencijos, nustatymo, tyrimo ir patraukimo už juos baudžiamojon atsakomybėn tikslais sudarymo Sąjungos vardu</w:t>
      </w:r>
      <w:r>
        <w:br/>
        <w:t>(11283/2025 – C10</w:t>
      </w:r>
      <w:r>
        <w:noBreakHyphen/>
        <w:t>0278/2025 – 2025/0156(NLE))</w:t>
      </w:r>
    </w:p>
    <w:p w14:paraId="126D16F1" w14:textId="77777777" w:rsidR="00363B94" w:rsidRPr="000E7E43" w:rsidRDefault="005B105F" w:rsidP="00893FBD">
      <w:pPr>
        <w:pStyle w:val="NormalBold"/>
      </w:pPr>
      <w:r>
        <w:t>(Pritarimas)</w:t>
      </w:r>
    </w:p>
    <w:p w14:paraId="7E15D2EB" w14:textId="77777777" w:rsidR="00363B94" w:rsidRPr="000E7E43" w:rsidRDefault="005B105F">
      <w:pPr>
        <w:pStyle w:val="EPComma"/>
      </w:pPr>
      <w:r>
        <w:rPr>
          <w:i/>
        </w:rPr>
        <w:t>Europos Parlamentas</w:t>
      </w:r>
      <w:r>
        <w:t>,</w:t>
      </w:r>
    </w:p>
    <w:p w14:paraId="26498A7E" w14:textId="77777777" w:rsidR="000E7E43" w:rsidRPr="000E7E43" w:rsidRDefault="005B105F" w:rsidP="000E7E43">
      <w:pPr>
        <w:pStyle w:val="NormalHanging12a"/>
      </w:pPr>
      <w:r>
        <w:t>–</w:t>
      </w:r>
      <w:r>
        <w:tab/>
        <w:t>atsižvelgdamas į Tarybos sprendimo projektą (11283/2025),</w:t>
      </w:r>
    </w:p>
    <w:p w14:paraId="6E52C6D5" w14:textId="77777777" w:rsidR="000E7E43" w:rsidRPr="000E7E43" w:rsidRDefault="005B105F" w:rsidP="000E7E43">
      <w:pPr>
        <w:pStyle w:val="NormalHanging12a"/>
      </w:pPr>
      <w:r>
        <w:t>–</w:t>
      </w:r>
      <w:r>
        <w:tab/>
        <w:t>atsižvelgdamas į Europos Sąjungos ir Islandijos susitarimą dėl keleivio duomenų įrašo (PNR) duomenų perdavimo teroristinių nusikaltimų ir sunkių nusikaltimų prevencijos, nustatymo, tyrimo ir patraukimo už juos baudžiamojon atsakomybėn tikslais (11284/2025),</w:t>
      </w:r>
    </w:p>
    <w:p w14:paraId="78A2C905" w14:textId="77777777" w:rsidR="000E7E43" w:rsidRPr="000E7E43" w:rsidRDefault="005B105F" w:rsidP="000E7E43">
      <w:pPr>
        <w:pStyle w:val="NormalHanging12a"/>
      </w:pPr>
      <w:r>
        <w:t>–</w:t>
      </w:r>
      <w:r>
        <w:tab/>
        <w:t xml:space="preserve">atsižvelgdamas į prašymą dėl pritarimo, kurį Taryba pateikė pagal Sutarties dėl Europos Sąjungos veikimo 16 straipsnio 2 dalį, 87 straipsnio 2 dalies </w:t>
      </w:r>
      <w:r>
        <w:t>a punktą ir 218 straipsnio 6 dalies antros pastraipos a punktą (C10</w:t>
      </w:r>
      <w:r>
        <w:noBreakHyphen/>
        <w:t>0278/2025),</w:t>
      </w:r>
    </w:p>
    <w:p w14:paraId="1806B789" w14:textId="77777777" w:rsidR="000E7E43" w:rsidRPr="000E7E43" w:rsidRDefault="005B105F" w:rsidP="000E7E43">
      <w:pPr>
        <w:pStyle w:val="NormalHanging12a"/>
      </w:pPr>
      <w:r>
        <w:t>–</w:t>
      </w:r>
      <w:r>
        <w:tab/>
        <w:t>atsižvelgdamas į Darbo tvarkos taisyklių 107 straipsnio 1 ir 4 dalis ir į 117 straipsnio 7 dalį,</w:t>
      </w:r>
    </w:p>
    <w:p w14:paraId="54BBB9D7" w14:textId="77777777" w:rsidR="000E7E43" w:rsidRPr="000E7E43" w:rsidRDefault="005B105F" w:rsidP="000E7E43">
      <w:pPr>
        <w:pStyle w:val="NormalHanging12a"/>
      </w:pPr>
      <w:r>
        <w:t>–</w:t>
      </w:r>
      <w:r>
        <w:tab/>
        <w:t>atsižvelgdamas į Pilietinių laisvių, teisingumo ir vidaus reikalų komiteto rekomendaciją (A10</w:t>
      </w:r>
      <w:r>
        <w:noBreakHyphen/>
        <w:t>0000/2026),</w:t>
      </w:r>
    </w:p>
    <w:p w14:paraId="40D55A5A" w14:textId="77777777" w:rsidR="000E7E43" w:rsidRPr="000E7E43" w:rsidRDefault="005B105F" w:rsidP="000E7E43">
      <w:pPr>
        <w:pStyle w:val="NormalHanging12a"/>
      </w:pPr>
      <w:r>
        <w:t>1.</w:t>
      </w:r>
      <w:r>
        <w:tab/>
        <w:t>pritaria susitarimo sudarymui;</w:t>
      </w:r>
    </w:p>
    <w:p w14:paraId="53F80217" w14:textId="77777777" w:rsidR="000E7E43" w:rsidRPr="000E7E43" w:rsidRDefault="005B105F" w:rsidP="000E7E43">
      <w:pPr>
        <w:pStyle w:val="NormalHanging12a"/>
      </w:pPr>
      <w:r>
        <w:t>2.</w:t>
      </w:r>
      <w:r>
        <w:tab/>
        <w:t>paveda Pirmininkei perduoti Parlamento poziciją Tarybai, Komisijai ir valstybių narių bei Islandijos vyriausybėms ir parlamentams.</w:t>
      </w:r>
    </w:p>
    <w:p w14:paraId="6C750C90" w14:textId="77777777" w:rsidR="000E7E43" w:rsidRPr="000E7E43" w:rsidRDefault="005B105F">
      <w:pPr>
        <w:widowControl/>
      </w:pPr>
      <w:r>
        <w:br w:type="page"/>
      </w:r>
    </w:p>
    <w:p w14:paraId="616FD2D7" w14:textId="77777777" w:rsidR="000E7E43" w:rsidRPr="000E7E43" w:rsidRDefault="005B105F" w:rsidP="000E7E43">
      <w:pPr>
        <w:pStyle w:val="PageHeading"/>
      </w:pPr>
      <w:bookmarkStart w:id="1" w:name="_Toc221881850"/>
      <w:bookmarkStart w:id="2" w:name="_Toc222236664"/>
      <w:r>
        <w:lastRenderedPageBreak/>
        <w:t>AIŠKINAMOJI DALIS</w:t>
      </w:r>
      <w:bookmarkEnd w:id="1"/>
      <w:bookmarkEnd w:id="2"/>
    </w:p>
    <w:p w14:paraId="19F87CEA" w14:textId="77777777" w:rsidR="000E7E43" w:rsidRPr="000E7E43" w:rsidRDefault="005B105F" w:rsidP="000E7E43">
      <w:r>
        <w:t xml:space="preserve">Europos Sąjungos ir </w:t>
      </w:r>
      <w:r>
        <w:t xml:space="preserve">Islandijos susitarimo dėl keleivio duomenų įrašo (PNR) duomenų perdavimo teroristinių nusikaltimų ir sunkių nusikaltimų prevencijos, nustatymo, tyrimo ir patraukimo už juos baudžiamojon atsakomybėn tikslais sudarymas yra svarbus žingsnis stiprinant tarptautinį bendradarbiavimą kovoje su terorizmu ir sunkiais tarpvalstybiniais nusikaltimais. </w:t>
      </w:r>
    </w:p>
    <w:p w14:paraId="6CDCEBAE" w14:textId="77777777" w:rsidR="000E7E43" w:rsidRPr="000E7E43" w:rsidRDefault="000E7E43" w:rsidP="000E7E43"/>
    <w:p w14:paraId="724A67C5" w14:textId="77777777" w:rsidR="000E7E43" w:rsidRPr="000E7E43" w:rsidRDefault="005B105F" w:rsidP="000E7E43">
      <w:r>
        <w:t>Susitarimas dėl PNR su Islandija sudarys sąlygas saugumo tikslais perduoti oro transporto bendrovių surinktus keleivių duomenis nacionalinėms institucijoms. Tai yra svarbu, nes iš šių duomenų institucijos gali gauti svarbios informacijos, padedančios nustatyti įtartinus kelionių modelius ir nusikaltėlių bei teroristų bendrininkus, ypač tuos, kurie anksčiau nebuvo žinomi teisėsaugos institucijoms. Taip bus ne tik nustatytas terorizmas ir kitokie sunkūs nusikaltimai, pavyzdžiui, su narkotikais susiję nusikalt</w:t>
      </w:r>
      <w:r>
        <w:t>imai, prekyba žmonėmis ir seksualinis vaikų išnaudojimas, bet ir padedama užkirsti kelią tokių nusikaltimų įvykdymui. PNR duomenų tvarkymas pasiteisino kaip veiksminga priemonė Šengeno erdvės saugumui didinti, nes padeda nustatyti nusikaltimus prie išorės sienų ir sudaro sąlygas valstybėms narėms Šengeno erdvėje taikyti rizika ir duomenimis grindžiamą požiūrį.</w:t>
      </w:r>
    </w:p>
    <w:p w14:paraId="2B7BF09F" w14:textId="77777777" w:rsidR="000E7E43" w:rsidRPr="000E7E43" w:rsidRDefault="000E7E43" w:rsidP="000E7E43"/>
    <w:p w14:paraId="4CCAC792" w14:textId="77777777" w:rsidR="000E7E43" w:rsidRPr="000E7E43" w:rsidRDefault="005B105F" w:rsidP="000E7E43">
      <w:r>
        <w:t>Verta pabrėžti, kad šis susitarimas atspindi tinkamą saugumo poreikių ir asmens privatumo apsaugos pusiausvyrą. Jame nustatytos aiškios PNR duomenų tvarkymą, laikymą, naudojimą ir saugojimą reglamentuojančios taisyklės. Į susitarimą įtrauktos griežtos apsaugos priemonės, kuriomis siekiama užtikrinti, kad duomenys būtų naudojami tik nustatytais tikslais, saugomi tik ribotą laiką ir saugomi nuo netinkamo naudojimo ar neteisėtos prieigos. Priežiūros mechanizmai ir asmenų teisės į teisinę gynybą dar labiau didi</w:t>
      </w:r>
      <w:r>
        <w:t xml:space="preserve">na skaidrumą ir atskaitomybę. Tai patvirtino Europos duomenų apsaugos priežiūros pareigūnas pateiktoje teigiamoje nuomonėje, kurioje padarė išvadą, jog susitarime yra numatytos būtinos apsaugos priemonės, kad jis būtų suderinamas su ES duomenų apsaugos teisės aktais. </w:t>
      </w:r>
    </w:p>
    <w:p w14:paraId="1A5714A4" w14:textId="77777777" w:rsidR="000E7E43" w:rsidRPr="000E7E43" w:rsidRDefault="000E7E43" w:rsidP="000E7E43"/>
    <w:p w14:paraId="19BFA0F0" w14:textId="77777777" w:rsidR="000E7E43" w:rsidRPr="000E7E43" w:rsidRDefault="005B105F" w:rsidP="000E7E43">
      <w:r>
        <w:t>Apibendrinant, susitarimas dėl PNR su Islandija rodo bendrą pripažinimą, kad šiuolaikinėms saugumo problemoms spręsti reikia koordinuotų tarpvalstybinių sprendimų. Šiuo susitarimu, kuriame geresnis dalijimasis informacija derinamas su tvirtomis duomenų apsaugos garantijomis, prisidedama prie saugesnių tarptautinių kelionių, kartu laikantis teisinės valstybės principo ir pagrindinių teisių.</w:t>
      </w:r>
    </w:p>
    <w:p w14:paraId="678DC3FE" w14:textId="77777777" w:rsidR="000E7E43" w:rsidRPr="000E7E43" w:rsidRDefault="000E7E43" w:rsidP="000E7E43"/>
    <w:p w14:paraId="44A4D8F1" w14:textId="77777777" w:rsidR="000E7E43" w:rsidRPr="000E7E43" w:rsidRDefault="005B105F" w:rsidP="000E7E43">
      <w:r>
        <w:t>Tarptautinio bendradarbiavimo teisėsaugos srityje stiprinimas, visų pirma veiksmingai ir laiku dalijantis informacija, yra labai svarbus reaguojant į sudėtingas ir kintančias grėsmes, kurias kelia terorizmas ir sunkūs tarpvalstybiniai nusikaltimai, ir savo ruožtu gerinant mūsų piliečių saugą ir saugumą. Todėl svarbu, jog Europos Parlamentas pritartų tam, kad Taryba sudarytų šį susitarimą.</w:t>
      </w:r>
    </w:p>
    <w:p w14:paraId="03235E16" w14:textId="77777777" w:rsidR="000E7E43" w:rsidRPr="000E7E43" w:rsidRDefault="000E7E43" w:rsidP="000E7E43"/>
    <w:p w14:paraId="7EDD1EDF" w14:textId="77777777" w:rsidR="000E7E43" w:rsidRPr="000E7E43" w:rsidRDefault="000E7E43" w:rsidP="000E7E43">
      <w:pPr>
        <w:sectPr w:rsidR="000E7E43" w:rsidRPr="000E7E43" w:rsidSect="000E7E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3F649A7" w14:textId="77777777" w:rsidR="000E7E43" w:rsidRPr="000E7E43" w:rsidRDefault="005B105F" w:rsidP="000E7E43">
      <w:pPr>
        <w:pStyle w:val="PageHeading"/>
      </w:pPr>
      <w:bookmarkStart w:id="3" w:name="_Toc221881851"/>
      <w:bookmarkStart w:id="4" w:name="_Toc222236665"/>
      <w:r>
        <w:lastRenderedPageBreak/>
        <w:t xml:space="preserve">PRIEDAS. </w:t>
      </w:r>
      <w:bookmarkStart w:id="5" w:name="iEnd"/>
      <w:bookmarkEnd w:id="5"/>
      <w:r>
        <w:t>GAUTOS INFORMACIJOS DEKLARACIJA</w:t>
      </w:r>
      <w:bookmarkEnd w:id="3"/>
      <w:bookmarkEnd w:id="4"/>
    </w:p>
    <w:p w14:paraId="1A7440CB" w14:textId="77777777" w:rsidR="000E7E43" w:rsidRPr="000E7E43" w:rsidRDefault="005B105F" w:rsidP="000E7E43">
      <w:r>
        <w:t xml:space="preserve">Pranešėjas, </w:t>
      </w:r>
      <w:r>
        <w:t>prisiimdamas visą atsakomybę, pareiškia, kad į savo pranešimą neįtraukė informacijos, gautos iš interesų grupių atstovų, kuriems taikomas Tarpinstitucinis susitarimas dėl privalomo skaidrumo registro</w:t>
      </w:r>
      <w:r>
        <w:rPr>
          <w:rStyle w:val="FootnoteReference"/>
        </w:rPr>
        <w:footnoteReference w:id="1"/>
      </w:r>
      <w:r>
        <w:t>, arba trečiųjų šalių valdžios institucijų, įskaitant jų diplomatines atstovybes ir ambasadas, atstovų, kurie turi būti įtraukti į šį priedą pagal Darbo tvarkos taisyklių I priedo 8 straipsnį.</w:t>
      </w:r>
    </w:p>
    <w:p w14:paraId="78E67D44" w14:textId="77777777" w:rsidR="000E7E43" w:rsidRPr="000E7E43" w:rsidRDefault="000E7E43" w:rsidP="000E7E43"/>
    <w:p w14:paraId="3D608B85" w14:textId="77777777" w:rsidR="000E7E43" w:rsidRPr="000E7E43" w:rsidRDefault="000E7E43" w:rsidP="000E7E43"/>
    <w:p w14:paraId="3BD543DC" w14:textId="77777777" w:rsidR="00363B94" w:rsidRPr="000E7E43" w:rsidRDefault="00363B94" w:rsidP="000E7E43">
      <w:pPr>
        <w:pStyle w:val="NormalHanging12a"/>
      </w:pPr>
    </w:p>
    <w:sectPr w:rsidR="00363B94" w:rsidRPr="000E7E43" w:rsidSect="000E7E43">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D0863" w14:textId="77777777" w:rsidR="005B105F" w:rsidRDefault="005B105F">
      <w:r>
        <w:separator/>
      </w:r>
    </w:p>
  </w:endnote>
  <w:endnote w:type="continuationSeparator" w:id="0">
    <w:p w14:paraId="415E0F0B" w14:textId="77777777" w:rsidR="005B105F" w:rsidRDefault="005B1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1F122" w14:textId="77777777" w:rsidR="000E7E43" w:rsidRPr="000E7E43" w:rsidRDefault="005B105F" w:rsidP="000E7E43">
    <w:pPr>
      <w:pStyle w:val="EPFooter"/>
    </w:pPr>
    <w:r w:rsidRPr="000E7E43">
      <w:t>PE</w:t>
    </w:r>
    <w:r w:rsidRPr="000E7E43">
      <w:rPr>
        <w:rStyle w:val="HideTWBExt"/>
      </w:rPr>
      <w:t>&lt;NoPE&gt;</w:t>
    </w:r>
    <w:r w:rsidRPr="000E7E43">
      <w:t>784.412</w:t>
    </w:r>
    <w:r w:rsidRPr="000E7E43">
      <w:rPr>
        <w:rStyle w:val="HideTWBExt"/>
      </w:rPr>
      <w:t>&lt;/NoPE&gt;&lt;Version&gt;</w:t>
    </w:r>
    <w:r w:rsidRPr="000E7E43">
      <w:t>v01-00</w:t>
    </w:r>
    <w:r w:rsidRPr="000E7E43">
      <w:rPr>
        <w:rStyle w:val="HideTWBExt"/>
      </w:rPr>
      <w:t>&lt;/Version&gt;</w:t>
    </w:r>
    <w:r w:rsidRPr="000E7E43">
      <w:tab/>
    </w:r>
    <w:r w:rsidRPr="000E7E43">
      <w:fldChar w:fldCharType="begin"/>
    </w:r>
    <w:r w:rsidRPr="000E7E43">
      <w:instrText xml:space="preserve"> PAGE  \* MERGEFORMAT </w:instrText>
    </w:r>
    <w:r w:rsidRPr="000E7E43">
      <w:fldChar w:fldCharType="separate"/>
    </w:r>
    <w:r w:rsidRPr="000E7E43">
      <w:rPr>
        <w:noProof/>
      </w:rPr>
      <w:t>6</w:t>
    </w:r>
    <w:r w:rsidRPr="000E7E43">
      <w:fldChar w:fldCharType="end"/>
    </w:r>
    <w:r w:rsidRPr="000E7E43">
      <w:t>/</w:t>
    </w:r>
    <w:r w:rsidRPr="000E7E43">
      <w:fldChar w:fldCharType="begin"/>
    </w:r>
    <w:r>
      <w:instrText xml:space="preserve"> NUMPAGES  \* MERGEFORMAT </w:instrText>
    </w:r>
    <w:r w:rsidRPr="000E7E43">
      <w:fldChar w:fldCharType="separate"/>
    </w:r>
    <w:r w:rsidRPr="000E7E43">
      <w:rPr>
        <w:noProof/>
      </w:rPr>
      <w:t>7</w:t>
    </w:r>
    <w:r w:rsidRPr="000E7E43">
      <w:rPr>
        <w:noProof/>
      </w:rPr>
      <w:fldChar w:fldCharType="end"/>
    </w:r>
    <w:r w:rsidRPr="000E7E43">
      <w:tab/>
    </w:r>
    <w:r w:rsidRPr="000E7E43">
      <w:rPr>
        <w:rStyle w:val="HideTWBExt"/>
      </w:rPr>
      <w:t>&lt;PathFdR&gt;</w:t>
    </w:r>
    <w:r w:rsidRPr="000E7E43">
      <w:t>PR\1337453LT.docx</w:t>
    </w:r>
    <w:r w:rsidRPr="000E7E43">
      <w:rPr>
        <w:rStyle w:val="HideTWBExt"/>
      </w:rPr>
      <w:t>&lt;/PathFdR&gt;</w:t>
    </w:r>
  </w:p>
  <w:p w14:paraId="689C77FF" w14:textId="77777777" w:rsidR="000E7E43" w:rsidRPr="000E7E43" w:rsidRDefault="005B105F" w:rsidP="000E7E43">
    <w:pPr>
      <w:pStyle w:val="EPFooter2"/>
    </w:pPr>
    <w:r w:rsidRPr="000E7E43">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E1D9" w14:textId="77777777" w:rsidR="000E7E43" w:rsidRPr="000E7E43" w:rsidRDefault="005B105F" w:rsidP="000E7E43">
    <w:pPr>
      <w:pStyle w:val="EPFooter"/>
    </w:pPr>
    <w:r w:rsidRPr="000E7E43">
      <w:rPr>
        <w:rStyle w:val="HideTWBExt"/>
      </w:rPr>
      <w:t>&lt;PathFdR&gt;</w:t>
    </w:r>
    <w:r w:rsidRPr="000E7E43">
      <w:t>PR\1337453LT.docx</w:t>
    </w:r>
    <w:r w:rsidRPr="000E7E43">
      <w:rPr>
        <w:rStyle w:val="HideTWBExt"/>
      </w:rPr>
      <w:t>&lt;/PathFdR&gt;</w:t>
    </w:r>
    <w:r w:rsidRPr="000E7E43">
      <w:tab/>
    </w:r>
    <w:r w:rsidRPr="000E7E43">
      <w:fldChar w:fldCharType="begin"/>
    </w:r>
    <w:r w:rsidRPr="000E7E43">
      <w:instrText xml:space="preserve"> PAGE  \* MERGEFORMAT </w:instrText>
    </w:r>
    <w:r w:rsidRPr="000E7E43">
      <w:fldChar w:fldCharType="separate"/>
    </w:r>
    <w:r w:rsidRPr="000E7E43">
      <w:rPr>
        <w:noProof/>
      </w:rPr>
      <w:t>7</w:t>
    </w:r>
    <w:r w:rsidRPr="000E7E43">
      <w:fldChar w:fldCharType="end"/>
    </w:r>
    <w:r w:rsidRPr="000E7E43">
      <w:t>/</w:t>
    </w:r>
    <w:r w:rsidRPr="000E7E43">
      <w:fldChar w:fldCharType="begin"/>
    </w:r>
    <w:r>
      <w:instrText xml:space="preserve"> NUMPAGES  \* MERGEFORMAT </w:instrText>
    </w:r>
    <w:r w:rsidRPr="000E7E43">
      <w:fldChar w:fldCharType="separate"/>
    </w:r>
    <w:r w:rsidRPr="000E7E43">
      <w:rPr>
        <w:noProof/>
      </w:rPr>
      <w:t>7</w:t>
    </w:r>
    <w:r w:rsidRPr="000E7E43">
      <w:rPr>
        <w:noProof/>
      </w:rPr>
      <w:fldChar w:fldCharType="end"/>
    </w:r>
    <w:r w:rsidRPr="000E7E43">
      <w:tab/>
      <w:t>PE</w:t>
    </w:r>
    <w:r w:rsidRPr="000E7E43">
      <w:rPr>
        <w:rStyle w:val="HideTWBExt"/>
      </w:rPr>
      <w:t>&lt;NoPE&gt;</w:t>
    </w:r>
    <w:r w:rsidRPr="000E7E43">
      <w:t>784.412</w:t>
    </w:r>
    <w:r w:rsidRPr="000E7E43">
      <w:rPr>
        <w:rStyle w:val="HideTWBExt"/>
      </w:rPr>
      <w:t>&lt;/NoPE&gt;&lt;Version&gt;</w:t>
    </w:r>
    <w:r w:rsidRPr="000E7E43">
      <w:t>v01-00</w:t>
    </w:r>
    <w:r w:rsidRPr="000E7E43">
      <w:rPr>
        <w:rStyle w:val="HideTWBExt"/>
      </w:rPr>
      <w:t>&lt;/Version&gt;</w:t>
    </w:r>
  </w:p>
  <w:p w14:paraId="095EEC18" w14:textId="77777777" w:rsidR="000E7E43" w:rsidRPr="000E7E43" w:rsidRDefault="005B105F" w:rsidP="000E7E43">
    <w:pPr>
      <w:pStyle w:val="EPFooter2"/>
    </w:pPr>
    <w:r w:rsidRPr="000E7E43">
      <w:tab/>
    </w:r>
    <w:r w:rsidRPr="000E7E43">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6E07" w14:textId="77777777" w:rsidR="000E7E43" w:rsidRPr="000E7E43" w:rsidRDefault="005B105F" w:rsidP="000E7E43">
    <w:pPr>
      <w:pStyle w:val="EPFooter"/>
    </w:pPr>
    <w:r w:rsidRPr="000E7E43">
      <w:rPr>
        <w:rStyle w:val="HideTWBExt"/>
      </w:rPr>
      <w:t>&lt;PathFdR&gt;</w:t>
    </w:r>
    <w:r w:rsidRPr="000E7E43">
      <w:t>PR\1337453LT.docx</w:t>
    </w:r>
    <w:r w:rsidRPr="000E7E43">
      <w:rPr>
        <w:rStyle w:val="HideTWBExt"/>
      </w:rPr>
      <w:t>&lt;/PathFdR&gt;</w:t>
    </w:r>
    <w:r w:rsidRPr="000E7E43">
      <w:tab/>
    </w:r>
    <w:r w:rsidRPr="000E7E43">
      <w:tab/>
      <w:t>PE</w:t>
    </w:r>
    <w:r w:rsidRPr="000E7E43">
      <w:rPr>
        <w:rStyle w:val="HideTWBExt"/>
      </w:rPr>
      <w:t>&lt;NoPE&gt;</w:t>
    </w:r>
    <w:r w:rsidRPr="000E7E43">
      <w:t>784.412</w:t>
    </w:r>
    <w:r w:rsidRPr="000E7E43">
      <w:rPr>
        <w:rStyle w:val="HideTWBExt"/>
      </w:rPr>
      <w:t>&lt;/NoPE&gt;&lt;Version&gt;</w:t>
    </w:r>
    <w:r w:rsidRPr="000E7E43">
      <w:t>v01-00</w:t>
    </w:r>
    <w:r w:rsidRPr="000E7E43">
      <w:rPr>
        <w:rStyle w:val="HideTWBExt"/>
      </w:rPr>
      <w:t>&lt;/Version&gt;</w:t>
    </w:r>
  </w:p>
  <w:p w14:paraId="79DFCF0B" w14:textId="77777777" w:rsidR="000E7E43" w:rsidRPr="000E7E43" w:rsidRDefault="005B105F" w:rsidP="000E7E43">
    <w:pPr>
      <w:pStyle w:val="EPFooter2"/>
    </w:pPr>
    <w:r w:rsidRPr="000E7E43">
      <w:t>LT</w:t>
    </w:r>
    <w:r w:rsidRPr="000E7E43">
      <w:tab/>
    </w:r>
    <w:r w:rsidRPr="000E7E43">
      <w:rPr>
        <w:b w:val="0"/>
        <w:i/>
        <w:color w:val="C0C0C0"/>
        <w:sz w:val="22"/>
      </w:rPr>
      <w:t>Suvienijusi įvairovę</w:t>
    </w:r>
    <w:r w:rsidRPr="000E7E43">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56D15" w14:textId="77777777" w:rsidR="0085501C" w:rsidRPr="000E7E43" w:rsidRDefault="005B105F" w:rsidP="00B6769C">
    <w:pPr>
      <w:pStyle w:val="EPFooter"/>
    </w:pPr>
    <w:r w:rsidRPr="000E7E43">
      <w:rPr>
        <w:rStyle w:val="HideTWBExt"/>
      </w:rPr>
      <w:t>&lt;PathFdR&gt;</w:t>
    </w:r>
    <w:r w:rsidR="000E7E43" w:rsidRPr="000E7E43">
      <w:rPr>
        <w:color w:val="auto"/>
      </w:rPr>
      <w:t>PR\1337453LT.docx</w:t>
    </w:r>
    <w:r w:rsidRPr="000E7E43">
      <w:rPr>
        <w:rStyle w:val="HideTWBExt"/>
      </w:rPr>
      <w:t>&lt;/PathFdR&gt;</w:t>
    </w:r>
    <w:r w:rsidRPr="000E7E43">
      <w:tab/>
    </w:r>
    <w:r w:rsidRPr="000E7E43">
      <w:tab/>
      <w:t>PE</w:t>
    </w:r>
    <w:r w:rsidRPr="000E7E43">
      <w:rPr>
        <w:rStyle w:val="HideTWBExt"/>
      </w:rPr>
      <w:t>&lt;NoPE&gt;</w:t>
    </w:r>
    <w:r w:rsidR="000E7E43" w:rsidRPr="000E7E43">
      <w:rPr>
        <w:color w:val="auto"/>
      </w:rPr>
      <w:t>784.412</w:t>
    </w:r>
    <w:r w:rsidRPr="000E7E43">
      <w:rPr>
        <w:rStyle w:val="HideTWBExt"/>
      </w:rPr>
      <w:t>&lt;/NoPE&gt;&lt;Version&gt;</w:t>
    </w:r>
    <w:r w:rsidR="008D7AC5" w:rsidRPr="000E7E43">
      <w:t>v</w:t>
    </w:r>
    <w:r w:rsidR="000E7E43" w:rsidRPr="000E7E43">
      <w:rPr>
        <w:color w:val="auto"/>
      </w:rPr>
      <w:t>01-00</w:t>
    </w:r>
    <w:r w:rsidRPr="000E7E43">
      <w:rPr>
        <w:rStyle w:val="HideTWBExt"/>
      </w:rPr>
      <w:t>&lt;/Version&gt;</w:t>
    </w:r>
  </w:p>
  <w:p w14:paraId="0F667627" w14:textId="0A81E140" w:rsidR="0085501C" w:rsidRPr="000E7E43" w:rsidRDefault="005B105F" w:rsidP="009612AA">
    <w:pPr>
      <w:pStyle w:val="EPFooter2"/>
      <w:tabs>
        <w:tab w:val="clear" w:pos="4535"/>
        <w:tab w:val="center" w:pos="4536"/>
      </w:tabs>
    </w:pPr>
    <w:r w:rsidRPr="000E7E43">
      <w:fldChar w:fldCharType="begin"/>
    </w:r>
    <w:r w:rsidRPr="000E7E43">
      <w:instrText xml:space="preserve"> DOCPROPERTY "&lt;Extension&gt;" </w:instrText>
    </w:r>
    <w:r w:rsidRPr="000E7E43">
      <w:fldChar w:fldCharType="separate"/>
    </w:r>
    <w:r w:rsidR="0063487E">
      <w:t>LT</w:t>
    </w:r>
    <w:r w:rsidRPr="000E7E43">
      <w:fldChar w:fldCharType="end"/>
    </w:r>
    <w:r w:rsidRPr="000E7E43">
      <w:tab/>
    </w:r>
    <w:r w:rsidRPr="000E7E43">
      <w:rPr>
        <w:b w:val="0"/>
        <w:i/>
        <w:color w:val="C0C0C0"/>
        <w:sz w:val="22"/>
        <w:szCs w:val="22"/>
      </w:rPr>
      <w:t>Suvienijusi įvairovę</w:t>
    </w:r>
    <w:r w:rsidRPr="000E7E43">
      <w:tab/>
    </w:r>
    <w:r w:rsidRPr="000E7E43">
      <w:fldChar w:fldCharType="begin"/>
    </w:r>
    <w:r w:rsidRPr="000E7E43">
      <w:instrText xml:space="preserve"> DOCPROPERTY "&lt;Extension&gt;" </w:instrText>
    </w:r>
    <w:r w:rsidRPr="000E7E43">
      <w:fldChar w:fldCharType="separate"/>
    </w:r>
    <w:r w:rsidR="0063487E">
      <w:t>LT</w:t>
    </w:r>
    <w:r w:rsidRPr="000E7E4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259FD" w14:textId="77777777" w:rsidR="008D7AC5" w:rsidRPr="000E7E43" w:rsidRDefault="005B105F">
      <w:r w:rsidRPr="000E7E43">
        <w:separator/>
      </w:r>
    </w:p>
  </w:footnote>
  <w:footnote w:type="continuationSeparator" w:id="0">
    <w:p w14:paraId="00FAC490" w14:textId="77777777" w:rsidR="008D7AC5" w:rsidRPr="000E7E43" w:rsidRDefault="005B105F">
      <w:r w:rsidRPr="000E7E43">
        <w:continuationSeparator/>
      </w:r>
    </w:p>
  </w:footnote>
  <w:footnote w:id="1">
    <w:p w14:paraId="2EAC7914" w14:textId="77777777" w:rsidR="000E7E43" w:rsidRPr="000E7E43" w:rsidRDefault="005B105F" w:rsidP="000E7E43">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B49DD" w14:textId="77777777" w:rsidR="0063487E" w:rsidRDefault="006348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D572" w14:textId="77777777" w:rsidR="0063487E" w:rsidRDefault="006348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AB157" w14:textId="77777777" w:rsidR="0063487E" w:rsidRDefault="006348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4F47" w14:textId="77777777" w:rsidR="000E7E43" w:rsidRDefault="000E7E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E92E" w14:textId="77777777" w:rsidR="000E7E43" w:rsidRDefault="000E7E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661B" w14:textId="77777777" w:rsidR="000E7E43" w:rsidRDefault="000E7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09778557">
    <w:abstractNumId w:val="9"/>
  </w:num>
  <w:num w:numId="2" w16cid:durableId="183635009">
    <w:abstractNumId w:val="9"/>
  </w:num>
  <w:num w:numId="3" w16cid:durableId="1082025759">
    <w:abstractNumId w:val="7"/>
  </w:num>
  <w:num w:numId="4" w16cid:durableId="850607093">
    <w:abstractNumId w:val="7"/>
  </w:num>
  <w:num w:numId="5" w16cid:durableId="1620718102">
    <w:abstractNumId w:val="6"/>
  </w:num>
  <w:num w:numId="6" w16cid:durableId="384335451">
    <w:abstractNumId w:val="6"/>
  </w:num>
  <w:num w:numId="7" w16cid:durableId="2006273624">
    <w:abstractNumId w:val="5"/>
  </w:num>
  <w:num w:numId="8" w16cid:durableId="571694917">
    <w:abstractNumId w:val="5"/>
  </w:num>
  <w:num w:numId="9" w16cid:durableId="114907710">
    <w:abstractNumId w:val="4"/>
  </w:num>
  <w:num w:numId="10" w16cid:durableId="1493061795">
    <w:abstractNumId w:val="4"/>
  </w:num>
  <w:num w:numId="11" w16cid:durableId="1130174321">
    <w:abstractNumId w:val="8"/>
  </w:num>
  <w:num w:numId="12" w16cid:durableId="905720533">
    <w:abstractNumId w:val="8"/>
  </w:num>
  <w:num w:numId="13" w16cid:durableId="1903755427">
    <w:abstractNumId w:val="3"/>
  </w:num>
  <w:num w:numId="14" w16cid:durableId="2120298313">
    <w:abstractNumId w:val="3"/>
  </w:num>
  <w:num w:numId="15" w16cid:durableId="327447768">
    <w:abstractNumId w:val="2"/>
  </w:num>
  <w:num w:numId="16" w16cid:durableId="913396805">
    <w:abstractNumId w:val="2"/>
  </w:num>
  <w:num w:numId="17" w16cid:durableId="2112846609">
    <w:abstractNumId w:val="1"/>
  </w:num>
  <w:num w:numId="18" w16cid:durableId="2104033946">
    <w:abstractNumId w:val="1"/>
  </w:num>
  <w:num w:numId="19" w16cid:durableId="720709494">
    <w:abstractNumId w:val="0"/>
  </w:num>
  <w:num w:numId="20" w16cid:durableId="1734768966">
    <w:abstractNumId w:val="0"/>
  </w:num>
  <w:num w:numId="21" w16cid:durableId="1700013245">
    <w:abstractNumId w:val="9"/>
  </w:num>
  <w:num w:numId="22" w16cid:durableId="2100711457">
    <w:abstractNumId w:val="7"/>
  </w:num>
  <w:num w:numId="23" w16cid:durableId="1003900836">
    <w:abstractNumId w:val="6"/>
  </w:num>
  <w:num w:numId="24" w16cid:durableId="1205678227">
    <w:abstractNumId w:val="5"/>
  </w:num>
  <w:num w:numId="25" w16cid:durableId="116144667">
    <w:abstractNumId w:val="4"/>
  </w:num>
  <w:num w:numId="26" w16cid:durableId="1705015567">
    <w:abstractNumId w:val="8"/>
  </w:num>
  <w:num w:numId="27" w16cid:durableId="891042435">
    <w:abstractNumId w:val="3"/>
  </w:num>
  <w:num w:numId="28" w16cid:durableId="738404032">
    <w:abstractNumId w:val="2"/>
  </w:num>
  <w:num w:numId="29" w16cid:durableId="1937513959">
    <w:abstractNumId w:val="1"/>
  </w:num>
  <w:num w:numId="30" w16cid:durableId="1084573177">
    <w:abstractNumId w:val="0"/>
  </w:num>
  <w:num w:numId="31" w16cid:durableId="109670864">
    <w:abstractNumId w:val="9"/>
  </w:num>
  <w:num w:numId="32" w16cid:durableId="866025217">
    <w:abstractNumId w:val="7"/>
  </w:num>
  <w:num w:numId="33" w16cid:durableId="938029045">
    <w:abstractNumId w:val="6"/>
  </w:num>
  <w:num w:numId="34" w16cid:durableId="493687374">
    <w:abstractNumId w:val="5"/>
  </w:num>
  <w:num w:numId="35" w16cid:durableId="1668943848">
    <w:abstractNumId w:val="4"/>
  </w:num>
  <w:num w:numId="36" w16cid:durableId="1765608652">
    <w:abstractNumId w:val="8"/>
  </w:num>
  <w:num w:numId="37" w16cid:durableId="845441848">
    <w:abstractNumId w:val="3"/>
  </w:num>
  <w:num w:numId="38" w16cid:durableId="891844521">
    <w:abstractNumId w:val="2"/>
  </w:num>
  <w:num w:numId="39" w16cid:durableId="41296534">
    <w:abstractNumId w:val="1"/>
  </w:num>
  <w:num w:numId="40" w16cid:durableId="1862818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DOCDT" w:val="12/02/2026"/>
    <w:docVar w:name="LastEditedSection" w:val=" 1"/>
    <w:docVar w:name="strDocTypeID" w:val="PR_NLE-AP_Agreement"/>
    <w:docVar w:name="strSubDir" w:val="1337"/>
    <w:docVar w:name="TITLEMNU" w:val=" 2"/>
    <w:docVar w:name="TXTAUTHOR" w:val="Jaroslav Bžoch"/>
    <w:docVar w:name="TXTLANGUE" w:val="LT"/>
    <w:docVar w:name="TXTLANGUEMIN" w:val="lt"/>
    <w:docVar w:name="TXTNRC" w:val="0278/2025"/>
    <w:docVar w:name="TXTNRCOUNC" w:val="11283/2025"/>
    <w:docVar w:name="TXTNRNLE" w:val="2025/0156"/>
    <w:docVar w:name="TXTNRPE" w:val="784.412"/>
    <w:docVar w:name="TXTPEorAP" w:val="PE"/>
    <w:docVar w:name="TXTROUTE" w:val="PR\1337453LT.docx"/>
    <w:docVar w:name="TXTVERSION" w:val="01-00"/>
  </w:docVars>
  <w:rsids>
    <w:rsidRoot w:val="008D7AC5"/>
    <w:rsid w:val="00001D52"/>
    <w:rsid w:val="0000443F"/>
    <w:rsid w:val="000053E3"/>
    <w:rsid w:val="00016E55"/>
    <w:rsid w:val="0006167F"/>
    <w:rsid w:val="00061EFE"/>
    <w:rsid w:val="00095D8B"/>
    <w:rsid w:val="000A2F73"/>
    <w:rsid w:val="000C123D"/>
    <w:rsid w:val="000D78AF"/>
    <w:rsid w:val="000E7E43"/>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027B1"/>
    <w:rsid w:val="0053367A"/>
    <w:rsid w:val="00544D48"/>
    <w:rsid w:val="005877C0"/>
    <w:rsid w:val="005A4375"/>
    <w:rsid w:val="005A6B14"/>
    <w:rsid w:val="005B105F"/>
    <w:rsid w:val="005D0B97"/>
    <w:rsid w:val="005D0BAE"/>
    <w:rsid w:val="005F5D6C"/>
    <w:rsid w:val="006132CE"/>
    <w:rsid w:val="00613F2E"/>
    <w:rsid w:val="0063487E"/>
    <w:rsid w:val="006A1A75"/>
    <w:rsid w:val="006A2CF5"/>
    <w:rsid w:val="006F1B6F"/>
    <w:rsid w:val="00791637"/>
    <w:rsid w:val="0080122F"/>
    <w:rsid w:val="00822206"/>
    <w:rsid w:val="008368CB"/>
    <w:rsid w:val="0085501C"/>
    <w:rsid w:val="00893FBD"/>
    <w:rsid w:val="008B75A4"/>
    <w:rsid w:val="008D23C6"/>
    <w:rsid w:val="008D3030"/>
    <w:rsid w:val="008D7AC5"/>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85D0F"/>
    <w:rsid w:val="00CA494E"/>
    <w:rsid w:val="00CB5651"/>
    <w:rsid w:val="00CC20CB"/>
    <w:rsid w:val="00CF44DF"/>
    <w:rsid w:val="00D04E0B"/>
    <w:rsid w:val="00D62DA0"/>
    <w:rsid w:val="00D6543C"/>
    <w:rsid w:val="00DF594D"/>
    <w:rsid w:val="00E14FEE"/>
    <w:rsid w:val="00E71368"/>
    <w:rsid w:val="00E93816"/>
    <w:rsid w:val="00EA59ED"/>
    <w:rsid w:val="00EF48F2"/>
    <w:rsid w:val="00F04010"/>
    <w:rsid w:val="00FC4251"/>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E7902"/>
  <w15:chartTrackingRefBased/>
  <w15:docId w15:val="{8C1A4912-BC46-4343-A812-16369A6A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0E7E43"/>
    <w:pPr>
      <w:tabs>
        <w:tab w:val="right" w:pos="454"/>
        <w:tab w:val="left" w:pos="737"/>
      </w:tabs>
      <w:ind w:left="737" w:hanging="737"/>
    </w:pPr>
    <w:rPr>
      <w:snapToGrid w:val="0"/>
      <w:sz w:val="18"/>
      <w:lang w:eastAsia="en-US"/>
    </w:rPr>
  </w:style>
  <w:style w:type="paragraph" w:customStyle="1" w:styleId="Lgendetitre">
    <w:name w:val="Légende titre"/>
    <w:basedOn w:val="Normal"/>
    <w:rsid w:val="000E7E43"/>
    <w:pPr>
      <w:spacing w:before="240" w:after="240"/>
    </w:pPr>
    <w:rPr>
      <w:b/>
      <w:i/>
      <w:snapToGrid w:val="0"/>
      <w:lang w:eastAsia="en-US"/>
    </w:rPr>
  </w:style>
  <w:style w:type="paragraph" w:customStyle="1" w:styleId="Lgendestandard">
    <w:name w:val="Légende standard"/>
    <w:basedOn w:val="Normal"/>
    <w:rsid w:val="000E7E43"/>
    <w:rPr>
      <w:sz w:val="18"/>
    </w:rPr>
  </w:style>
  <w:style w:type="character" w:styleId="Hyperlink">
    <w:name w:val="Hyperlink"/>
    <w:basedOn w:val="DefaultParagraphFont"/>
    <w:unhideWhenUsed/>
    <w:rsid w:val="000E7E43"/>
    <w:rPr>
      <w:color w:val="0563C1" w:themeColor="hyperlink"/>
      <w:u w:val="single"/>
    </w:rPr>
  </w:style>
  <w:style w:type="paragraph" w:styleId="FootnoteText">
    <w:name w:val="footnote text"/>
    <w:basedOn w:val="Normal"/>
    <w:link w:val="FootnoteTextChar"/>
    <w:unhideWhenUsed/>
    <w:rsid w:val="000E7E43"/>
    <w:rPr>
      <w:sz w:val="20"/>
    </w:rPr>
  </w:style>
  <w:style w:type="character" w:customStyle="1" w:styleId="FootnoteTextChar">
    <w:name w:val="Footnote Text Char"/>
    <w:basedOn w:val="DefaultParagraphFont"/>
    <w:link w:val="FootnoteText"/>
    <w:rsid w:val="000E7E43"/>
  </w:style>
  <w:style w:type="character" w:styleId="FootnoteReference">
    <w:name w:val="footnote reference"/>
    <w:basedOn w:val="DefaultParagraphFont"/>
    <w:unhideWhenUsed/>
    <w:rsid w:val="000E7E43"/>
    <w:rPr>
      <w:vertAlign w:val="superscript"/>
    </w:rPr>
  </w:style>
  <w:style w:type="paragraph" w:styleId="Footer">
    <w:name w:val="footer"/>
    <w:basedOn w:val="Normal"/>
    <w:link w:val="FooterChar"/>
    <w:semiHidden/>
    <w:rsid w:val="000E7E43"/>
    <w:pPr>
      <w:tabs>
        <w:tab w:val="center" w:pos="4513"/>
        <w:tab w:val="right" w:pos="9026"/>
      </w:tabs>
    </w:pPr>
  </w:style>
  <w:style w:type="character" w:customStyle="1" w:styleId="FooterChar">
    <w:name w:val="Footer Char"/>
    <w:basedOn w:val="DefaultParagraphFont"/>
    <w:link w:val="Footer"/>
    <w:semiHidden/>
    <w:rsid w:val="000E7E4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727</Words>
  <Characters>5330</Characters>
  <Application>Microsoft Office Word</Application>
  <DocSecurity>0</DocSecurity>
  <Lines>126</Lines>
  <Paragraphs>52</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PUODŽIUKYNAITĖ Justė</dc:creator>
  <cp:lastModifiedBy>PUODŽIUKYNAITĖ Justė</cp:lastModifiedBy>
  <cp:revision>2</cp:revision>
  <cp:lastPrinted>2002-12-11T09:25:00Z</cp:lastPrinted>
  <dcterms:created xsi:type="dcterms:W3CDTF">2026-02-17T15:04:00Z</dcterms:created>
  <dcterms:modified xsi:type="dcterms:W3CDTF">2026-02-17T15:04:00Z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1337453</vt:lpwstr>
  </property>
  <property fmtid="{D5CDD505-2E9C-101B-9397-08002B2CF9AE}" pid="4" name="&lt;Model&gt;">
    <vt:lpwstr>PR_NLE-AP_Agreement</vt:lpwstr>
  </property>
  <property fmtid="{D5CDD505-2E9C-101B-9397-08002B2CF9AE}" pid="5" name="&lt;ModelCod&gt;">
    <vt:lpwstr>\\eiciLUXpr1\pdocep$\DocEP\DOCS\General\PR\PR_Leg\NLE\PR_NLE-AP_Agreement.dotx(12/08/2024 16:05:00)</vt:lpwstr>
  </property>
  <property fmtid="{D5CDD505-2E9C-101B-9397-08002B2CF9AE}" pid="6" name="&lt;ModelTra&gt;">
    <vt:lpwstr>\\eiciLUXpr1\pdocep$\DocEP\TRANSFIL\LT\PR_NLE-AP_Agreement.LT(21/10/2025 10:03:00)</vt:lpwstr>
  </property>
  <property fmtid="{D5CDD505-2E9C-101B-9397-08002B2CF9AE}" pid="7" name="&lt;Type&gt;">
    <vt:lpwstr>PR</vt:lpwstr>
  </property>
  <property fmtid="{D5CDD505-2E9C-101B-9397-08002B2CF9AE}" pid="8" name="Bookout">
    <vt:lpwstr>OK - 2026/02/17 16:04</vt:lpwstr>
  </property>
  <property fmtid="{D5CDD505-2E9C-101B-9397-08002B2CF9AE}" pid="9" name="Created with">
    <vt:lpwstr>10.2.1 Build [20260110]</vt:lpwstr>
  </property>
  <property fmtid="{D5CDD505-2E9C-101B-9397-08002B2CF9AE}" pid="10" name="FooterPath">
    <vt:lpwstr>PR\1337453LT.docx</vt:lpwstr>
  </property>
  <property fmtid="{D5CDD505-2E9C-101B-9397-08002B2CF9AE}" pid="11" name="LastEdited with">
    <vt:lpwstr>10.2.1 Build [20260110]</vt:lpwstr>
  </property>
  <property fmtid="{D5CDD505-2E9C-101B-9397-08002B2CF9AE}" pid="12" name="PE number">
    <vt:lpwstr>784.412</vt:lpwstr>
  </property>
  <property fmtid="{D5CDD505-2E9C-101B-9397-08002B2CF9AE}" pid="13" name="SDLStudio">
    <vt:lpwstr/>
  </property>
</Properties>
</file>