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E41C64" w14:paraId="06F2F70A" w14:textId="77777777" w:rsidTr="00C85D0F">
        <w:trPr>
          <w:trHeight w:hRule="exact" w:val="1418"/>
        </w:trPr>
        <w:tc>
          <w:tcPr>
            <w:tcW w:w="6804" w:type="dxa"/>
            <w:shd w:val="clear" w:color="auto" w:fill="auto"/>
            <w:vAlign w:val="center"/>
          </w:tcPr>
          <w:p w14:paraId="5EF7AB59" w14:textId="77777777" w:rsidR="00C05DD8" w:rsidRPr="00E41C64" w:rsidRDefault="006D3D89" w:rsidP="00C85D0F">
            <w:pPr>
              <w:pStyle w:val="EPName"/>
            </w:pPr>
            <w:bookmarkStart w:id="0" w:name="iStart"/>
            <w:bookmarkEnd w:id="0"/>
            <w:r w:rsidRPr="00E41C64">
              <w:t>Parlament Europejski</w:t>
            </w:r>
          </w:p>
          <w:p w14:paraId="5E755B15" w14:textId="05F05260" w:rsidR="00C05DD8" w:rsidRPr="00E41C64" w:rsidRDefault="0064013B" w:rsidP="00C85D0F">
            <w:pPr>
              <w:pStyle w:val="EPTerm"/>
            </w:pPr>
            <w:r w:rsidRPr="00E41C64">
              <w:t>2024-2029</w:t>
            </w:r>
          </w:p>
        </w:tc>
        <w:tc>
          <w:tcPr>
            <w:tcW w:w="2268" w:type="dxa"/>
            <w:shd w:val="clear" w:color="auto" w:fill="auto"/>
          </w:tcPr>
          <w:p w14:paraId="57342818" w14:textId="77777777" w:rsidR="00C05DD8" w:rsidRPr="00E41C64" w:rsidRDefault="00C05DD8" w:rsidP="00C85D0F">
            <w:pPr>
              <w:pStyle w:val="EPLogo"/>
            </w:pPr>
            <w:r w:rsidRPr="00E41C64">
              <w:rPr>
                <w:noProof/>
                <w:lang w:eastAsia="ja-JP"/>
              </w:rPr>
              <w:drawing>
                <wp:inline distT="0" distB="0" distL="0" distR="0" wp14:anchorId="3ACD5348" wp14:editId="7200BCC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FBF7B3" w14:textId="77777777" w:rsidR="009612AA" w:rsidRPr="00E41C64" w:rsidRDefault="009612AA" w:rsidP="009612AA">
      <w:pPr>
        <w:pStyle w:val="LineTop"/>
      </w:pPr>
    </w:p>
    <w:p w14:paraId="2A5A694B" w14:textId="404CAD64" w:rsidR="009612AA" w:rsidRPr="00E41C64" w:rsidRDefault="009612AA" w:rsidP="009612AA">
      <w:pPr>
        <w:pStyle w:val="EPBody"/>
      </w:pPr>
      <w:r w:rsidRPr="00E41C64">
        <w:rPr>
          <w:rStyle w:val="HideTWBExt"/>
        </w:rPr>
        <w:t>&lt;</w:t>
      </w:r>
      <w:r w:rsidRPr="00E41C64">
        <w:rPr>
          <w:rStyle w:val="HideTWBExt"/>
          <w:i w:val="0"/>
        </w:rPr>
        <w:t>Commission</w:t>
      </w:r>
      <w:r w:rsidRPr="00E41C64">
        <w:rPr>
          <w:rStyle w:val="HideTWBExt"/>
        </w:rPr>
        <w:t>&gt;</w:t>
      </w:r>
      <w:r w:rsidRPr="00E41C64">
        <w:rPr>
          <w:rStyle w:val="HideTWBInt"/>
        </w:rPr>
        <w:t>{LIBE}</w:t>
      </w:r>
      <w:r w:rsidRPr="00E41C64">
        <w:t>Komisja Wolności Obywatelskich, Sprawiedliwości i Spraw Wewnętrznych</w:t>
      </w:r>
      <w:r w:rsidRPr="00E41C64">
        <w:rPr>
          <w:rStyle w:val="HideTWBExt"/>
        </w:rPr>
        <w:t>&lt;/</w:t>
      </w:r>
      <w:r w:rsidRPr="00E41C64">
        <w:rPr>
          <w:rStyle w:val="HideTWBExt"/>
          <w:i w:val="0"/>
        </w:rPr>
        <w:t>Commission</w:t>
      </w:r>
      <w:r w:rsidRPr="00E41C64">
        <w:rPr>
          <w:rStyle w:val="HideTWBExt"/>
        </w:rPr>
        <w:t>&gt;</w:t>
      </w:r>
    </w:p>
    <w:p w14:paraId="69861EDC" w14:textId="77777777" w:rsidR="009612AA" w:rsidRPr="00E41C64" w:rsidRDefault="009612AA" w:rsidP="009612AA">
      <w:pPr>
        <w:pStyle w:val="LineBottom"/>
      </w:pPr>
    </w:p>
    <w:p w14:paraId="595ADC1A" w14:textId="5BE0CD1F" w:rsidR="00363B94" w:rsidRPr="00E41C64" w:rsidRDefault="00363B94">
      <w:pPr>
        <w:pStyle w:val="CoverReference"/>
      </w:pPr>
      <w:r w:rsidRPr="00E41C64">
        <w:rPr>
          <w:rStyle w:val="HideTWBExt"/>
          <w:b w:val="0"/>
        </w:rPr>
        <w:t>&lt;RefProc&gt;</w:t>
      </w:r>
      <w:r w:rsidRPr="00E41C64">
        <w:t>2025/0156</w:t>
      </w:r>
      <w:r w:rsidRPr="00E41C64">
        <w:rPr>
          <w:rStyle w:val="HideTWBExt"/>
          <w:b w:val="0"/>
        </w:rPr>
        <w:t>&lt;/RefProc&gt;&lt;RefTypeProc&gt;</w:t>
      </w:r>
      <w:r w:rsidRPr="00E41C64">
        <w:t>(NLE)</w:t>
      </w:r>
      <w:r w:rsidRPr="00E41C64">
        <w:rPr>
          <w:rStyle w:val="HideTWBExt"/>
          <w:b w:val="0"/>
        </w:rPr>
        <w:t>&lt;/RefTypeProc&gt;</w:t>
      </w:r>
    </w:p>
    <w:p w14:paraId="0DBAA6CB" w14:textId="2DEBED0D" w:rsidR="00363B94" w:rsidRPr="00E41C64" w:rsidRDefault="00363B94">
      <w:pPr>
        <w:pStyle w:val="CoverDate"/>
      </w:pPr>
      <w:r w:rsidRPr="00E41C64">
        <w:rPr>
          <w:rStyle w:val="HideTWBExt"/>
        </w:rPr>
        <w:t>&lt;Date&gt;</w:t>
      </w:r>
      <w:r w:rsidRPr="00E41C64">
        <w:rPr>
          <w:rStyle w:val="HideTWBInt"/>
        </w:rPr>
        <w:t>{12/02/2026}</w:t>
      </w:r>
      <w:r w:rsidRPr="00E41C64">
        <w:t>12.2.2026</w:t>
      </w:r>
      <w:r w:rsidRPr="00E41C64">
        <w:rPr>
          <w:rStyle w:val="HideTWBExt"/>
        </w:rPr>
        <w:t>&lt;/Date&gt;</w:t>
      </w:r>
    </w:p>
    <w:p w14:paraId="4C9D68F3" w14:textId="77777777" w:rsidR="00363B94" w:rsidRPr="00E41C64" w:rsidRDefault="00363B94">
      <w:pPr>
        <w:pStyle w:val="CoverDocType"/>
      </w:pPr>
      <w:r w:rsidRPr="00E41C64">
        <w:rPr>
          <w:rStyle w:val="HideTWBExt"/>
          <w:b w:val="0"/>
        </w:rPr>
        <w:t>&lt;RefProcLect&gt;</w:t>
      </w:r>
      <w:r w:rsidRPr="00E41C64">
        <w:t>***</w:t>
      </w:r>
      <w:r w:rsidRPr="00E41C64">
        <w:rPr>
          <w:rStyle w:val="HideTWBExt"/>
          <w:b w:val="0"/>
        </w:rPr>
        <w:t>&lt;/RefProcLect&gt;</w:t>
      </w:r>
    </w:p>
    <w:p w14:paraId="4DD01CC0" w14:textId="77777777" w:rsidR="00363B94" w:rsidRPr="00E41C64" w:rsidRDefault="00363B94">
      <w:pPr>
        <w:pStyle w:val="CoverDocType24a"/>
      </w:pPr>
      <w:r w:rsidRPr="00E41C64">
        <w:rPr>
          <w:rStyle w:val="HideTWBExt"/>
          <w:b w:val="0"/>
        </w:rPr>
        <w:t>&lt;TitreType&gt;</w:t>
      </w:r>
      <w:r w:rsidRPr="00E41C64">
        <w:t>PROJEKT ZALECENIA</w:t>
      </w:r>
      <w:r w:rsidRPr="00E41C64">
        <w:rPr>
          <w:rStyle w:val="HideTWBExt"/>
          <w:b w:val="0"/>
        </w:rPr>
        <w:t>&lt;/TitreType&gt;</w:t>
      </w:r>
    </w:p>
    <w:p w14:paraId="43EBCFDC" w14:textId="246CB75F" w:rsidR="00363B94" w:rsidRPr="00E41C64" w:rsidRDefault="00363B94">
      <w:pPr>
        <w:pStyle w:val="CoverNormal"/>
      </w:pPr>
      <w:r w:rsidRPr="00E41C64">
        <w:rPr>
          <w:rStyle w:val="HideTWBExt"/>
        </w:rPr>
        <w:t>&lt;Titre&gt;</w:t>
      </w:r>
      <w:r w:rsidRPr="00E41C64">
        <w:t>w sprawie projektu decyzji Rady w sprawie zawarcia, w imieniu Unii, Umowy między Unią Europejską a Islandią o przekazywaniu danych dotyczących przelotu pasażera (danych PNR) w celu zapobiegania przestępstwom terrorystycznym i poważnej przestępczości, ich wykrywania, prowadzenia postępowań przygotowawczych w ich sprawie i ich ścigania</w:t>
      </w:r>
      <w:r w:rsidRPr="00E41C64">
        <w:rPr>
          <w:rStyle w:val="HideTWBExt"/>
        </w:rPr>
        <w:t>&lt;/Titre&gt;</w:t>
      </w:r>
    </w:p>
    <w:p w14:paraId="48920A28" w14:textId="1EA460A8" w:rsidR="00363B94" w:rsidRPr="00E41C64" w:rsidRDefault="00363B94">
      <w:pPr>
        <w:pStyle w:val="CoverNormal24a"/>
      </w:pPr>
      <w:r w:rsidRPr="00E41C64">
        <w:rPr>
          <w:rStyle w:val="HideTWBExt"/>
        </w:rPr>
        <w:t>&lt;DocRef&gt;</w:t>
      </w:r>
      <w:r w:rsidRPr="00E41C64">
        <w:t>(11283/2025 – C10</w:t>
      </w:r>
      <w:r w:rsidRPr="00E41C64">
        <w:noBreakHyphen/>
        <w:t>0278/2025 – 2025/0156(NLE))</w:t>
      </w:r>
      <w:r w:rsidRPr="00E41C64">
        <w:rPr>
          <w:rStyle w:val="HideTWBExt"/>
        </w:rPr>
        <w:t>&lt;/DocRef&gt;</w:t>
      </w:r>
    </w:p>
    <w:p w14:paraId="259C7534" w14:textId="3463A760" w:rsidR="00363B94" w:rsidRPr="00E41C64" w:rsidRDefault="00363B94">
      <w:pPr>
        <w:pStyle w:val="CoverNormal24a"/>
      </w:pPr>
      <w:r w:rsidRPr="00E41C64">
        <w:rPr>
          <w:rStyle w:val="HideTWBExt"/>
        </w:rPr>
        <w:t>&lt;Commission&gt;</w:t>
      </w:r>
      <w:r w:rsidRPr="00E41C64">
        <w:rPr>
          <w:rStyle w:val="HideTWBInt"/>
        </w:rPr>
        <w:t>{LIBE}</w:t>
      </w:r>
      <w:r w:rsidRPr="00E41C64">
        <w:t>Komisja Wolności Obywatelskich, Sprawiedliwości i Spraw Wewnętrznych</w:t>
      </w:r>
      <w:r w:rsidRPr="00E41C64">
        <w:rPr>
          <w:rStyle w:val="HideTWBExt"/>
        </w:rPr>
        <w:t>&lt;/Commission&gt;</w:t>
      </w:r>
    </w:p>
    <w:p w14:paraId="7E49091B" w14:textId="2DB33038" w:rsidR="00363B94" w:rsidRPr="00E41C64" w:rsidRDefault="006D3D89">
      <w:pPr>
        <w:pStyle w:val="CoverNormal24a"/>
      </w:pPr>
      <w:r w:rsidRPr="00E41C64">
        <w:t xml:space="preserve">Sprawozdawca: </w:t>
      </w:r>
      <w:r w:rsidRPr="00E41C64">
        <w:rPr>
          <w:rStyle w:val="HideTWBExt"/>
        </w:rPr>
        <w:t>&lt;Depute&gt;</w:t>
      </w:r>
      <w:r w:rsidRPr="00E41C64">
        <w:t>Jaroslav Bžoch</w:t>
      </w:r>
      <w:r w:rsidRPr="00E41C64">
        <w:rPr>
          <w:rStyle w:val="HideTWBExt"/>
        </w:rPr>
        <w:t>&lt;/Depute&gt;</w:t>
      </w:r>
    </w:p>
    <w:p w14:paraId="52EF3A02" w14:textId="77777777" w:rsidR="00B42885" w:rsidRPr="00E41C64" w:rsidRDefault="00B42885" w:rsidP="00B42885">
      <w:pPr>
        <w:pStyle w:val="CoverNormal"/>
      </w:pPr>
    </w:p>
    <w:p w14:paraId="6091B35F" w14:textId="02B3407E" w:rsidR="0064013B" w:rsidRPr="00E41C64" w:rsidRDefault="00363B94" w:rsidP="00016E55">
      <w:r w:rsidRPr="00E41C64">
        <w:br w:type="page"/>
      </w:r>
      <w:fldSimple w:instr=" TITLE  \* MERGEFORMAT ">
        <w:r w:rsidR="007D4B19">
          <w:t>PR_NLE-AP_Agreement</w:t>
        </w:r>
      </w:fldSimple>
    </w:p>
    <w:p w14:paraId="509B2D03" w14:textId="77777777" w:rsidR="0064013B" w:rsidRPr="00E41C64" w:rsidRDefault="0064013B" w:rsidP="00016E55"/>
    <w:p w14:paraId="6C1A9C56" w14:textId="77777777" w:rsidR="0064013B" w:rsidRPr="00E41C64" w:rsidRDefault="0064013B"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64013B" w:rsidRPr="00E41C64" w14:paraId="329E98E3" w14:textId="77777777">
        <w:tc>
          <w:tcPr>
            <w:tcW w:w="5811" w:type="dxa"/>
          </w:tcPr>
          <w:p w14:paraId="53EC7DB0" w14:textId="77777777" w:rsidR="0064013B" w:rsidRPr="00E41C64" w:rsidRDefault="0064013B" w:rsidP="00016E55">
            <w:pPr>
              <w:pStyle w:val="Lgendetitre"/>
            </w:pPr>
            <w:r w:rsidRPr="00E41C64">
              <w:t>Objaśnienie używanych znaków</w:t>
            </w:r>
          </w:p>
        </w:tc>
      </w:tr>
      <w:tr w:rsidR="0064013B" w:rsidRPr="00E41C64" w14:paraId="7BB18916" w14:textId="77777777" w:rsidTr="004247A2">
        <w:trPr>
          <w:cantSplit/>
          <w:trHeight w:val="1807"/>
        </w:trPr>
        <w:tc>
          <w:tcPr>
            <w:tcW w:w="5811" w:type="dxa"/>
            <w:tcBorders>
              <w:bottom w:val="single" w:sz="4" w:space="0" w:color="auto"/>
            </w:tcBorders>
          </w:tcPr>
          <w:p w14:paraId="095C0F0A" w14:textId="77777777" w:rsidR="0064013B" w:rsidRPr="00E41C64" w:rsidRDefault="0064013B" w:rsidP="00717061">
            <w:pPr>
              <w:pStyle w:val="Lgendesigne"/>
            </w:pPr>
            <w:r w:rsidRPr="00E41C64">
              <w:tab/>
              <w:t>*</w:t>
            </w:r>
            <w:r w:rsidRPr="00E41C64">
              <w:tab/>
              <w:t>Procedura konsultacji</w:t>
            </w:r>
          </w:p>
          <w:p w14:paraId="2BB9AC8E" w14:textId="77777777" w:rsidR="0064013B" w:rsidRPr="00E41C64" w:rsidRDefault="0064013B" w:rsidP="00717061">
            <w:pPr>
              <w:pStyle w:val="Lgendesigne"/>
            </w:pPr>
            <w:r w:rsidRPr="00E41C64">
              <w:tab/>
              <w:t>***</w:t>
            </w:r>
            <w:r w:rsidRPr="00E41C64">
              <w:tab/>
              <w:t>Procedura zgody</w:t>
            </w:r>
          </w:p>
          <w:p w14:paraId="0D1D86BA" w14:textId="77777777" w:rsidR="0064013B" w:rsidRPr="00E41C64" w:rsidRDefault="0064013B" w:rsidP="00717061">
            <w:pPr>
              <w:pStyle w:val="Lgendesigne"/>
            </w:pPr>
            <w:r w:rsidRPr="00E41C64">
              <w:tab/>
              <w:t>***I</w:t>
            </w:r>
            <w:r w:rsidRPr="00E41C64">
              <w:tab/>
              <w:t>Zwykła procedura ustawodawcza (pierwsze czytanie)</w:t>
            </w:r>
          </w:p>
          <w:p w14:paraId="40C63775" w14:textId="77777777" w:rsidR="0064013B" w:rsidRPr="00E41C64" w:rsidRDefault="0064013B" w:rsidP="00717061">
            <w:pPr>
              <w:pStyle w:val="Lgendesigne"/>
            </w:pPr>
            <w:r w:rsidRPr="00E41C64">
              <w:tab/>
              <w:t>***II</w:t>
            </w:r>
            <w:r w:rsidRPr="00E41C64">
              <w:tab/>
              <w:t>Zwykła procedura ustawodawcza (drugie czytanie)</w:t>
            </w:r>
          </w:p>
          <w:p w14:paraId="0F4A4B97" w14:textId="77777777" w:rsidR="0064013B" w:rsidRPr="00E41C64" w:rsidRDefault="0064013B" w:rsidP="00717061">
            <w:pPr>
              <w:pStyle w:val="Lgendesigne"/>
            </w:pPr>
            <w:r w:rsidRPr="00E41C64">
              <w:tab/>
              <w:t>***III</w:t>
            </w:r>
            <w:r w:rsidRPr="00E41C64">
              <w:tab/>
              <w:t>Zwykła procedura ustawodawcza (trzecie czytanie)</w:t>
            </w:r>
          </w:p>
          <w:p w14:paraId="3042894B" w14:textId="77777777" w:rsidR="0064013B" w:rsidRPr="00E41C64" w:rsidRDefault="0064013B" w:rsidP="00717061">
            <w:pPr>
              <w:pStyle w:val="Lgendestandard"/>
            </w:pPr>
          </w:p>
          <w:p w14:paraId="0399C6E2" w14:textId="77777777" w:rsidR="0064013B" w:rsidRPr="00E41C64" w:rsidRDefault="0064013B" w:rsidP="00717061">
            <w:pPr>
              <w:pStyle w:val="Lgendestandard"/>
            </w:pPr>
            <w:r w:rsidRPr="00E41C64">
              <w:t>(Wskazana procedura opiera się na podstawie prawnej zaproponowanej w projekcie aktu.)</w:t>
            </w:r>
          </w:p>
          <w:p w14:paraId="3D6F8E44" w14:textId="77777777" w:rsidR="0064013B" w:rsidRPr="00E41C64" w:rsidRDefault="0064013B" w:rsidP="00B837B7">
            <w:pPr>
              <w:pStyle w:val="Lgendestandard"/>
            </w:pPr>
          </w:p>
        </w:tc>
      </w:tr>
    </w:tbl>
    <w:p w14:paraId="64E50EA5" w14:textId="77777777" w:rsidR="0064013B" w:rsidRPr="00E41C64" w:rsidRDefault="0064013B" w:rsidP="00016E55"/>
    <w:p w14:paraId="3E913977" w14:textId="426FC14F" w:rsidR="00363B94" w:rsidRPr="00E41C64" w:rsidRDefault="00363B94" w:rsidP="00613F2E">
      <w:pPr>
        <w:widowControl/>
        <w:tabs>
          <w:tab w:val="center" w:pos="4677"/>
        </w:tabs>
      </w:pPr>
    </w:p>
    <w:p w14:paraId="645662CB" w14:textId="77777777" w:rsidR="00363B94" w:rsidRPr="00E41C64" w:rsidRDefault="00363B94">
      <w:pPr>
        <w:pStyle w:val="TOCHeading"/>
      </w:pPr>
      <w:r w:rsidRPr="00E41C64">
        <w:br w:type="page"/>
      </w:r>
      <w:r w:rsidRPr="00E41C64">
        <w:lastRenderedPageBreak/>
        <w:t>SPIS STREŚCI</w:t>
      </w:r>
    </w:p>
    <w:p w14:paraId="6118FA68" w14:textId="77777777" w:rsidR="00363B94" w:rsidRPr="00E41C64" w:rsidRDefault="006D3D89">
      <w:pPr>
        <w:pStyle w:val="TOCPage"/>
      </w:pPr>
      <w:r w:rsidRPr="00E41C64">
        <w:t>Strona</w:t>
      </w:r>
    </w:p>
    <w:p w14:paraId="31C9DB7C" w14:textId="58AE00D0" w:rsidR="007D4B19" w:rsidRDefault="00EF48F2">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E41C64">
        <w:fldChar w:fldCharType="begin"/>
      </w:r>
      <w:r w:rsidRPr="00E41C64">
        <w:instrText xml:space="preserve"> TOC \t "PageHeading</w:instrText>
      </w:r>
      <w:r w:rsidR="00E82F4E" w:rsidRPr="00E41C64">
        <w:instrText>;</w:instrText>
      </w:r>
      <w:r w:rsidRPr="00E41C64">
        <w:instrText xml:space="preserve">1" </w:instrText>
      </w:r>
      <w:r w:rsidRPr="00E41C64">
        <w:fldChar w:fldCharType="separate"/>
      </w:r>
      <w:r w:rsidR="007D4B19">
        <w:rPr>
          <w:noProof/>
        </w:rPr>
        <w:t>PROJEKT REZOLUCJI USTAWODAWCZEJ PARLAMENTU EUROPEJSKIEGO</w:t>
      </w:r>
      <w:r w:rsidR="007D4B19">
        <w:rPr>
          <w:noProof/>
        </w:rPr>
        <w:tab/>
      </w:r>
      <w:r w:rsidR="007D4B19">
        <w:rPr>
          <w:noProof/>
        </w:rPr>
        <w:fldChar w:fldCharType="begin"/>
      </w:r>
      <w:r w:rsidR="007D4B19">
        <w:rPr>
          <w:noProof/>
        </w:rPr>
        <w:instrText xml:space="preserve"> PAGEREF _Toc222475592 \h </w:instrText>
      </w:r>
      <w:r w:rsidR="007D4B19">
        <w:rPr>
          <w:noProof/>
        </w:rPr>
      </w:r>
      <w:r w:rsidR="007D4B19">
        <w:rPr>
          <w:noProof/>
        </w:rPr>
        <w:fldChar w:fldCharType="separate"/>
      </w:r>
      <w:r w:rsidR="007D4B19">
        <w:rPr>
          <w:noProof/>
        </w:rPr>
        <w:t>5</w:t>
      </w:r>
      <w:r w:rsidR="007D4B19">
        <w:rPr>
          <w:noProof/>
        </w:rPr>
        <w:fldChar w:fldCharType="end"/>
      </w:r>
    </w:p>
    <w:p w14:paraId="27F5E995" w14:textId="1CEB6A43" w:rsidR="007D4B19" w:rsidRDefault="007D4B1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UZASADNIENIE</w:t>
      </w:r>
      <w:r>
        <w:rPr>
          <w:noProof/>
        </w:rPr>
        <w:tab/>
      </w:r>
      <w:r>
        <w:rPr>
          <w:noProof/>
        </w:rPr>
        <w:fldChar w:fldCharType="begin"/>
      </w:r>
      <w:r>
        <w:rPr>
          <w:noProof/>
        </w:rPr>
        <w:instrText xml:space="preserve"> PAGEREF _Toc222475593 \h </w:instrText>
      </w:r>
      <w:r>
        <w:rPr>
          <w:noProof/>
        </w:rPr>
      </w:r>
      <w:r>
        <w:rPr>
          <w:noProof/>
        </w:rPr>
        <w:fldChar w:fldCharType="separate"/>
      </w:r>
      <w:r>
        <w:rPr>
          <w:noProof/>
        </w:rPr>
        <w:t>6</w:t>
      </w:r>
      <w:r>
        <w:rPr>
          <w:noProof/>
        </w:rPr>
        <w:fldChar w:fldCharType="end"/>
      </w:r>
    </w:p>
    <w:p w14:paraId="200EC230" w14:textId="6A054D10" w:rsidR="007D4B19" w:rsidRDefault="007D4B1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ZAŁĄCZNIK: WYKAZ PODMIOTÓW, OD KTÓRYCH SPRAWOZDAWCA OTRZYMAŁ INFORMACJE</w:t>
      </w:r>
      <w:r>
        <w:rPr>
          <w:noProof/>
        </w:rPr>
        <w:tab/>
      </w:r>
      <w:r>
        <w:rPr>
          <w:noProof/>
        </w:rPr>
        <w:fldChar w:fldCharType="begin"/>
      </w:r>
      <w:r>
        <w:rPr>
          <w:noProof/>
        </w:rPr>
        <w:instrText xml:space="preserve"> PAGEREF _Toc222475594 \h </w:instrText>
      </w:r>
      <w:r>
        <w:rPr>
          <w:noProof/>
        </w:rPr>
      </w:r>
      <w:r>
        <w:rPr>
          <w:noProof/>
        </w:rPr>
        <w:fldChar w:fldCharType="separate"/>
      </w:r>
      <w:r>
        <w:rPr>
          <w:noProof/>
        </w:rPr>
        <w:t>7</w:t>
      </w:r>
      <w:r>
        <w:rPr>
          <w:noProof/>
        </w:rPr>
        <w:fldChar w:fldCharType="end"/>
      </w:r>
    </w:p>
    <w:p w14:paraId="64CFEC81" w14:textId="713C62BB" w:rsidR="004E1650" w:rsidRPr="00E41C64" w:rsidRDefault="00EF48F2" w:rsidP="00F04010">
      <w:r w:rsidRPr="00E41C64">
        <w:fldChar w:fldCharType="end"/>
      </w:r>
    </w:p>
    <w:p w14:paraId="17B0F21F" w14:textId="77777777" w:rsidR="00363B94" w:rsidRPr="00E41C64" w:rsidRDefault="00363B94" w:rsidP="0006167F">
      <w:pPr>
        <w:pStyle w:val="PageHeading"/>
      </w:pPr>
      <w:r w:rsidRPr="00E41C64">
        <w:br w:type="page"/>
      </w:r>
      <w:r w:rsidRPr="00E41C64">
        <w:br w:type="page"/>
      </w:r>
      <w:bookmarkStart w:id="1" w:name="_Toc222475592"/>
      <w:r w:rsidRPr="00E41C64">
        <w:t>PROJEKT REZOLUCJI USTAWODAWCZEJ PARLAMENTU EUROPEJSKIEGO</w:t>
      </w:r>
      <w:bookmarkEnd w:id="1"/>
    </w:p>
    <w:p w14:paraId="7A456042" w14:textId="01826A74" w:rsidR="00363B94" w:rsidRPr="00E41C64" w:rsidRDefault="006D3D89">
      <w:pPr>
        <w:pStyle w:val="NormalBold"/>
      </w:pPr>
      <w:r w:rsidRPr="00E41C64">
        <w:t>w sprawie projektu decyzji Rady w sprawie zawarcia, w imieniu Unii, Umowy między Unią Europejską a Islandią o przekazywaniu danych dotyczących przelotu pasażera (danych PNR) w celu zapobiegania przestępstwom terrorystycznym i poważnej przestępczości, ich wykrywania, prowadzenia postępowań przygotowawczych w ich sprawie i ich ścigania</w:t>
      </w:r>
    </w:p>
    <w:p w14:paraId="528AAB60" w14:textId="4E6F59E6" w:rsidR="00363B94" w:rsidRPr="00E41C64" w:rsidRDefault="006D3D89">
      <w:pPr>
        <w:pStyle w:val="NormalBold12a"/>
      </w:pPr>
      <w:r w:rsidRPr="00E41C64">
        <w:t>(11283/2025 – C10</w:t>
      </w:r>
      <w:r w:rsidRPr="00E41C64">
        <w:noBreakHyphen/>
        <w:t>0278/2025 – 2025/0156(NLE))</w:t>
      </w:r>
    </w:p>
    <w:p w14:paraId="2CDD7531" w14:textId="77777777" w:rsidR="00363B94" w:rsidRPr="00E41C64" w:rsidRDefault="006D3D89" w:rsidP="00893FBD">
      <w:pPr>
        <w:pStyle w:val="NormalBold"/>
      </w:pPr>
      <w:r w:rsidRPr="00E41C64">
        <w:t>(Zgoda)</w:t>
      </w:r>
    </w:p>
    <w:p w14:paraId="46E5A12E" w14:textId="77777777" w:rsidR="00363B94" w:rsidRPr="00E41C64" w:rsidRDefault="006D3D89">
      <w:pPr>
        <w:pStyle w:val="EPComma"/>
      </w:pPr>
      <w:r w:rsidRPr="00E41C64">
        <w:rPr>
          <w:i/>
        </w:rPr>
        <w:t>Parlament Europejski</w:t>
      </w:r>
      <w:r w:rsidRPr="00E41C64">
        <w:t>,</w:t>
      </w:r>
    </w:p>
    <w:p w14:paraId="72654D61" w14:textId="033A8FD4" w:rsidR="00BF7F55" w:rsidRPr="00E41C64" w:rsidRDefault="00BF7F55" w:rsidP="00BF7F55">
      <w:pPr>
        <w:pStyle w:val="NormalHanging12a"/>
      </w:pPr>
      <w:r w:rsidRPr="00E41C64">
        <w:t>–</w:t>
      </w:r>
      <w:r w:rsidRPr="00E41C64">
        <w:tab/>
        <w:t>uwzględniając projekt decyzji Rady (11283/2025),</w:t>
      </w:r>
    </w:p>
    <w:p w14:paraId="3356831E" w14:textId="36B831C8" w:rsidR="00363B94" w:rsidRPr="00E41C64" w:rsidRDefault="00363B94">
      <w:pPr>
        <w:pStyle w:val="NormalHanging12a"/>
      </w:pPr>
      <w:r w:rsidRPr="00E41C64">
        <w:t>–</w:t>
      </w:r>
      <w:r w:rsidRPr="00E41C64">
        <w:tab/>
        <w:t>uwzględniając Umowę między Unią Europejską a Islandią o przekazywaniu danych dotyczących przelotu pasażera (danych PNR) w celu zapobiegania przestępstwom terrorystycznym i poważnej przestępczości, ich wykrywania, prowadzenia postępowań przygotowawczych w ich sprawie i ich ścigania (11284/2025),</w:t>
      </w:r>
    </w:p>
    <w:p w14:paraId="18F0D990" w14:textId="535AA02B" w:rsidR="00363B94" w:rsidRPr="00E41C64" w:rsidRDefault="005F5D6C">
      <w:pPr>
        <w:pStyle w:val="NormalHanging12a"/>
      </w:pPr>
      <w:r w:rsidRPr="00E41C64">
        <w:t>–</w:t>
      </w:r>
      <w:r w:rsidRPr="00E41C64">
        <w:tab/>
        <w:t>uwzględniając wniosek o wyrażenie zgody przedstawiony przez Radę na podstawie art. 16 ust. 2, art. 87 ust. 2 lit. a) i art. 218 ust. 6 akapit drugi lit. a) Traktatu o funkcjonowaniu Unii Europejskiej (C10</w:t>
      </w:r>
      <w:r w:rsidRPr="00E41C64">
        <w:noBreakHyphen/>
        <w:t>0278/2025),</w:t>
      </w:r>
    </w:p>
    <w:p w14:paraId="0BF7C091" w14:textId="77777777" w:rsidR="00363B94" w:rsidRPr="00E41C64" w:rsidRDefault="00363B94">
      <w:pPr>
        <w:pStyle w:val="NormalHanging12a"/>
      </w:pPr>
      <w:r w:rsidRPr="00E41C64">
        <w:t>–</w:t>
      </w:r>
      <w:r w:rsidRPr="00E41C64">
        <w:tab/>
        <w:t>uwzględniając art. 107 ust. 1 i 4 oraz art. 117 ust. 7 Regulaminu,</w:t>
      </w:r>
    </w:p>
    <w:p w14:paraId="408A9109" w14:textId="3EA8FB13" w:rsidR="00363B94" w:rsidRPr="00E41C64" w:rsidRDefault="00363B94">
      <w:pPr>
        <w:pStyle w:val="NormalHanging12a"/>
      </w:pPr>
      <w:r w:rsidRPr="00E41C64">
        <w:t>–</w:t>
      </w:r>
      <w:r w:rsidRPr="00E41C64">
        <w:tab/>
        <w:t>uwzględniając zalecenie Komisji Wolności Obywatelskich, Sprawiedliwości i Spraw Wewnętrznych (A10</w:t>
      </w:r>
      <w:r w:rsidRPr="00E41C64">
        <w:noBreakHyphen/>
        <w:t>0000/2026),</w:t>
      </w:r>
    </w:p>
    <w:p w14:paraId="1EEAEF65" w14:textId="7A9C76A2" w:rsidR="00363B94" w:rsidRPr="00E41C64" w:rsidRDefault="00363B94">
      <w:pPr>
        <w:pStyle w:val="NormalHanging12a"/>
      </w:pPr>
      <w:r w:rsidRPr="00E41C64">
        <w:t>1.</w:t>
      </w:r>
      <w:r w:rsidRPr="00E41C64">
        <w:tab/>
        <w:t>wyraża zgodę na zawarcie umowy;</w:t>
      </w:r>
    </w:p>
    <w:p w14:paraId="35EEC976" w14:textId="6AB7B34B" w:rsidR="001D02E3" w:rsidRPr="00E41C64" w:rsidRDefault="001D02E3">
      <w:pPr>
        <w:pStyle w:val="NormalHanging12a"/>
      </w:pPr>
      <w:r w:rsidRPr="00E41C64">
        <w:t>2.</w:t>
      </w:r>
      <w:r w:rsidRPr="00E41C64">
        <w:tab/>
        <w:t>zobowiązuje swoją przewodniczącą do przekazania stanowiska Parlamentu Radzie i Komisji, jak również rządom i parlamentom państw członkowskich oraz Islandii.</w:t>
      </w:r>
    </w:p>
    <w:p w14:paraId="036F3AFA" w14:textId="77777777" w:rsidR="00810D7A" w:rsidRPr="00E41C64" w:rsidRDefault="00810D7A" w:rsidP="00822206">
      <w:pPr>
        <w:sectPr w:rsidR="00810D7A" w:rsidRPr="00E41C64" w:rsidSect="00E41C6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17BD6584" w14:textId="770FFE68" w:rsidR="00363B94" w:rsidRPr="00E41C64" w:rsidRDefault="00810D7A" w:rsidP="00810D7A">
      <w:pPr>
        <w:pStyle w:val="PageHeading"/>
      </w:pPr>
      <w:bookmarkStart w:id="2" w:name="_Toc222475593"/>
      <w:r w:rsidRPr="00E41C64">
        <w:t>UZASADNIENIE</w:t>
      </w:r>
      <w:bookmarkEnd w:id="2"/>
    </w:p>
    <w:p w14:paraId="4793FB19" w14:textId="036602CA" w:rsidR="00810D7A" w:rsidRPr="00E41C64" w:rsidRDefault="00810D7A" w:rsidP="00810D7A">
      <w:r w:rsidRPr="00E41C64">
        <w:t xml:space="preserve">Zawarcie Umowy między Unią Europejską a Islandią o przekazywaniu danych dotyczących przelotu pasażera (danych PNR) w celu zapobiegania przestępstwom terrorystycznym i poważnej przestępczości, ich wykrywania, prowadzenia postępowań przygotowawczych w ich sprawie i ich ścigania stanowi ważny krok w kierunku wzmocnienia współpracy międzynarodowej w walce z terroryzmem i poważną przestępczością międzynarodową. </w:t>
      </w:r>
    </w:p>
    <w:p w14:paraId="55255CD5" w14:textId="77777777" w:rsidR="00810D7A" w:rsidRPr="00E41C64" w:rsidRDefault="00810D7A" w:rsidP="00810D7A"/>
    <w:p w14:paraId="1314BEC8" w14:textId="7B85C00B" w:rsidR="00810D7A" w:rsidRPr="00E41C64" w:rsidRDefault="00810D7A" w:rsidP="00810D7A">
      <w:r w:rsidRPr="00E41C64">
        <w:t>Umowa z Islandią w sprawie danych PNR umożliwi przekazywanie organom krajowym danych pasażerów gromadzonych przez linie lotnicze do celów bezpieczeństwa. Jest to ważne, gdyż dzięki tym informacjom organy mogą uzyskać istotne elementy danych umożliwiające im wykrywanie podejrzanych wzorców podróżowania i identyfikację osób, które mają powiązania z przestępcami i terrorystami, w szczególności tych, które wcześniej nie były znane organom ścigania. Pozwoli to nie tylko wykrywać terroryzm i inne formy poważnej przestępczości, takie jak przestępstwa związane z narkotykami, handel ludźmi i wykorzystywanie seksualne dzieci, ale także pomoże zapobiegać popełnianiu takich przestępstw. Przetwarzanie danych PNR okazało się skutecznym narzędziem wzmacniania bezpieczeństwa strefy Schengen, ponieważ przyczynia się do wykrywania przestępstw na granicach zewnętrznych i umożliwia państwom członkowskim stosowanie w strefie Schengen podejścia opartego na analizie ryzyka i danych.</w:t>
      </w:r>
    </w:p>
    <w:p w14:paraId="2F752C26" w14:textId="77777777" w:rsidR="00810D7A" w:rsidRPr="00E41C64" w:rsidRDefault="00810D7A" w:rsidP="00810D7A"/>
    <w:p w14:paraId="1DE7CA30" w14:textId="71ED1616" w:rsidR="00810D7A" w:rsidRPr="00E41C64" w:rsidRDefault="00810D7A" w:rsidP="00810D7A">
      <w:r w:rsidRPr="00E41C64">
        <w:t xml:space="preserve">Warto podkreślić, że umowa odzwierciedla staranną równowagę między potrzebami w zakresie bezpieczeństwa a ochroną prywatności osób fizycznych. Określono w niej jasne zasady przetwarzania, przechowywania, wykorzystywania i zatrzymywania danych PNR. Wprowadzono ścisłe zabezpieczenia w celu zapewnienia, aby dane były wykorzystywane wyłącznie do określonych celów, zatrzymywane jedynie przez ograniczony czas i chronione przed niewłaściwym wykorzystaniem lub nieuprawnionym dostępem. Mechanizmy nadzoru i prawa do dochodzenia roszczeń przez osoby fizyczne dodatkowo zwiększają przejrzystość i rozliczalność. Potwierdził to Europejski Inspektor Ochrony Danych, który wydał pozytywną opinię, stwierdzając, że umowa zawiera niezbędne zabezpieczenia wymagane do zapewnienia jej zgodności z ramami prawnymi UE w zakresie ochrony danych. </w:t>
      </w:r>
    </w:p>
    <w:p w14:paraId="49BA99B8" w14:textId="77777777" w:rsidR="00810D7A" w:rsidRPr="00E41C64" w:rsidRDefault="00810D7A" w:rsidP="00810D7A"/>
    <w:p w14:paraId="60444A82" w14:textId="3D2B85D9" w:rsidR="00810D7A" w:rsidRPr="00E41C64" w:rsidRDefault="00810D7A" w:rsidP="00810D7A">
      <w:r w:rsidRPr="00E41C64">
        <w:t>Podsumowując, umowa w sprawie danych PNR z Islandią świadczy o wspólnym uznaniu, że współczesne wyzwania w zakresie bezpieczeństwa wymagają skoordynowanych, transgranicznych rozwiązań. Dzięki połączeniu usprawnionej wymiany informacji z solidnymi gwarancjami ochrony danych umowa przyczynia się do zwiększenia bezpieczeństwa podróży międzynarodowych przy jednoczesnym utrzymaniu praworządności i praw podstawowych.</w:t>
      </w:r>
    </w:p>
    <w:p w14:paraId="43D744F5" w14:textId="77777777" w:rsidR="00810D7A" w:rsidRPr="00E41C64" w:rsidRDefault="00810D7A" w:rsidP="00810D7A"/>
    <w:p w14:paraId="033B723A" w14:textId="16A7F10D" w:rsidR="00810D7A" w:rsidRPr="00E41C64" w:rsidRDefault="00810D7A" w:rsidP="00810D7A">
      <w:r w:rsidRPr="00E41C64">
        <w:t>Zacieśnienie współpracy międzynarodowej w zakresie egzekwowania prawa, w szczególności poprzez skuteczną i terminową wymianę informacji, ma kluczowe znaczenie dla reagowania na złożone i zmieniające się zagrożenia stwarzane przez terroryzm i poważną przestępczość międzynarodową, a tym samym dla zwiększenia bezpieczeństwa i ochrony naszych obywateli. Dlatego ważne jest, aby Parlament Europejski wyraził zgodę na zawarcie tej umowy przez Radę.</w:t>
      </w:r>
    </w:p>
    <w:p w14:paraId="33567D54" w14:textId="77777777" w:rsidR="00810D7A" w:rsidRPr="00E41C64" w:rsidRDefault="00810D7A" w:rsidP="00810D7A"/>
    <w:p w14:paraId="450609A7" w14:textId="77777777" w:rsidR="00810D7A" w:rsidRPr="00E41C64" w:rsidRDefault="00810D7A" w:rsidP="00810D7A">
      <w:pPr>
        <w:sectPr w:rsidR="00810D7A" w:rsidRPr="00E41C64" w:rsidSect="00810D7A">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1EABA9E" w14:textId="3A43FC4C" w:rsidR="00810D7A" w:rsidRPr="00E41C64" w:rsidRDefault="00810D7A" w:rsidP="00810D7A">
      <w:pPr>
        <w:pStyle w:val="PageHeading"/>
      </w:pPr>
      <w:bookmarkStart w:id="3" w:name="_Toc222475594"/>
      <w:r w:rsidRPr="00E41C64">
        <w:t xml:space="preserve">ZAŁĄCZNIK: </w:t>
      </w:r>
      <w:bookmarkStart w:id="4" w:name="iEnd"/>
      <w:bookmarkEnd w:id="4"/>
      <w:r w:rsidRPr="00E41C64">
        <w:t>WYKAZ PODMIOTÓW, OD KTÓRYCH SPRAWOZDAWCA OTRZYMAŁ INFORMACJE</w:t>
      </w:r>
      <w:bookmarkEnd w:id="3"/>
    </w:p>
    <w:p w14:paraId="040BADA7" w14:textId="3956EFAA" w:rsidR="00810D7A" w:rsidRPr="00E41C64" w:rsidRDefault="00810D7A" w:rsidP="00810D7A">
      <w:r w:rsidRPr="00E41C64">
        <w:t>Sprawozdawca oświadcza na swoją wyłączną odpowiedzialność, że nie ujął w swoim sprawozdaniu żadnych informacji od przedstawicieli grup interesu objętych zakresem porozumienia międzyinstytucjonalnego w sprawie obowiązkowego rejestru służącego przejrzystości</w:t>
      </w:r>
      <w:r w:rsidRPr="00E41C64">
        <w:rPr>
          <w:rStyle w:val="FootnoteReference"/>
        </w:rPr>
        <w:footnoteReference w:id="1"/>
      </w:r>
      <w:r w:rsidRPr="00E41C64">
        <w:t xml:space="preserve"> ani od przedstawicieli organów publicznych państw trzecich, w tym ich misji dyplomatycznych i ambasad, których należy wskazać w tym załączniku zgodnie z art. 8 załącznika I do Regulaminu.</w:t>
      </w:r>
    </w:p>
    <w:p w14:paraId="09E777C0" w14:textId="77777777" w:rsidR="00810D7A" w:rsidRPr="00E41C64" w:rsidRDefault="00810D7A" w:rsidP="00810D7A"/>
    <w:p w14:paraId="748D5D82" w14:textId="77777777" w:rsidR="00810D7A" w:rsidRPr="00E41C64" w:rsidRDefault="00810D7A" w:rsidP="00810D7A"/>
    <w:sectPr w:rsidR="00810D7A" w:rsidRPr="00E41C64" w:rsidSect="00810D7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EA7C30" w14:textId="77777777" w:rsidR="006D3D89" w:rsidRPr="00E41C64" w:rsidRDefault="006D3D89">
      <w:r w:rsidRPr="00E41C64">
        <w:separator/>
      </w:r>
    </w:p>
  </w:endnote>
  <w:endnote w:type="continuationSeparator" w:id="0">
    <w:p w14:paraId="5F585416" w14:textId="77777777" w:rsidR="006D3D89" w:rsidRPr="00E41C64" w:rsidRDefault="006D3D89">
      <w:r w:rsidRPr="00E41C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901DB" w14:textId="77777777" w:rsidR="00E41C64" w:rsidRPr="00E41C64" w:rsidRDefault="00E41C64" w:rsidP="00E41C64">
    <w:pPr>
      <w:pStyle w:val="EPFooter"/>
    </w:pPr>
    <w:r w:rsidRPr="00E41C64">
      <w:t>PE</w:t>
    </w:r>
    <w:r w:rsidRPr="00E41C64">
      <w:rPr>
        <w:rStyle w:val="HideTWBExt"/>
      </w:rPr>
      <w:t>&lt;NoPE&gt;</w:t>
    </w:r>
    <w:r w:rsidRPr="00E41C64">
      <w:t>784.412</w:t>
    </w:r>
    <w:r w:rsidRPr="00E41C64">
      <w:rPr>
        <w:rStyle w:val="HideTWBExt"/>
      </w:rPr>
      <w:t>&lt;/NoPE&gt;&lt;Version&gt;</w:t>
    </w:r>
    <w:r w:rsidRPr="00E41C64">
      <w:t>v01-00</w:t>
    </w:r>
    <w:r w:rsidRPr="00E41C64">
      <w:rPr>
        <w:rStyle w:val="HideTWBExt"/>
      </w:rPr>
      <w:t>&lt;/Version&gt;</w:t>
    </w:r>
    <w:r w:rsidRPr="00E41C64">
      <w:tab/>
    </w:r>
    <w:r w:rsidRPr="00E41C64">
      <w:fldChar w:fldCharType="begin"/>
    </w:r>
    <w:r w:rsidRPr="00E41C64">
      <w:instrText xml:space="preserve"> PAGE  \* MERGEFORMAT </w:instrText>
    </w:r>
    <w:r w:rsidRPr="00E41C64">
      <w:fldChar w:fldCharType="separate"/>
    </w:r>
    <w:r w:rsidRPr="00E41C64">
      <w:rPr>
        <w:noProof/>
      </w:rPr>
      <w:t>2</w:t>
    </w:r>
    <w:r w:rsidRPr="00E41C64">
      <w:fldChar w:fldCharType="end"/>
    </w:r>
    <w:r w:rsidRPr="00E41C64">
      <w:t>/</w:t>
    </w:r>
    <w:fldSimple w:instr=" NUMPAGES  \* MERGEFORMAT ">
      <w:r w:rsidRPr="00E41C64">
        <w:rPr>
          <w:noProof/>
        </w:rPr>
        <w:t>7</w:t>
      </w:r>
    </w:fldSimple>
    <w:r w:rsidRPr="00E41C64">
      <w:tab/>
    </w:r>
    <w:r w:rsidRPr="00E41C64">
      <w:rPr>
        <w:rStyle w:val="HideTWBExt"/>
      </w:rPr>
      <w:t>&lt;PathFdR&gt;</w:t>
    </w:r>
    <w:r w:rsidRPr="00E41C64">
      <w:t>PR\1337453PL.docx</w:t>
    </w:r>
    <w:r w:rsidRPr="00E41C64">
      <w:rPr>
        <w:rStyle w:val="HideTWBExt"/>
      </w:rPr>
      <w:t>&lt;/PathFdR&gt;</w:t>
    </w:r>
  </w:p>
  <w:p w14:paraId="22285255" w14:textId="0BAB551F" w:rsidR="0085501C" w:rsidRPr="00E41C64" w:rsidRDefault="00E41C64" w:rsidP="00E41C64">
    <w:pPr>
      <w:pStyle w:val="EPFooter2"/>
    </w:pPr>
    <w:r w:rsidRPr="00E41C64">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9CB01" w14:textId="77777777" w:rsidR="00E41C64" w:rsidRPr="00E41C64" w:rsidRDefault="00E41C64" w:rsidP="00E41C64">
    <w:pPr>
      <w:pStyle w:val="EPFooter"/>
    </w:pPr>
    <w:r w:rsidRPr="00E41C64">
      <w:rPr>
        <w:rStyle w:val="HideTWBExt"/>
      </w:rPr>
      <w:t>&lt;PathFdR&gt;</w:t>
    </w:r>
    <w:r w:rsidRPr="00E41C64">
      <w:t>PR\1337453PL.docx</w:t>
    </w:r>
    <w:r w:rsidRPr="00E41C64">
      <w:rPr>
        <w:rStyle w:val="HideTWBExt"/>
      </w:rPr>
      <w:t>&lt;/PathFdR&gt;</w:t>
    </w:r>
    <w:r w:rsidRPr="00E41C64">
      <w:tab/>
    </w:r>
    <w:r w:rsidRPr="00E41C64">
      <w:fldChar w:fldCharType="begin"/>
    </w:r>
    <w:r w:rsidRPr="00E41C64">
      <w:instrText xml:space="preserve"> PAGE  \* MERGEFORMAT </w:instrText>
    </w:r>
    <w:r w:rsidRPr="00E41C64">
      <w:fldChar w:fldCharType="separate"/>
    </w:r>
    <w:r w:rsidRPr="00E41C64">
      <w:rPr>
        <w:noProof/>
      </w:rPr>
      <w:t>7</w:t>
    </w:r>
    <w:r w:rsidRPr="00E41C64">
      <w:fldChar w:fldCharType="end"/>
    </w:r>
    <w:r w:rsidRPr="00E41C64">
      <w:t>/</w:t>
    </w:r>
    <w:fldSimple w:instr=" NUMPAGES  \* MERGEFORMAT ">
      <w:r w:rsidRPr="00E41C64">
        <w:rPr>
          <w:noProof/>
        </w:rPr>
        <w:t>7</w:t>
      </w:r>
    </w:fldSimple>
    <w:r w:rsidRPr="00E41C64">
      <w:tab/>
      <w:t>PE</w:t>
    </w:r>
    <w:r w:rsidRPr="00E41C64">
      <w:rPr>
        <w:rStyle w:val="HideTWBExt"/>
      </w:rPr>
      <w:t>&lt;NoPE&gt;</w:t>
    </w:r>
    <w:r w:rsidRPr="00E41C64">
      <w:t>784.412</w:t>
    </w:r>
    <w:r w:rsidRPr="00E41C64">
      <w:rPr>
        <w:rStyle w:val="HideTWBExt"/>
      </w:rPr>
      <w:t>&lt;/NoPE&gt;&lt;Version&gt;</w:t>
    </w:r>
    <w:r w:rsidRPr="00E41C64">
      <w:t>v01-00</w:t>
    </w:r>
    <w:r w:rsidRPr="00E41C64">
      <w:rPr>
        <w:rStyle w:val="HideTWBExt"/>
      </w:rPr>
      <w:t>&lt;/Version&gt;</w:t>
    </w:r>
  </w:p>
  <w:p w14:paraId="39F11575" w14:textId="3A7C7FBF" w:rsidR="0085501C" w:rsidRPr="00E41C64" w:rsidRDefault="00E41C64" w:rsidP="00E41C64">
    <w:pPr>
      <w:pStyle w:val="EPFooter2"/>
    </w:pPr>
    <w:r w:rsidRPr="00E41C64">
      <w:tab/>
    </w:r>
    <w:r w:rsidRPr="00E41C64">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2D1A2" w14:textId="77777777" w:rsidR="00E41C64" w:rsidRPr="00E41C64" w:rsidRDefault="00E41C64" w:rsidP="00E41C64">
    <w:pPr>
      <w:pStyle w:val="EPFooter"/>
    </w:pPr>
    <w:r w:rsidRPr="00E41C64">
      <w:rPr>
        <w:rStyle w:val="HideTWBExt"/>
      </w:rPr>
      <w:t>&lt;PathFdR&gt;</w:t>
    </w:r>
    <w:r w:rsidRPr="00E41C64">
      <w:t>PR\1337453PL.docx</w:t>
    </w:r>
    <w:r w:rsidRPr="00E41C64">
      <w:rPr>
        <w:rStyle w:val="HideTWBExt"/>
      </w:rPr>
      <w:t>&lt;/PathFdR&gt;</w:t>
    </w:r>
    <w:r w:rsidRPr="00E41C64">
      <w:tab/>
    </w:r>
    <w:r w:rsidRPr="00E41C64">
      <w:tab/>
      <w:t>PE</w:t>
    </w:r>
    <w:r w:rsidRPr="00E41C64">
      <w:rPr>
        <w:rStyle w:val="HideTWBExt"/>
      </w:rPr>
      <w:t>&lt;NoPE&gt;</w:t>
    </w:r>
    <w:r w:rsidRPr="00E41C64">
      <w:t>784.412</w:t>
    </w:r>
    <w:r w:rsidRPr="00E41C64">
      <w:rPr>
        <w:rStyle w:val="HideTWBExt"/>
      </w:rPr>
      <w:t>&lt;/NoPE&gt;&lt;Version&gt;</w:t>
    </w:r>
    <w:r w:rsidRPr="00E41C64">
      <w:t>v01-00</w:t>
    </w:r>
    <w:r w:rsidRPr="00E41C64">
      <w:rPr>
        <w:rStyle w:val="HideTWBExt"/>
      </w:rPr>
      <w:t>&lt;/Version&gt;</w:t>
    </w:r>
  </w:p>
  <w:p w14:paraId="7731486F" w14:textId="267AFC1E" w:rsidR="0085501C" w:rsidRPr="00E41C64" w:rsidRDefault="00E41C64" w:rsidP="00E41C64">
    <w:pPr>
      <w:pStyle w:val="EPFooter2"/>
    </w:pPr>
    <w:r w:rsidRPr="00E41C64">
      <w:t>PL</w:t>
    </w:r>
    <w:r w:rsidRPr="00E41C64">
      <w:tab/>
    </w:r>
    <w:r w:rsidRPr="00E41C64">
      <w:rPr>
        <w:b w:val="0"/>
        <w:i/>
        <w:color w:val="C0C0C0"/>
        <w:sz w:val="22"/>
      </w:rPr>
      <w:t>Zjednoczona w różnorodności</w:t>
    </w:r>
    <w:r w:rsidRPr="00E41C64">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509ADE" w14:textId="77777777" w:rsidR="006D3D89" w:rsidRPr="00E41C64" w:rsidRDefault="006D3D89">
      <w:r w:rsidRPr="00E41C64">
        <w:separator/>
      </w:r>
    </w:p>
  </w:footnote>
  <w:footnote w:type="continuationSeparator" w:id="0">
    <w:p w14:paraId="60A6C9C5" w14:textId="77777777" w:rsidR="006D3D89" w:rsidRPr="00E41C64" w:rsidRDefault="006D3D89">
      <w:r w:rsidRPr="00E41C64">
        <w:continuationSeparator/>
      </w:r>
    </w:p>
  </w:footnote>
  <w:footnote w:id="1">
    <w:p w14:paraId="5085FCCD" w14:textId="79265F8C" w:rsidR="00810D7A" w:rsidRPr="00E41C64" w:rsidRDefault="00810D7A">
      <w:pPr>
        <w:pStyle w:val="FootnoteText"/>
      </w:pPr>
      <w:r w:rsidRPr="00E41C64">
        <w:rPr>
          <w:rStyle w:val="FootnoteReference"/>
        </w:rPr>
        <w:footnoteRef/>
      </w:r>
      <w:r w:rsidRPr="00E41C64">
        <w:t xml:space="preserve"> Porozumienie międzyinstytucjonalne z 20 maja 2021 r. pomiędzy Parlamentem Europejskim, Radą Unii Europejskiej i Komisją Europejską w sprawie obowiązkowego rejestru służącego przejrzystości (Dz.U. L 207 z 11.6.2021, s. 1, ELI: </w:t>
      </w:r>
      <w:hyperlink r:id="rId1" w:history="1">
        <w:r w:rsidRPr="00E41C64">
          <w:rPr>
            <w:rStyle w:val="Hyperlink"/>
          </w:rPr>
          <w:t>http://data.europa.eu/eli/agree_interinstit/2021/611/oj</w:t>
        </w:r>
      </w:hyperlink>
      <w:r w:rsidRPr="00E41C64">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4241B" w14:textId="77777777" w:rsidR="007D4B19" w:rsidRDefault="007D4B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8EEFE" w14:textId="77777777" w:rsidR="007D4B19" w:rsidRDefault="007D4B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F5F59" w14:textId="77777777" w:rsidR="007D4B19" w:rsidRDefault="007D4B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324557452">
    <w:abstractNumId w:val="9"/>
  </w:num>
  <w:num w:numId="2" w16cid:durableId="467866558">
    <w:abstractNumId w:val="9"/>
  </w:num>
  <w:num w:numId="3" w16cid:durableId="1929609115">
    <w:abstractNumId w:val="7"/>
  </w:num>
  <w:num w:numId="4" w16cid:durableId="1185703162">
    <w:abstractNumId w:val="7"/>
  </w:num>
  <w:num w:numId="5" w16cid:durableId="627201463">
    <w:abstractNumId w:val="6"/>
  </w:num>
  <w:num w:numId="6" w16cid:durableId="591208738">
    <w:abstractNumId w:val="6"/>
  </w:num>
  <w:num w:numId="7" w16cid:durableId="1699508374">
    <w:abstractNumId w:val="5"/>
  </w:num>
  <w:num w:numId="8" w16cid:durableId="779378677">
    <w:abstractNumId w:val="5"/>
  </w:num>
  <w:num w:numId="9" w16cid:durableId="1087115492">
    <w:abstractNumId w:val="4"/>
  </w:num>
  <w:num w:numId="10" w16cid:durableId="1469282110">
    <w:abstractNumId w:val="4"/>
  </w:num>
  <w:num w:numId="11" w16cid:durableId="1501849483">
    <w:abstractNumId w:val="8"/>
  </w:num>
  <w:num w:numId="12" w16cid:durableId="2055958917">
    <w:abstractNumId w:val="8"/>
  </w:num>
  <w:num w:numId="13" w16cid:durableId="1835602481">
    <w:abstractNumId w:val="3"/>
  </w:num>
  <w:num w:numId="14" w16cid:durableId="708650098">
    <w:abstractNumId w:val="3"/>
  </w:num>
  <w:num w:numId="15" w16cid:durableId="608859301">
    <w:abstractNumId w:val="2"/>
  </w:num>
  <w:num w:numId="16" w16cid:durableId="1836721527">
    <w:abstractNumId w:val="2"/>
  </w:num>
  <w:num w:numId="17" w16cid:durableId="1730689782">
    <w:abstractNumId w:val="1"/>
  </w:num>
  <w:num w:numId="18" w16cid:durableId="943145919">
    <w:abstractNumId w:val="1"/>
  </w:num>
  <w:num w:numId="19" w16cid:durableId="375858412">
    <w:abstractNumId w:val="0"/>
  </w:num>
  <w:num w:numId="20" w16cid:durableId="311955702">
    <w:abstractNumId w:val="0"/>
  </w:num>
  <w:num w:numId="21" w16cid:durableId="1795101458">
    <w:abstractNumId w:val="9"/>
  </w:num>
  <w:num w:numId="22" w16cid:durableId="2024817597">
    <w:abstractNumId w:val="7"/>
  </w:num>
  <w:num w:numId="23" w16cid:durableId="928925883">
    <w:abstractNumId w:val="6"/>
  </w:num>
  <w:num w:numId="24" w16cid:durableId="1321881543">
    <w:abstractNumId w:val="5"/>
  </w:num>
  <w:num w:numId="25" w16cid:durableId="1760786726">
    <w:abstractNumId w:val="4"/>
  </w:num>
  <w:num w:numId="26" w16cid:durableId="2039816723">
    <w:abstractNumId w:val="8"/>
  </w:num>
  <w:num w:numId="27" w16cid:durableId="1561863845">
    <w:abstractNumId w:val="3"/>
  </w:num>
  <w:num w:numId="28" w16cid:durableId="1504664629">
    <w:abstractNumId w:val="2"/>
  </w:num>
  <w:num w:numId="29" w16cid:durableId="1276399632">
    <w:abstractNumId w:val="1"/>
  </w:num>
  <w:num w:numId="30" w16cid:durableId="1977375917">
    <w:abstractNumId w:val="0"/>
  </w:num>
  <w:num w:numId="31" w16cid:durableId="1776628307">
    <w:abstractNumId w:val="9"/>
  </w:num>
  <w:num w:numId="32" w16cid:durableId="723912147">
    <w:abstractNumId w:val="7"/>
  </w:num>
  <w:num w:numId="33" w16cid:durableId="1469588838">
    <w:abstractNumId w:val="6"/>
  </w:num>
  <w:num w:numId="34" w16cid:durableId="1664122405">
    <w:abstractNumId w:val="5"/>
  </w:num>
  <w:num w:numId="35" w16cid:durableId="1383793757">
    <w:abstractNumId w:val="4"/>
  </w:num>
  <w:num w:numId="36" w16cid:durableId="78067902">
    <w:abstractNumId w:val="8"/>
  </w:num>
  <w:num w:numId="37" w16cid:durableId="430903565">
    <w:abstractNumId w:val="3"/>
  </w:num>
  <w:num w:numId="38" w16cid:durableId="787508534">
    <w:abstractNumId w:val="2"/>
  </w:num>
  <w:num w:numId="39" w16cid:durableId="1783837448">
    <w:abstractNumId w:val="1"/>
  </w:num>
  <w:num w:numId="40" w16cid:durableId="6944292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GREEMENTMNU" w:val=" 1"/>
    <w:docVar w:name="AUTHORMFPMNU" w:val=" 1"/>
    <w:docVar w:name="CIT1MNU" w:val=" 4"/>
    <w:docVar w:name="CIT2MNU" w:val=" 4"/>
    <w:docVar w:name="CIT3MNU" w:val=" 4"/>
    <w:docVar w:name="COMKEY" w:val="LIBE"/>
    <w:docVar w:name="CONSENTMNU" w:val=" 1"/>
    <w:docVar w:name="CopyToNetwork" w:val="-1"/>
    <w:docVar w:name="DOCDT" w:val="12/02/2026"/>
    <w:docVar w:name="LastEditedSection" w:val=" 1"/>
    <w:docVar w:name="strDocTypeID" w:val="PR_NLE-AP_Agreement"/>
    <w:docVar w:name="strSubDir" w:val="1337"/>
    <w:docVar w:name="TITLEMNU" w:val=" 1"/>
    <w:docVar w:name="TXTAUTHOR" w:val="Jaroslav Bžoch"/>
    <w:docVar w:name="TXTLANGUE" w:val="EN"/>
    <w:docVar w:name="TXTLANGUEMIN" w:val="en"/>
    <w:docVar w:name="TXTNRC" w:val="0278/2025"/>
    <w:docVar w:name="TXTNRCOM" w:val="11283/2025"/>
    <w:docVar w:name="TXTNRNLE" w:val="2025/0156"/>
    <w:docVar w:name="TXTNRPE" w:val="784.412"/>
    <w:docVar w:name="TXTPEorAP" w:val="PE"/>
    <w:docVar w:name="TXTROUTE" w:val="PR\1337453EN.docx"/>
    <w:docVar w:name="TXTTITLE" w:val="on the conclusion, on behalf of the European Union, of the Agreement between the European Union and Iceland on the transfer of Passenger Name Record (PNR) data to prevent, detect, investigate and prosecute terrorist offences and serious crime"/>
    <w:docVar w:name="TXTVERSION" w:val="01-00"/>
  </w:docVars>
  <w:rsids>
    <w:rsidRoot w:val="006D3D89"/>
    <w:rsid w:val="00001D52"/>
    <w:rsid w:val="0000443F"/>
    <w:rsid w:val="000053E3"/>
    <w:rsid w:val="000217C4"/>
    <w:rsid w:val="0004663B"/>
    <w:rsid w:val="0006167F"/>
    <w:rsid w:val="00061EFE"/>
    <w:rsid w:val="00095D8B"/>
    <w:rsid w:val="000A2F73"/>
    <w:rsid w:val="000C123D"/>
    <w:rsid w:val="000D78AF"/>
    <w:rsid w:val="00180664"/>
    <w:rsid w:val="001874D8"/>
    <w:rsid w:val="001A34B9"/>
    <w:rsid w:val="001D02E3"/>
    <w:rsid w:val="001F7BBE"/>
    <w:rsid w:val="0021049A"/>
    <w:rsid w:val="0022685A"/>
    <w:rsid w:val="002E2E20"/>
    <w:rsid w:val="002F5A83"/>
    <w:rsid w:val="003072BE"/>
    <w:rsid w:val="00337C92"/>
    <w:rsid w:val="003421DC"/>
    <w:rsid w:val="00356D1A"/>
    <w:rsid w:val="00363B94"/>
    <w:rsid w:val="003B598C"/>
    <w:rsid w:val="0041483F"/>
    <w:rsid w:val="004174FC"/>
    <w:rsid w:val="00460BD6"/>
    <w:rsid w:val="004859B3"/>
    <w:rsid w:val="004938F5"/>
    <w:rsid w:val="004C083C"/>
    <w:rsid w:val="004C76A7"/>
    <w:rsid w:val="004E1650"/>
    <w:rsid w:val="005027B1"/>
    <w:rsid w:val="0053367A"/>
    <w:rsid w:val="00544D48"/>
    <w:rsid w:val="005877C0"/>
    <w:rsid w:val="005A6B14"/>
    <w:rsid w:val="005D0B97"/>
    <w:rsid w:val="005E1478"/>
    <w:rsid w:val="005F5D6C"/>
    <w:rsid w:val="00600BFE"/>
    <w:rsid w:val="006132CE"/>
    <w:rsid w:val="00613F2E"/>
    <w:rsid w:val="0064013B"/>
    <w:rsid w:val="006819F6"/>
    <w:rsid w:val="006A1A75"/>
    <w:rsid w:val="006A2CF5"/>
    <w:rsid w:val="006D3D89"/>
    <w:rsid w:val="006F1B6F"/>
    <w:rsid w:val="00717857"/>
    <w:rsid w:val="00791637"/>
    <w:rsid w:val="007C0E62"/>
    <w:rsid w:val="007D4B19"/>
    <w:rsid w:val="0080122F"/>
    <w:rsid w:val="00810D7A"/>
    <w:rsid w:val="00822206"/>
    <w:rsid w:val="008368CB"/>
    <w:rsid w:val="0085501C"/>
    <w:rsid w:val="00893FBD"/>
    <w:rsid w:val="008B75A4"/>
    <w:rsid w:val="008D23C6"/>
    <w:rsid w:val="008D3030"/>
    <w:rsid w:val="008E3848"/>
    <w:rsid w:val="008E493E"/>
    <w:rsid w:val="0090660D"/>
    <w:rsid w:val="00924EE0"/>
    <w:rsid w:val="00936B11"/>
    <w:rsid w:val="009612AA"/>
    <w:rsid w:val="009B188F"/>
    <w:rsid w:val="009B437A"/>
    <w:rsid w:val="009E39A7"/>
    <w:rsid w:val="00A415B7"/>
    <w:rsid w:val="00A6107D"/>
    <w:rsid w:val="00AD5D0C"/>
    <w:rsid w:val="00B31D18"/>
    <w:rsid w:val="00B42885"/>
    <w:rsid w:val="00B50C20"/>
    <w:rsid w:val="00B6769C"/>
    <w:rsid w:val="00BB22CC"/>
    <w:rsid w:val="00BB41C8"/>
    <w:rsid w:val="00BE5E72"/>
    <w:rsid w:val="00BF0A0F"/>
    <w:rsid w:val="00BF2E15"/>
    <w:rsid w:val="00BF7F55"/>
    <w:rsid w:val="00C05DD8"/>
    <w:rsid w:val="00C15447"/>
    <w:rsid w:val="00C35D01"/>
    <w:rsid w:val="00C64DA4"/>
    <w:rsid w:val="00C762AC"/>
    <w:rsid w:val="00C80A2F"/>
    <w:rsid w:val="00C91CCC"/>
    <w:rsid w:val="00CB5651"/>
    <w:rsid w:val="00CC20CB"/>
    <w:rsid w:val="00CF44DF"/>
    <w:rsid w:val="00D04E0B"/>
    <w:rsid w:val="00D33886"/>
    <w:rsid w:val="00D62DA0"/>
    <w:rsid w:val="00D6543C"/>
    <w:rsid w:val="00DF594D"/>
    <w:rsid w:val="00E14FEE"/>
    <w:rsid w:val="00E41C64"/>
    <w:rsid w:val="00E71368"/>
    <w:rsid w:val="00E82F4E"/>
    <w:rsid w:val="00E93816"/>
    <w:rsid w:val="00EA59ED"/>
    <w:rsid w:val="00EF48F2"/>
    <w:rsid w:val="00F04010"/>
    <w:rsid w:val="00FC69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C8BBBA"/>
  <w15:chartTrackingRefBased/>
  <w15:docId w15:val="{E06BD5E1-E395-4948-9688-89079533F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64013B"/>
    <w:pPr>
      <w:tabs>
        <w:tab w:val="right" w:pos="454"/>
        <w:tab w:val="left" w:pos="737"/>
      </w:tabs>
      <w:ind w:left="737" w:hanging="737"/>
    </w:pPr>
    <w:rPr>
      <w:snapToGrid w:val="0"/>
      <w:sz w:val="18"/>
      <w:lang w:eastAsia="en-US"/>
    </w:rPr>
  </w:style>
  <w:style w:type="paragraph" w:customStyle="1" w:styleId="Lgendetitre">
    <w:name w:val="Légende titre"/>
    <w:basedOn w:val="Normal"/>
    <w:rsid w:val="0064013B"/>
    <w:pPr>
      <w:spacing w:before="240" w:after="240"/>
    </w:pPr>
    <w:rPr>
      <w:b/>
      <w:i/>
      <w:snapToGrid w:val="0"/>
      <w:lang w:eastAsia="en-US"/>
    </w:rPr>
  </w:style>
  <w:style w:type="paragraph" w:customStyle="1" w:styleId="Lgendestandard">
    <w:name w:val="Légende standard"/>
    <w:basedOn w:val="Normal"/>
    <w:rsid w:val="0064013B"/>
    <w:rPr>
      <w:sz w:val="18"/>
    </w:rPr>
  </w:style>
  <w:style w:type="character" w:styleId="Hyperlink">
    <w:name w:val="Hyperlink"/>
    <w:basedOn w:val="DefaultParagraphFont"/>
    <w:unhideWhenUsed/>
    <w:rsid w:val="00810D7A"/>
    <w:rPr>
      <w:color w:val="0563C1" w:themeColor="hyperlink"/>
      <w:u w:val="single"/>
    </w:rPr>
  </w:style>
  <w:style w:type="paragraph" w:styleId="FootnoteText">
    <w:name w:val="footnote text"/>
    <w:basedOn w:val="Normal"/>
    <w:link w:val="FootnoteTextChar"/>
    <w:unhideWhenUsed/>
    <w:rsid w:val="00810D7A"/>
    <w:rPr>
      <w:sz w:val="20"/>
    </w:rPr>
  </w:style>
  <w:style w:type="character" w:customStyle="1" w:styleId="FootnoteTextChar">
    <w:name w:val="Footnote Text Char"/>
    <w:basedOn w:val="DefaultParagraphFont"/>
    <w:link w:val="FootnoteText"/>
    <w:rsid w:val="00810D7A"/>
  </w:style>
  <w:style w:type="character" w:styleId="FootnoteReference">
    <w:name w:val="footnote reference"/>
    <w:basedOn w:val="DefaultParagraphFont"/>
    <w:unhideWhenUsed/>
    <w:rsid w:val="00810D7A"/>
    <w:rPr>
      <w:vertAlign w:val="superscript"/>
    </w:rPr>
  </w:style>
  <w:style w:type="character" w:styleId="UnresolvedMention">
    <w:name w:val="Unresolved Mention"/>
    <w:basedOn w:val="DefaultParagraphFont"/>
    <w:uiPriority w:val="99"/>
    <w:semiHidden/>
    <w:unhideWhenUsed/>
    <w:rsid w:val="00810D7A"/>
    <w:rPr>
      <w:color w:val="605E5C"/>
      <w:shd w:val="clear" w:color="auto" w:fill="E1DFDD"/>
    </w:rPr>
  </w:style>
  <w:style w:type="paragraph" w:styleId="Footer">
    <w:name w:val="footer"/>
    <w:basedOn w:val="Normal"/>
    <w:link w:val="FooterChar"/>
    <w:semiHidden/>
    <w:rsid w:val="00936B11"/>
    <w:pPr>
      <w:tabs>
        <w:tab w:val="center" w:pos="4513"/>
        <w:tab w:val="right" w:pos="9026"/>
      </w:tabs>
    </w:pPr>
  </w:style>
  <w:style w:type="character" w:customStyle="1" w:styleId="FooterChar">
    <w:name w:val="Footer Char"/>
    <w:basedOn w:val="DefaultParagraphFont"/>
    <w:link w:val="Footer"/>
    <w:semiHidden/>
    <w:rsid w:val="00936B11"/>
    <w:rPr>
      <w:sz w:val="24"/>
    </w:rPr>
  </w:style>
  <w:style w:type="paragraph" w:styleId="Revision">
    <w:name w:val="Revision"/>
    <w:hidden/>
    <w:uiPriority w:val="99"/>
    <w:semiHidden/>
    <w:rsid w:val="00C64DA4"/>
    <w:rPr>
      <w:sz w:val="24"/>
    </w:rPr>
  </w:style>
  <w:style w:type="character" w:styleId="CommentReference">
    <w:name w:val="annotation reference"/>
    <w:basedOn w:val="DefaultParagraphFont"/>
    <w:rsid w:val="009B188F"/>
    <w:rPr>
      <w:sz w:val="16"/>
      <w:szCs w:val="16"/>
    </w:rPr>
  </w:style>
  <w:style w:type="paragraph" w:styleId="CommentText">
    <w:name w:val="annotation text"/>
    <w:basedOn w:val="Normal"/>
    <w:link w:val="CommentTextChar"/>
    <w:rsid w:val="009B188F"/>
    <w:rPr>
      <w:sz w:val="20"/>
    </w:rPr>
  </w:style>
  <w:style w:type="character" w:customStyle="1" w:styleId="CommentTextChar">
    <w:name w:val="Comment Text Char"/>
    <w:basedOn w:val="DefaultParagraphFont"/>
    <w:link w:val="CommentText"/>
    <w:rsid w:val="009B188F"/>
  </w:style>
  <w:style w:type="paragraph" w:styleId="CommentSubject">
    <w:name w:val="annotation subject"/>
    <w:basedOn w:val="CommentText"/>
    <w:next w:val="CommentText"/>
    <w:link w:val="CommentSubjectChar"/>
    <w:semiHidden/>
    <w:unhideWhenUsed/>
    <w:rsid w:val="009B188F"/>
    <w:rPr>
      <w:b/>
      <w:bCs/>
    </w:rPr>
  </w:style>
  <w:style w:type="character" w:customStyle="1" w:styleId="CommentSubjectChar">
    <w:name w:val="Comment Subject Char"/>
    <w:basedOn w:val="CommentTextChar"/>
    <w:link w:val="CommentSubject"/>
    <w:semiHidden/>
    <w:rsid w:val="009B18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094783">
      <w:bodyDiv w:val="1"/>
      <w:marLeft w:val="0"/>
      <w:marRight w:val="0"/>
      <w:marTop w:val="0"/>
      <w:marBottom w:val="0"/>
      <w:divBdr>
        <w:top w:val="none" w:sz="0" w:space="0" w:color="auto"/>
        <w:left w:val="none" w:sz="0" w:space="0" w:color="auto"/>
        <w:bottom w:val="none" w:sz="0" w:space="0" w:color="auto"/>
        <w:right w:val="none" w:sz="0" w:space="0" w:color="auto"/>
      </w:divBdr>
    </w:div>
    <w:div w:id="324557886">
      <w:bodyDiv w:val="1"/>
      <w:marLeft w:val="0"/>
      <w:marRight w:val="0"/>
      <w:marTop w:val="0"/>
      <w:marBottom w:val="0"/>
      <w:divBdr>
        <w:top w:val="none" w:sz="0" w:space="0" w:color="auto"/>
        <w:left w:val="none" w:sz="0" w:space="0" w:color="auto"/>
        <w:bottom w:val="none" w:sz="0" w:space="0" w:color="auto"/>
        <w:right w:val="none" w:sz="0" w:space="0" w:color="auto"/>
      </w:divBdr>
    </w:div>
    <w:div w:id="1547529087">
      <w:bodyDiv w:val="1"/>
      <w:marLeft w:val="0"/>
      <w:marRight w:val="0"/>
      <w:marTop w:val="0"/>
      <w:marBottom w:val="0"/>
      <w:divBdr>
        <w:top w:val="none" w:sz="0" w:space="0" w:color="auto"/>
        <w:left w:val="none" w:sz="0" w:space="0" w:color="auto"/>
        <w:bottom w:val="none" w:sz="0" w:space="0" w:color="auto"/>
        <w:right w:val="none" w:sz="0" w:space="0" w:color="auto"/>
      </w:divBdr>
    </w:div>
    <w:div w:id="1915313643">
      <w:bodyDiv w:val="1"/>
      <w:marLeft w:val="0"/>
      <w:marRight w:val="0"/>
      <w:marTop w:val="0"/>
      <w:marBottom w:val="0"/>
      <w:divBdr>
        <w:top w:val="none" w:sz="0" w:space="0" w:color="auto"/>
        <w:left w:val="none" w:sz="0" w:space="0" w:color="auto"/>
        <w:bottom w:val="none" w:sz="0" w:space="0" w:color="auto"/>
        <w:right w:val="none" w:sz="0" w:space="0" w:color="auto"/>
      </w:divBdr>
    </w:div>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FCE4-4C56-492C-8A66-45D618C0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804</Words>
  <Characters>5764</Characters>
  <Application>Microsoft Office Word</Application>
  <DocSecurity>0</DocSecurity>
  <Lines>134</Lines>
  <Paragraphs>53</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MCGAHAN Justine</dc:creator>
  <cp:keywords/>
  <cp:lastModifiedBy>WIERTLEWSKA Maria</cp:lastModifiedBy>
  <cp:revision>2</cp:revision>
  <cp:lastPrinted>2002-12-11T09:25:00Z</cp:lastPrinted>
  <dcterms:created xsi:type="dcterms:W3CDTF">2026-02-20T09:26:00Z</dcterms:created>
  <dcterms:modified xsi:type="dcterms:W3CDTF">2026-02-20T09:26:00Z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Created with">
    <vt:lpwstr>10.2.1 Build [20260110]</vt:lpwstr>
  </property>
  <property fmtid="{D5CDD505-2E9C-101B-9397-08002B2CF9AE}" pid="4" name="LastEdited with">
    <vt:lpwstr>10.2.1 Build [20260110]</vt:lpwstr>
  </property>
  <property fmtid="{D5CDD505-2E9C-101B-9397-08002B2CF9AE}" pid="5" name="&lt;FdR&gt;">
    <vt:lpwstr>1337453</vt:lpwstr>
  </property>
  <property fmtid="{D5CDD505-2E9C-101B-9397-08002B2CF9AE}" pid="6" name="&lt;Type&gt;">
    <vt:lpwstr>PR</vt:lpwstr>
  </property>
  <property fmtid="{D5CDD505-2E9C-101B-9397-08002B2CF9AE}" pid="7" name="&lt;ModelCod&gt;">
    <vt:lpwstr>\\eiciBRUpr1\pdocep$\DocEP\DOCS\General\PR\PR_Leg\NLE\PR_NLE-AP_Agreement.dotx(12/08/2024 16:05:00)</vt:lpwstr>
  </property>
  <property fmtid="{D5CDD505-2E9C-101B-9397-08002B2CF9AE}" pid="8" name="&lt;ModelTra&gt;">
    <vt:lpwstr>\\eiciBRUpr1\pdocep$\DocEP\TRANSFIL\EN\PR_NLE-AP_Agreement.EN(04/10/2024 11:39:01)</vt:lpwstr>
  </property>
  <property fmtid="{D5CDD505-2E9C-101B-9397-08002B2CF9AE}" pid="9" name="&lt;Model&gt;">
    <vt:lpwstr>PR_NLE-AP_Agreement</vt:lpwstr>
  </property>
  <property fmtid="{D5CDD505-2E9C-101B-9397-08002B2CF9AE}" pid="10" name="FooterPath">
    <vt:lpwstr>PR\1337453PL.docx</vt:lpwstr>
  </property>
  <property fmtid="{D5CDD505-2E9C-101B-9397-08002B2CF9AE}" pid="11" name="PE number">
    <vt:lpwstr>784.412</vt:lpwstr>
  </property>
  <property fmtid="{D5CDD505-2E9C-101B-9397-08002B2CF9AE}" pid="12" name="SendToEpades">
    <vt:lpwstr>OK - 2026/02/12 11:46</vt:lpwstr>
  </property>
  <property fmtid="{D5CDD505-2E9C-101B-9397-08002B2CF9AE}" pid="13" name="SDLStudio">
    <vt:lpwstr/>
  </property>
  <property fmtid="{D5CDD505-2E9C-101B-9397-08002B2CF9AE}" pid="14" name="Bookout">
    <vt:lpwstr>OK - 2026/02/20 10:26</vt:lpwstr>
  </property>
</Properties>
</file>