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6927CE" w:rsidRPr="00B018D5" w14:paraId="1B22284C" w14:textId="77777777" w:rsidTr="00C85D0F">
        <w:trPr>
          <w:trHeight w:hRule="exact" w:val="1418"/>
        </w:trPr>
        <w:tc>
          <w:tcPr>
            <w:tcW w:w="6804" w:type="dxa"/>
            <w:shd w:val="clear" w:color="auto" w:fill="auto"/>
            <w:vAlign w:val="center"/>
          </w:tcPr>
          <w:p w14:paraId="4A4E6C34" w14:textId="77777777" w:rsidR="00C05DD8" w:rsidRPr="00B018D5" w:rsidRDefault="00B018D5" w:rsidP="00C85D0F">
            <w:pPr>
              <w:pStyle w:val="EPName"/>
            </w:pPr>
            <w:r w:rsidRPr="00B018D5">
              <w:t>Europa-Parlamentet</w:t>
            </w:r>
          </w:p>
          <w:p w14:paraId="3D99E261" w14:textId="77777777" w:rsidR="00C05DD8" w:rsidRPr="00B018D5" w:rsidRDefault="00B018D5" w:rsidP="00C85D0F">
            <w:pPr>
              <w:pStyle w:val="EPTerm"/>
            </w:pPr>
            <w:r w:rsidRPr="00B018D5">
              <w:t>2024-2029</w:t>
            </w:r>
          </w:p>
        </w:tc>
        <w:tc>
          <w:tcPr>
            <w:tcW w:w="2268" w:type="dxa"/>
            <w:shd w:val="clear" w:color="auto" w:fill="auto"/>
          </w:tcPr>
          <w:p w14:paraId="538E74C2" w14:textId="77777777" w:rsidR="00C05DD8" w:rsidRPr="00B018D5" w:rsidRDefault="00B018D5" w:rsidP="00C85D0F">
            <w:pPr>
              <w:pStyle w:val="EPLogo"/>
            </w:pPr>
            <w:r w:rsidRPr="00B018D5">
              <w:rPr>
                <w:lang w:eastAsia="ja-JP"/>
              </w:rPr>
              <w:drawing>
                <wp:inline distT="0" distB="0" distL="0" distR="0" wp14:anchorId="2FC32865" wp14:editId="6CF189A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8709BB8" w14:textId="77777777" w:rsidR="009612AA" w:rsidRPr="00B018D5" w:rsidRDefault="009612AA" w:rsidP="009612AA">
      <w:pPr>
        <w:pStyle w:val="LineTop"/>
      </w:pPr>
    </w:p>
    <w:p w14:paraId="6312867B" w14:textId="77777777" w:rsidR="009612AA" w:rsidRPr="00B018D5" w:rsidRDefault="00B018D5" w:rsidP="009612AA">
      <w:pPr>
        <w:pStyle w:val="EPBody"/>
      </w:pPr>
      <w:r w:rsidRPr="00B018D5">
        <w:rPr>
          <w:rStyle w:val="HideTWBExt"/>
          <w:noProof w:val="0"/>
        </w:rPr>
        <w:t>&lt;</w:t>
      </w:r>
      <w:r w:rsidRPr="00B018D5">
        <w:rPr>
          <w:rStyle w:val="HideTWBExt"/>
          <w:i w:val="0"/>
          <w:noProof w:val="0"/>
        </w:rPr>
        <w:t>Commission</w:t>
      </w:r>
      <w:r w:rsidRPr="00B018D5">
        <w:rPr>
          <w:rStyle w:val="HideTWBExt"/>
          <w:noProof w:val="0"/>
        </w:rPr>
        <w:t>&gt;</w:t>
      </w:r>
      <w:r w:rsidRPr="00B018D5">
        <w:rPr>
          <w:rStyle w:val="HideTWBInt"/>
          <w:color w:val="auto"/>
        </w:rPr>
        <w:t>{LIBE}</w:t>
      </w:r>
      <w:r w:rsidRPr="00B018D5">
        <w:t>Udvalget om Borgernes Rettigheder og Retlige og Indre Anliggender</w:t>
      </w:r>
      <w:r w:rsidRPr="00B018D5">
        <w:rPr>
          <w:rStyle w:val="HideTWBExt"/>
          <w:noProof w:val="0"/>
        </w:rPr>
        <w:t>&lt;/</w:t>
      </w:r>
      <w:r w:rsidRPr="00B018D5">
        <w:rPr>
          <w:rStyle w:val="HideTWBExt"/>
          <w:i w:val="0"/>
          <w:noProof w:val="0"/>
        </w:rPr>
        <w:t>Commission</w:t>
      </w:r>
      <w:r w:rsidRPr="00B018D5">
        <w:rPr>
          <w:rStyle w:val="HideTWBExt"/>
          <w:noProof w:val="0"/>
        </w:rPr>
        <w:t>&gt;</w:t>
      </w:r>
    </w:p>
    <w:p w14:paraId="58BE1611" w14:textId="77777777" w:rsidR="009612AA" w:rsidRPr="00B018D5" w:rsidRDefault="009612AA" w:rsidP="009612AA">
      <w:pPr>
        <w:pStyle w:val="LineBottom"/>
      </w:pPr>
    </w:p>
    <w:p w14:paraId="0F616DE9" w14:textId="77777777" w:rsidR="00363B94" w:rsidRPr="00B018D5" w:rsidRDefault="00B018D5">
      <w:pPr>
        <w:pStyle w:val="CoverReference"/>
      </w:pPr>
      <w:r w:rsidRPr="00B018D5">
        <w:rPr>
          <w:rStyle w:val="HideTWBExt"/>
          <w:b w:val="0"/>
          <w:noProof w:val="0"/>
        </w:rPr>
        <w:t>&lt;RefProc&gt;</w:t>
      </w:r>
      <w:r w:rsidRPr="00B018D5">
        <w:t>2024/0155</w:t>
      </w:r>
      <w:r w:rsidRPr="00B018D5">
        <w:rPr>
          <w:rStyle w:val="HideTWBExt"/>
          <w:b w:val="0"/>
          <w:noProof w:val="0"/>
        </w:rPr>
        <w:t>&lt;/RefProc&gt;&lt;RefTypeProc&gt;</w:t>
      </w:r>
      <w:r w:rsidRPr="00B018D5">
        <w:t>(NLE)</w:t>
      </w:r>
      <w:r w:rsidRPr="00B018D5">
        <w:rPr>
          <w:rStyle w:val="HideTWBExt"/>
          <w:b w:val="0"/>
          <w:noProof w:val="0"/>
        </w:rPr>
        <w:t>&lt;/RefTypeProc&gt;</w:t>
      </w:r>
    </w:p>
    <w:p w14:paraId="27C22E0E" w14:textId="77777777" w:rsidR="00363B94" w:rsidRPr="00B018D5" w:rsidRDefault="00B018D5">
      <w:pPr>
        <w:pStyle w:val="CoverDate"/>
      </w:pPr>
      <w:r w:rsidRPr="00B018D5">
        <w:rPr>
          <w:rStyle w:val="HideTWBExt"/>
          <w:noProof w:val="0"/>
        </w:rPr>
        <w:t>&lt;Date&gt;</w:t>
      </w:r>
      <w:r w:rsidRPr="00B018D5">
        <w:rPr>
          <w:rStyle w:val="HideTWBInt"/>
          <w:color w:val="auto"/>
        </w:rPr>
        <w:t>{8/04/2026}</w:t>
      </w:r>
      <w:r w:rsidRPr="00B018D5">
        <w:t>8.4.2026</w:t>
      </w:r>
      <w:r w:rsidRPr="00B018D5">
        <w:rPr>
          <w:rStyle w:val="HideTWBExt"/>
          <w:noProof w:val="0"/>
        </w:rPr>
        <w:t>&lt;/Date&gt;</w:t>
      </w:r>
    </w:p>
    <w:p w14:paraId="5F6DA195" w14:textId="77777777" w:rsidR="00363B94" w:rsidRPr="00B018D5" w:rsidRDefault="00B018D5">
      <w:pPr>
        <w:pStyle w:val="CoverDocType"/>
      </w:pPr>
      <w:r w:rsidRPr="00B018D5">
        <w:rPr>
          <w:rStyle w:val="HideTWBExt"/>
          <w:b w:val="0"/>
          <w:noProof w:val="0"/>
        </w:rPr>
        <w:t>&lt;RefProcLect&gt;</w:t>
      </w:r>
      <w:r w:rsidRPr="00B018D5">
        <w:t>***</w:t>
      </w:r>
      <w:r w:rsidRPr="00B018D5">
        <w:rPr>
          <w:rStyle w:val="HideTWBExt"/>
          <w:b w:val="0"/>
          <w:noProof w:val="0"/>
        </w:rPr>
        <w:t>&lt;/RefProcLect&gt;</w:t>
      </w:r>
    </w:p>
    <w:p w14:paraId="0BDCAA72" w14:textId="77777777" w:rsidR="00363B94" w:rsidRPr="00B018D5" w:rsidRDefault="00B018D5">
      <w:pPr>
        <w:pStyle w:val="CoverDocType24a"/>
      </w:pPr>
      <w:r w:rsidRPr="00B018D5">
        <w:rPr>
          <w:rStyle w:val="HideTWBExt"/>
          <w:b w:val="0"/>
          <w:noProof w:val="0"/>
        </w:rPr>
        <w:t>&lt;TitreType&gt;</w:t>
      </w:r>
      <w:r w:rsidRPr="00B018D5">
        <w:t>UDKAST TIL HENSTILLING</w:t>
      </w:r>
      <w:r w:rsidRPr="00B018D5">
        <w:rPr>
          <w:rStyle w:val="HideTWBExt"/>
          <w:b w:val="0"/>
          <w:noProof w:val="0"/>
        </w:rPr>
        <w:t>&lt;/TitreType&gt;</w:t>
      </w:r>
    </w:p>
    <w:p w14:paraId="2B839EAC" w14:textId="77777777" w:rsidR="00363B94" w:rsidRPr="00B018D5" w:rsidRDefault="00B018D5">
      <w:pPr>
        <w:pStyle w:val="CoverNormal"/>
      </w:pPr>
      <w:r w:rsidRPr="00B018D5">
        <w:rPr>
          <w:rStyle w:val="HideTWBExt"/>
          <w:noProof w:val="0"/>
        </w:rPr>
        <w:t>&lt;Titre&gt;</w:t>
      </w:r>
      <w:r w:rsidRPr="00B018D5">
        <w:t>om forslag til Rådets afgørelse om indgåelse af aftalen mellem Den Europæiske Union og Republikken Libanon om samarbejdet mellem Den Europæiske Unions Agentur for Strafferetligt Samarbejde (Eurojust) og Republikken Libanons myndigheder med ansvar for retligt samarbejde i straffesager</w:t>
      </w:r>
      <w:r w:rsidRPr="00B018D5">
        <w:rPr>
          <w:rStyle w:val="HideTWBExt"/>
          <w:noProof w:val="0"/>
        </w:rPr>
        <w:t>&lt;/Titre&gt;</w:t>
      </w:r>
    </w:p>
    <w:p w14:paraId="736AFC5B" w14:textId="77777777" w:rsidR="00363B94" w:rsidRPr="00B018D5" w:rsidRDefault="00B018D5">
      <w:pPr>
        <w:pStyle w:val="CoverNormal24a"/>
      </w:pPr>
      <w:r w:rsidRPr="00B018D5">
        <w:rPr>
          <w:rStyle w:val="HideTWBExt"/>
          <w:noProof w:val="0"/>
        </w:rPr>
        <w:t>&lt;DocRef&gt;</w:t>
      </w:r>
      <w:r w:rsidRPr="00B018D5">
        <w:t>(13619/2024 – C10</w:t>
      </w:r>
      <w:r w:rsidRPr="00B018D5">
        <w:noBreakHyphen/>
        <w:t>0333/2025 – 2024/0155(NLE))</w:t>
      </w:r>
      <w:r w:rsidRPr="00B018D5">
        <w:rPr>
          <w:rStyle w:val="HideTWBExt"/>
          <w:noProof w:val="0"/>
        </w:rPr>
        <w:t>&lt;/DocRef&gt;</w:t>
      </w:r>
    </w:p>
    <w:p w14:paraId="6A602106" w14:textId="77777777" w:rsidR="00363B94" w:rsidRPr="00B018D5" w:rsidRDefault="00B018D5">
      <w:pPr>
        <w:pStyle w:val="CoverNormal24a"/>
      </w:pPr>
      <w:r w:rsidRPr="00B018D5">
        <w:rPr>
          <w:rStyle w:val="HideTWBExt"/>
          <w:noProof w:val="0"/>
        </w:rPr>
        <w:t>&lt;Commission&gt;</w:t>
      </w:r>
      <w:r w:rsidRPr="00B018D5">
        <w:rPr>
          <w:rStyle w:val="HideTWBInt"/>
          <w:color w:val="auto"/>
        </w:rPr>
        <w:t>{LIBE}</w:t>
      </w:r>
      <w:r w:rsidRPr="00B018D5">
        <w:t>Udvalget om Borgernes Rettigheder og Retlige og Indre Anliggender</w:t>
      </w:r>
      <w:r w:rsidRPr="00B018D5">
        <w:rPr>
          <w:rStyle w:val="HideTWBExt"/>
          <w:noProof w:val="0"/>
        </w:rPr>
        <w:t>&lt;/Commission&gt;</w:t>
      </w:r>
    </w:p>
    <w:p w14:paraId="04DFC7AA" w14:textId="77777777" w:rsidR="00363B94" w:rsidRPr="00B018D5" w:rsidRDefault="00B018D5">
      <w:pPr>
        <w:pStyle w:val="CoverNormal24a"/>
      </w:pPr>
      <w:r w:rsidRPr="00B018D5">
        <w:t xml:space="preserve">Ordfører: </w:t>
      </w:r>
      <w:r w:rsidRPr="00B018D5">
        <w:rPr>
          <w:rStyle w:val="HideTWBExt"/>
          <w:noProof w:val="0"/>
        </w:rPr>
        <w:t>&lt;Depute&gt;</w:t>
      </w:r>
      <w:r w:rsidRPr="00B018D5">
        <w:t>Jaroslav Bžoch</w:t>
      </w:r>
      <w:r w:rsidRPr="00B018D5">
        <w:rPr>
          <w:rStyle w:val="HideTWBExt"/>
          <w:noProof w:val="0"/>
        </w:rPr>
        <w:t>&lt;/Depute&gt;</w:t>
      </w:r>
    </w:p>
    <w:p w14:paraId="17FB6820" w14:textId="77777777" w:rsidR="00B42885" w:rsidRPr="00B018D5" w:rsidRDefault="00B42885" w:rsidP="00B42885">
      <w:pPr>
        <w:pStyle w:val="CoverNormal"/>
      </w:pPr>
    </w:p>
    <w:p w14:paraId="22D66347" w14:textId="6062B243" w:rsidR="00B2625F" w:rsidRPr="00B018D5" w:rsidRDefault="00B018D5" w:rsidP="00016E55">
      <w:r w:rsidRPr="00B018D5">
        <w:br w:type="page"/>
      </w:r>
      <w:r w:rsidRPr="00B018D5">
        <w:lastRenderedPageBreak/>
        <w:fldChar w:fldCharType="begin"/>
      </w:r>
      <w:r w:rsidRPr="00B018D5">
        <w:instrText xml:space="preserve"> TITLE  \* MERGEFORMAT </w:instrText>
      </w:r>
      <w:r w:rsidRPr="00B018D5">
        <w:fldChar w:fldCharType="separate"/>
      </w:r>
      <w:r>
        <w:t>PR_NLE-AP_Agreement</w:t>
      </w:r>
      <w:r w:rsidRPr="00B018D5">
        <w:fldChar w:fldCharType="end"/>
      </w:r>
    </w:p>
    <w:p w14:paraId="15AB517E" w14:textId="77777777" w:rsidR="00B2625F" w:rsidRPr="00B018D5" w:rsidRDefault="00B2625F" w:rsidP="00016E55"/>
    <w:p w14:paraId="6862192D" w14:textId="77777777" w:rsidR="00B2625F" w:rsidRPr="00B018D5" w:rsidRDefault="00B2625F"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927CE" w:rsidRPr="00B018D5" w14:paraId="645C23AA" w14:textId="77777777">
        <w:tc>
          <w:tcPr>
            <w:tcW w:w="5811" w:type="dxa"/>
          </w:tcPr>
          <w:p w14:paraId="166CBB5A" w14:textId="77777777" w:rsidR="00B2625F" w:rsidRPr="00B018D5" w:rsidRDefault="00B018D5" w:rsidP="00016E55">
            <w:pPr>
              <w:pStyle w:val="Lgendetitre"/>
            </w:pPr>
            <w:r w:rsidRPr="00B018D5">
              <w:t>Tegnforklaring</w:t>
            </w:r>
          </w:p>
        </w:tc>
      </w:tr>
      <w:tr w:rsidR="006927CE" w:rsidRPr="00B018D5" w14:paraId="4D0399AF" w14:textId="77777777" w:rsidTr="004247A2">
        <w:trPr>
          <w:cantSplit/>
          <w:trHeight w:val="1807"/>
        </w:trPr>
        <w:tc>
          <w:tcPr>
            <w:tcW w:w="5811" w:type="dxa"/>
            <w:tcBorders>
              <w:bottom w:val="single" w:sz="4" w:space="0" w:color="auto"/>
            </w:tcBorders>
          </w:tcPr>
          <w:p w14:paraId="3DD124E6" w14:textId="77777777" w:rsidR="00B2625F" w:rsidRPr="00B018D5" w:rsidRDefault="00B018D5" w:rsidP="00717061">
            <w:pPr>
              <w:pStyle w:val="Lgendesigne"/>
            </w:pPr>
            <w:r w:rsidRPr="00B018D5">
              <w:tab/>
              <w:t>*</w:t>
            </w:r>
            <w:r w:rsidRPr="00B018D5">
              <w:tab/>
              <w:t>Høringsprocedure</w:t>
            </w:r>
          </w:p>
          <w:p w14:paraId="1B8153DD" w14:textId="77777777" w:rsidR="00B2625F" w:rsidRPr="00B018D5" w:rsidRDefault="00B018D5" w:rsidP="00717061">
            <w:pPr>
              <w:pStyle w:val="Lgendesigne"/>
            </w:pPr>
            <w:r w:rsidRPr="00B018D5">
              <w:tab/>
              <w:t>***</w:t>
            </w:r>
            <w:r w:rsidRPr="00B018D5">
              <w:tab/>
              <w:t>Godkendelsesprocedure</w:t>
            </w:r>
          </w:p>
          <w:p w14:paraId="4B7B03A0" w14:textId="77777777" w:rsidR="00B2625F" w:rsidRPr="00B018D5" w:rsidRDefault="00B018D5" w:rsidP="00717061">
            <w:pPr>
              <w:pStyle w:val="Lgendesigne"/>
            </w:pPr>
            <w:r w:rsidRPr="00B018D5">
              <w:tab/>
              <w:t>***I</w:t>
            </w:r>
            <w:r w:rsidRPr="00B018D5">
              <w:tab/>
              <w:t>Almindelig lovgivningsprocedure (førstebehandling)</w:t>
            </w:r>
          </w:p>
          <w:p w14:paraId="4946EFC2" w14:textId="77777777" w:rsidR="00B2625F" w:rsidRPr="00B018D5" w:rsidRDefault="00B018D5" w:rsidP="00717061">
            <w:pPr>
              <w:pStyle w:val="Lgendesigne"/>
            </w:pPr>
            <w:r w:rsidRPr="00B018D5">
              <w:tab/>
              <w:t>***II</w:t>
            </w:r>
            <w:r w:rsidRPr="00B018D5">
              <w:tab/>
              <w:t xml:space="preserve">Almindelig </w:t>
            </w:r>
            <w:r w:rsidRPr="00B018D5">
              <w:t>lovgivningsprocedure (andenbehandling)</w:t>
            </w:r>
          </w:p>
          <w:p w14:paraId="4168CF20" w14:textId="77777777" w:rsidR="00B2625F" w:rsidRPr="00B018D5" w:rsidRDefault="00B018D5" w:rsidP="00717061">
            <w:pPr>
              <w:pStyle w:val="Lgendesigne"/>
            </w:pPr>
            <w:r w:rsidRPr="00B018D5">
              <w:tab/>
              <w:t>***III</w:t>
            </w:r>
            <w:r w:rsidRPr="00B018D5">
              <w:tab/>
              <w:t>Almindelig lovgivningsprocedure (tredjebehandling)</w:t>
            </w:r>
          </w:p>
          <w:p w14:paraId="6CDEDCCF" w14:textId="77777777" w:rsidR="00B2625F" w:rsidRPr="00B018D5" w:rsidRDefault="00B2625F" w:rsidP="00717061">
            <w:pPr>
              <w:pStyle w:val="Lgendestandard"/>
            </w:pPr>
          </w:p>
          <w:p w14:paraId="3CC9D767" w14:textId="77777777" w:rsidR="00B2625F" w:rsidRPr="00B018D5" w:rsidRDefault="00B018D5" w:rsidP="00717061">
            <w:pPr>
              <w:pStyle w:val="Lgendestandard"/>
            </w:pPr>
            <w:r w:rsidRPr="00B018D5">
              <w:t>(Proceduren afhænger af, hvilket retsgrundlag der er valgt i udkastet til retsakt)</w:t>
            </w:r>
          </w:p>
          <w:p w14:paraId="26595AF8" w14:textId="77777777" w:rsidR="00B2625F" w:rsidRPr="00B018D5" w:rsidRDefault="00B2625F" w:rsidP="00B837B7">
            <w:pPr>
              <w:pStyle w:val="Lgendestandard"/>
            </w:pPr>
          </w:p>
        </w:tc>
      </w:tr>
    </w:tbl>
    <w:p w14:paraId="1E2BB441" w14:textId="77777777" w:rsidR="00B2625F" w:rsidRPr="00B018D5" w:rsidRDefault="00B2625F" w:rsidP="00016E55"/>
    <w:p w14:paraId="0DAEE7C0" w14:textId="77777777" w:rsidR="00363B94" w:rsidRPr="00B018D5" w:rsidRDefault="00363B94" w:rsidP="00613F2E">
      <w:pPr>
        <w:widowControl/>
        <w:tabs>
          <w:tab w:val="center" w:pos="4677"/>
        </w:tabs>
      </w:pPr>
    </w:p>
    <w:p w14:paraId="09FD64D4" w14:textId="77777777" w:rsidR="00363B94" w:rsidRPr="00B018D5" w:rsidRDefault="00B018D5">
      <w:pPr>
        <w:pStyle w:val="TOCHeading"/>
      </w:pPr>
      <w:r w:rsidRPr="00B018D5">
        <w:br w:type="page"/>
      </w:r>
      <w:r w:rsidRPr="00B018D5">
        <w:lastRenderedPageBreak/>
        <w:t>INDHOLD</w:t>
      </w:r>
    </w:p>
    <w:p w14:paraId="5911D5B5" w14:textId="77777777" w:rsidR="00363B94" w:rsidRPr="00B018D5" w:rsidRDefault="00B018D5">
      <w:pPr>
        <w:pStyle w:val="TOCPage"/>
      </w:pPr>
      <w:r w:rsidRPr="00B018D5">
        <w:t>Side</w:t>
      </w:r>
    </w:p>
    <w:p w14:paraId="0D499F8D" w14:textId="3257DE8C" w:rsidR="00B018D5" w:rsidRDefault="00B018D5">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B018D5">
        <w:fldChar w:fldCharType="begin"/>
      </w:r>
      <w:r w:rsidRPr="00B018D5">
        <w:instrText xml:space="preserve"> TOC \t "PageHeading;</w:instrText>
      </w:r>
      <w:r w:rsidRPr="00B018D5">
        <w:instrText xml:space="preserve">1" </w:instrText>
      </w:r>
      <w:r w:rsidRPr="00B018D5">
        <w:fldChar w:fldCharType="separate"/>
      </w:r>
      <w:r>
        <w:rPr>
          <w:noProof/>
        </w:rPr>
        <w:t>FORSLAG TIL EUROPA-PARLAMENTETS LOVGIVNINGSMÆSSIGE BESLUTNING</w:t>
      </w:r>
      <w:r>
        <w:rPr>
          <w:noProof/>
        </w:rPr>
        <w:tab/>
      </w:r>
      <w:r>
        <w:rPr>
          <w:noProof/>
        </w:rPr>
        <w:fldChar w:fldCharType="begin"/>
      </w:r>
      <w:r>
        <w:rPr>
          <w:noProof/>
        </w:rPr>
        <w:instrText xml:space="preserve"> PAGEREF _Toc227564129 \h </w:instrText>
      </w:r>
      <w:r>
        <w:rPr>
          <w:noProof/>
        </w:rPr>
      </w:r>
      <w:r>
        <w:rPr>
          <w:noProof/>
        </w:rPr>
        <w:fldChar w:fldCharType="separate"/>
      </w:r>
      <w:r>
        <w:rPr>
          <w:noProof/>
        </w:rPr>
        <w:t>5</w:t>
      </w:r>
      <w:r>
        <w:rPr>
          <w:noProof/>
        </w:rPr>
        <w:fldChar w:fldCharType="end"/>
      </w:r>
    </w:p>
    <w:p w14:paraId="5C7A9141" w14:textId="00E47833" w:rsidR="00B018D5" w:rsidRDefault="00B018D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BEGRUNDELSE</w:t>
      </w:r>
      <w:r>
        <w:rPr>
          <w:noProof/>
        </w:rPr>
        <w:tab/>
      </w:r>
      <w:r>
        <w:rPr>
          <w:noProof/>
        </w:rPr>
        <w:fldChar w:fldCharType="begin"/>
      </w:r>
      <w:r>
        <w:rPr>
          <w:noProof/>
        </w:rPr>
        <w:instrText xml:space="preserve"> PAGEREF _Toc227564130 \h </w:instrText>
      </w:r>
      <w:r>
        <w:rPr>
          <w:noProof/>
        </w:rPr>
      </w:r>
      <w:r>
        <w:rPr>
          <w:noProof/>
        </w:rPr>
        <w:fldChar w:fldCharType="separate"/>
      </w:r>
      <w:r>
        <w:rPr>
          <w:noProof/>
        </w:rPr>
        <w:t>6</w:t>
      </w:r>
      <w:r>
        <w:rPr>
          <w:noProof/>
        </w:rPr>
        <w:fldChar w:fldCharType="end"/>
      </w:r>
    </w:p>
    <w:p w14:paraId="65234AD2" w14:textId="5D673473" w:rsidR="00B018D5" w:rsidRDefault="00B018D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BILAG: ERKLÆRING OM INPUT</w:t>
      </w:r>
      <w:r>
        <w:rPr>
          <w:noProof/>
        </w:rPr>
        <w:tab/>
      </w:r>
      <w:r>
        <w:rPr>
          <w:noProof/>
        </w:rPr>
        <w:fldChar w:fldCharType="begin"/>
      </w:r>
      <w:r>
        <w:rPr>
          <w:noProof/>
        </w:rPr>
        <w:instrText xml:space="preserve"> PAGEREF _Toc227564131 \h </w:instrText>
      </w:r>
      <w:r>
        <w:rPr>
          <w:noProof/>
        </w:rPr>
      </w:r>
      <w:r>
        <w:rPr>
          <w:noProof/>
        </w:rPr>
        <w:fldChar w:fldCharType="separate"/>
      </w:r>
      <w:r>
        <w:rPr>
          <w:noProof/>
        </w:rPr>
        <w:t>7</w:t>
      </w:r>
      <w:r>
        <w:rPr>
          <w:noProof/>
        </w:rPr>
        <w:fldChar w:fldCharType="end"/>
      </w:r>
    </w:p>
    <w:p w14:paraId="4F2A6E07" w14:textId="15FA3CD3" w:rsidR="004E1650" w:rsidRPr="00B018D5" w:rsidRDefault="00B018D5" w:rsidP="00F04010">
      <w:r w:rsidRPr="00B018D5">
        <w:fldChar w:fldCharType="end"/>
      </w:r>
    </w:p>
    <w:p w14:paraId="29CBD305" w14:textId="77777777" w:rsidR="00363B94" w:rsidRPr="00B018D5" w:rsidRDefault="00B018D5" w:rsidP="0006167F">
      <w:pPr>
        <w:pStyle w:val="PageHeading"/>
      </w:pPr>
      <w:r w:rsidRPr="00B018D5">
        <w:br w:type="page"/>
      </w:r>
      <w:r w:rsidRPr="00B018D5">
        <w:lastRenderedPageBreak/>
        <w:br w:type="page"/>
      </w:r>
      <w:bookmarkStart w:id="0" w:name="_Toc227564129"/>
      <w:r w:rsidRPr="00B018D5">
        <w:lastRenderedPageBreak/>
        <w:t>FORSLAG TIL EUROPA-PARLAMENTETS LOVGIVNINGSMÆSSIGE BESLUTNING</w:t>
      </w:r>
      <w:bookmarkEnd w:id="0"/>
    </w:p>
    <w:p w14:paraId="0B6B1D71" w14:textId="77777777" w:rsidR="00363B94" w:rsidRPr="00B018D5" w:rsidRDefault="00B018D5">
      <w:pPr>
        <w:pStyle w:val="NormalBold"/>
      </w:pPr>
      <w:r w:rsidRPr="00B018D5">
        <w:t xml:space="preserve">om forslag til Rådets afgørelse om indgåelse af aftalen mellem Den </w:t>
      </w:r>
      <w:r w:rsidRPr="00B018D5">
        <w:t>Europæiske Union og Republikken Libanon om samarbejdet mellem Den Europæiske Unions Agentur for Strafferetligt Samarbejde (Eurojust) og Republikken Libanons myndigheder med ansvar for retligt samarbejde i straffesager</w:t>
      </w:r>
    </w:p>
    <w:p w14:paraId="27553B7D" w14:textId="77777777" w:rsidR="00363B94" w:rsidRPr="00B018D5" w:rsidRDefault="00B018D5">
      <w:pPr>
        <w:pStyle w:val="NormalBold12a"/>
      </w:pPr>
      <w:r w:rsidRPr="00B018D5">
        <w:t>(13619/2024 – C10</w:t>
      </w:r>
      <w:r w:rsidRPr="00B018D5">
        <w:noBreakHyphen/>
        <w:t>0333/2025 – 2024/0155(NLE))</w:t>
      </w:r>
    </w:p>
    <w:p w14:paraId="0BD7F02C" w14:textId="77777777" w:rsidR="00363B94" w:rsidRPr="00B018D5" w:rsidRDefault="00B018D5" w:rsidP="00893FBD">
      <w:pPr>
        <w:pStyle w:val="NormalBold"/>
      </w:pPr>
      <w:r w:rsidRPr="00B018D5">
        <w:t>(Godkendelse)</w:t>
      </w:r>
    </w:p>
    <w:p w14:paraId="76257F94" w14:textId="77777777" w:rsidR="00363B94" w:rsidRPr="00B018D5" w:rsidRDefault="00B018D5">
      <w:pPr>
        <w:pStyle w:val="EPComma"/>
      </w:pPr>
      <w:r w:rsidRPr="00B018D5">
        <w:rPr>
          <w:i/>
        </w:rPr>
        <w:t>Europa-Parlamentet</w:t>
      </w:r>
      <w:r w:rsidRPr="00B018D5">
        <w:t>,</w:t>
      </w:r>
    </w:p>
    <w:p w14:paraId="179C486E" w14:textId="77777777" w:rsidR="00BF7F55" w:rsidRPr="00B018D5" w:rsidRDefault="00B018D5" w:rsidP="00BF7F55">
      <w:pPr>
        <w:pStyle w:val="NormalHanging12a"/>
      </w:pPr>
      <w:r w:rsidRPr="00B018D5">
        <w:t>–</w:t>
      </w:r>
      <w:r w:rsidRPr="00B018D5">
        <w:tab/>
        <w:t>der henviser til forslag til Rådets afgørelse (13619/2024),</w:t>
      </w:r>
    </w:p>
    <w:p w14:paraId="61935A95" w14:textId="77777777" w:rsidR="00363B94" w:rsidRPr="00B018D5" w:rsidRDefault="00B018D5">
      <w:pPr>
        <w:pStyle w:val="NormalHanging12a"/>
      </w:pPr>
      <w:r w:rsidRPr="00B018D5">
        <w:t>–</w:t>
      </w:r>
      <w:r w:rsidRPr="00B018D5">
        <w:tab/>
        <w:t xml:space="preserve">der henviser til udkast til aftale mellem Den Europæiske Union og Republikken Libanon om samarbejde mellem Den Europæiske Unions Agentur for </w:t>
      </w:r>
      <w:r w:rsidRPr="00B018D5">
        <w:t>Strafferetligt Samarbejde (Eurojust) og Republikken Libanons myndigheder med ansvar for retligt samarbejde i straffesager (13239/24),</w:t>
      </w:r>
    </w:p>
    <w:p w14:paraId="6D06EFED" w14:textId="77777777" w:rsidR="00363B94" w:rsidRPr="00B018D5" w:rsidRDefault="00B018D5">
      <w:pPr>
        <w:pStyle w:val="NormalHanging12a"/>
      </w:pPr>
      <w:r w:rsidRPr="00B018D5">
        <w:t>–</w:t>
      </w:r>
      <w:r w:rsidRPr="00B018D5">
        <w:tab/>
        <w:t>der henviser til den anmodning om godkendelse, som Rådet har forelagt, jf. artikel 16, stk. 2, artikel 85, artikel 218, stk. 6, andet afsnit, litra a), nr. v), og artikel 218, stk. 7, i traktaten om Den Europæiske Unions funktionsmåde (C10</w:t>
      </w:r>
      <w:r w:rsidRPr="00B018D5">
        <w:noBreakHyphen/>
        <w:t>0333/2025),</w:t>
      </w:r>
    </w:p>
    <w:p w14:paraId="3E2F4338" w14:textId="77777777" w:rsidR="00363B94" w:rsidRPr="00B018D5" w:rsidRDefault="00B018D5">
      <w:pPr>
        <w:pStyle w:val="NormalHanging12a"/>
      </w:pPr>
      <w:r w:rsidRPr="00B018D5">
        <w:t>–</w:t>
      </w:r>
      <w:r w:rsidRPr="00B018D5">
        <w:tab/>
        <w:t>der henviser til forretningsordenens artikel 107, stk. 1 og 4, og artikel 117, stk. 7,</w:t>
      </w:r>
    </w:p>
    <w:p w14:paraId="36329961" w14:textId="77777777" w:rsidR="00363B94" w:rsidRPr="00B018D5" w:rsidRDefault="00B018D5">
      <w:pPr>
        <w:pStyle w:val="NormalHanging12a"/>
      </w:pPr>
      <w:r w:rsidRPr="00B018D5">
        <w:t>–</w:t>
      </w:r>
      <w:r w:rsidRPr="00B018D5">
        <w:tab/>
        <w:t>der henviser til henstilling fra Udvalget om Borgernes Rettigheder og Retlige og Indre Anliggender (A10</w:t>
      </w:r>
      <w:r w:rsidRPr="00B018D5">
        <w:noBreakHyphen/>
        <w:t>0000/2026),</w:t>
      </w:r>
    </w:p>
    <w:p w14:paraId="4E32F681" w14:textId="77777777" w:rsidR="00363B94" w:rsidRPr="00B018D5" w:rsidRDefault="00B018D5">
      <w:pPr>
        <w:pStyle w:val="NormalHanging12a"/>
      </w:pPr>
      <w:r w:rsidRPr="00B018D5">
        <w:t>1.</w:t>
      </w:r>
      <w:r w:rsidRPr="00B018D5">
        <w:tab/>
        <w:t>godkender indgåelsen af aftalen;</w:t>
      </w:r>
    </w:p>
    <w:p w14:paraId="14278BA8" w14:textId="77777777" w:rsidR="001D02E3" w:rsidRPr="00B018D5" w:rsidRDefault="00B018D5">
      <w:pPr>
        <w:pStyle w:val="NormalHanging12a"/>
      </w:pPr>
      <w:r w:rsidRPr="00B018D5">
        <w:t>2.</w:t>
      </w:r>
      <w:r w:rsidRPr="00B018D5">
        <w:tab/>
        <w:t>pålægger sin formand at sende Parlamentets holdning til Rådet og Kommissionen samt til medlemsstaternes regeringer og parlamenter og Den Libanesiske Republiks myndigheder.</w:t>
      </w:r>
    </w:p>
    <w:p w14:paraId="4C2568DF" w14:textId="77777777" w:rsidR="00B40081" w:rsidRPr="00B018D5" w:rsidRDefault="00B40081" w:rsidP="00822206">
      <w:pPr>
        <w:sectPr w:rsidR="00B40081" w:rsidRPr="00B018D5" w:rsidSect="00747B2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52351FBB" w14:textId="77777777" w:rsidR="00363B94" w:rsidRPr="00B018D5" w:rsidRDefault="00B018D5" w:rsidP="00B40081">
      <w:pPr>
        <w:pStyle w:val="PageHeading"/>
      </w:pPr>
      <w:bookmarkStart w:id="1" w:name="_Toc227564130"/>
      <w:r w:rsidRPr="00B018D5">
        <w:lastRenderedPageBreak/>
        <w:t>BEGRUNDELSE</w:t>
      </w:r>
      <w:bookmarkEnd w:id="1"/>
    </w:p>
    <w:p w14:paraId="5B0F3847" w14:textId="77777777" w:rsidR="00991C00" w:rsidRPr="00B018D5" w:rsidRDefault="00B018D5" w:rsidP="00B018D5">
      <w:pPr>
        <w:spacing w:after="240"/>
      </w:pPr>
      <w:r w:rsidRPr="00B018D5">
        <w:t>Forslaget til Rådets afgørelse har til formål at godkende aftalen mellem Den Europæiske Union og Den Libanesiske Republik om samarbejdet mellem Den Europæiske Unions Agentur for Strafferetligt Samarbejde (Eurojust) og Den Libanesiske Republiks myndigheder med ansvar for retligt samarbejde i straffesager (i det følgende benævnt "aftalen").</w:t>
      </w:r>
    </w:p>
    <w:p w14:paraId="720DBEF4" w14:textId="77777777" w:rsidR="00991C00" w:rsidRPr="00B018D5" w:rsidRDefault="00B018D5" w:rsidP="00B018D5">
      <w:pPr>
        <w:spacing w:after="240"/>
      </w:pPr>
      <w:r w:rsidRPr="00B018D5">
        <w:t>Internationale samarbejdsaftaler gør det muligt for Eurojust at arbejde tæt sammen og udveksle personoplysninger med kompetente myndigheder i udvalgte tredjelande, eftersom de garanterer, at der er indført tilstrækkelige garantier med hensyn til at beskytte fysiske personers personoplysninger. Eurojusts tætte samarbejde med kompetente myndigheder i tredjelande er afgørende for at bekæmpe en lang række alvorlige og komplekse grænseoverskridende strafbare handlinger såsom terrorisme, cyberkriminalitet, narkot</w:t>
      </w:r>
      <w:r w:rsidRPr="00B018D5">
        <w:t>ikahandel og ulovlig våbenhandel eller smugling af migranter.</w:t>
      </w:r>
    </w:p>
    <w:p w14:paraId="48BECF53" w14:textId="77777777" w:rsidR="00991C00" w:rsidRPr="00B018D5" w:rsidRDefault="00B018D5" w:rsidP="00B018D5">
      <w:pPr>
        <w:spacing w:after="240"/>
      </w:pPr>
      <w:r w:rsidRPr="00B018D5">
        <w:t xml:space="preserve">Et </w:t>
      </w:r>
      <w:r w:rsidRPr="00B018D5">
        <w:t>tæt samarbejde med tredjelande forventes at blive en integreret del af den nye EU-strategi for indre sikkerhed. Kommissionen anbefalede at indlede forhandlinger om aftalen allerede i 2020. Rådet gav sin godkendelse den 1. marts 2021, og forhandlingerne blev indledt senere i december 2022. Efter to forhandlingsrunder blev forhandlingsprocessen afsluttet med et positivt resultat, og der blev opnået foreløbig enighed den 11. oktober 2023. Rådet vedtog aftalen den 10. oktober 2024. Aftalen blev undertegnet af k</w:t>
      </w:r>
      <w:r w:rsidRPr="00B018D5">
        <w:t>ommissær Michael McGrath og Libanons justitsminister, Adel Nassar, den 2. december 2025.</w:t>
      </w:r>
    </w:p>
    <w:p w14:paraId="1FF623CE" w14:textId="77777777" w:rsidR="00991C00" w:rsidRPr="00B018D5" w:rsidRDefault="00B018D5" w:rsidP="00B018D5">
      <w:pPr>
        <w:spacing w:after="240"/>
      </w:pPr>
      <w:r w:rsidRPr="00B018D5">
        <w:t>Formålet med denne aftale er at styrke det retlige samarbejde mellem Eurojust og Libanons kompetente myndigheder ved at muliggøre udveksling af operationelle oplysninger mellem Eurojust og de libanesiske retlige myndigheder for at støtte og styrke deres samarbejde om efterforskning og retsforfølgning af grov grænseoverskridende kriminalitet. Aftalen vil i væsentlig grad styrke EU's og Libanons koordinerede reaktion på grov grænseoverskridende kriminalitet, navnlig organiseret kriminalitet og terrorisme, bl.</w:t>
      </w:r>
      <w:r w:rsidRPr="00B018D5">
        <w:t>a. i forbindelse med fælles efterforskning. Libanon vil derfor udpege en forbindelsesanklager ved Eurojust, som skal arbejde sammen med anklagere fra EU's medlemsstater og andre partnerlande.</w:t>
      </w:r>
    </w:p>
    <w:p w14:paraId="5F832A4B" w14:textId="77777777" w:rsidR="00991C00" w:rsidRPr="00B018D5" w:rsidRDefault="00B018D5" w:rsidP="00B018D5">
      <w:pPr>
        <w:spacing w:after="240"/>
      </w:pPr>
      <w:r w:rsidRPr="00B018D5">
        <w:t>Aftalen indeholder også stærke garantier for databeskyttelse og grundlæggende rettigheder, der er i overensstemmelse med EU's normer. Ifølge udtalelse 19/2024 af 28. august 2024 fra Den Europæiske Tilsynsførende for Databeskyttelse ("EDPS") giver den endelige tekst til aftalen tilstrækkelige garantier med hensyn til beskyttelsen af privatlivets fred og fysiske personers grundlæggende rettigheder og frihedsrettigheder og giver yderligere garantier for beskyttelsen af EU-borgernes personoplysninger, som Euroj</w:t>
      </w:r>
      <w:r w:rsidRPr="00B018D5">
        <w:t>ust videregiver til de libanesiske myndigheder. I den forbindelse orienterede Kommissionen ordføreren og skyggeordførerne den 13. april 2026 og bekræftede, at aftalen ikke på nogen måde undergraver privatlivets fred og databeskyttelsen til fordel for sikkerheden.</w:t>
      </w:r>
    </w:p>
    <w:p w14:paraId="3627A83D" w14:textId="7A2A27D5" w:rsidR="00B40081" w:rsidRPr="00B018D5" w:rsidRDefault="00B018D5" w:rsidP="00B018D5">
      <w:pPr>
        <w:spacing w:after="240"/>
      </w:pPr>
      <w:r w:rsidRPr="00B018D5">
        <w:t>I lyset af ovenstående anbefaler ordføreren, at Parlamentet godkender forslaget til Rådets afgørelse.</w:t>
      </w:r>
    </w:p>
    <w:p w14:paraId="2A6DFC56" w14:textId="77777777" w:rsidR="00B40081" w:rsidRPr="00B018D5" w:rsidRDefault="00B40081" w:rsidP="00822206"/>
    <w:p w14:paraId="5876305B" w14:textId="77777777" w:rsidR="00B40081" w:rsidRPr="00B018D5" w:rsidRDefault="00B40081">
      <w:pPr>
        <w:widowControl/>
        <w:sectPr w:rsidR="00B40081" w:rsidRPr="00B018D5" w:rsidSect="00B4008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929E6FA" w14:textId="77777777" w:rsidR="00B40081" w:rsidRPr="00B018D5" w:rsidRDefault="00B40081">
      <w:pPr>
        <w:widowControl/>
      </w:pPr>
    </w:p>
    <w:p w14:paraId="678EEF71" w14:textId="77777777" w:rsidR="00B40081" w:rsidRPr="00B018D5" w:rsidRDefault="00B018D5" w:rsidP="007041CC">
      <w:pPr>
        <w:pStyle w:val="PageHeading"/>
      </w:pPr>
      <w:bookmarkStart w:id="2" w:name="FootprintPageRR"/>
      <w:bookmarkStart w:id="3" w:name="_Toc227564131"/>
      <w:r w:rsidRPr="00B018D5">
        <w:t>BILAG: ERKLÆRING OM INPUT</w:t>
      </w:r>
      <w:bookmarkEnd w:id="3"/>
    </w:p>
    <w:p w14:paraId="7184AE18" w14:textId="77777777" w:rsidR="00B40081" w:rsidRPr="00B018D5" w:rsidRDefault="00B018D5" w:rsidP="00B31C6A">
      <w:pPr>
        <w:pStyle w:val="Normal24a"/>
        <w:spacing w:after="240"/>
      </w:pPr>
      <w:r w:rsidRPr="00B018D5">
        <w:rPr>
          <w:rStyle w:val="HideTWBExt"/>
          <w:noProof w:val="0"/>
        </w:rPr>
        <w:t>&lt;FootprintIntro&gt;</w:t>
      </w:r>
      <w:r w:rsidRPr="00B018D5">
        <w:t xml:space="preserve">Ordføreren erklærer på eget ansvar, at han ikke i sin betænkning har medtaget input fra </w:t>
      </w:r>
      <w:r w:rsidRPr="00B018D5">
        <w:t>interesserepræsentanter, der er omfattet af anvendelsesområdet for den interinstitutionelle aftale om et obligatorisk åbenhedsregister</w:t>
      </w:r>
      <w:r w:rsidRPr="00B018D5">
        <w:rPr>
          <w:rStyle w:val="FootnoteReference"/>
        </w:rPr>
        <w:footnoteReference w:id="1"/>
      </w:r>
      <w:r w:rsidRPr="00B018D5">
        <w:t>, eller fra repræsentanter for offentlige myndigheder i tredjelande, herunder deres diplomatiske missioner og ambassader, som i henhold til artikel 8 i bilag I til forretningsordenen skal angives i dette bilag.</w:t>
      </w:r>
      <w:r w:rsidRPr="00B018D5">
        <w:rPr>
          <w:rStyle w:val="HideTWBExt"/>
          <w:noProof w:val="0"/>
        </w:rPr>
        <w:t>&lt;/FootprintIntro&gt;</w:t>
      </w:r>
    </w:p>
    <w:p w14:paraId="0A17CC14" w14:textId="77777777" w:rsidR="00B40081" w:rsidRPr="00B018D5" w:rsidRDefault="00B40081" w:rsidP="00646AD2">
      <w:pPr>
        <w:pStyle w:val="Footprint12b"/>
      </w:pPr>
    </w:p>
    <w:p w14:paraId="4DFCCA65" w14:textId="77777777" w:rsidR="00B40081" w:rsidRPr="00B018D5" w:rsidRDefault="00B40081" w:rsidP="00B40081"/>
    <w:bookmarkEnd w:id="2"/>
    <w:p w14:paraId="75ED6831" w14:textId="77777777" w:rsidR="00B40081" w:rsidRPr="00B018D5" w:rsidRDefault="00B40081" w:rsidP="00822206"/>
    <w:sectPr w:rsidR="00B40081" w:rsidRPr="00B018D5" w:rsidSect="00B4008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6AB25" w14:textId="77777777" w:rsidR="00B018D5" w:rsidRPr="00747B23" w:rsidRDefault="00B018D5">
      <w:r w:rsidRPr="00747B23">
        <w:separator/>
      </w:r>
    </w:p>
  </w:endnote>
  <w:endnote w:type="continuationSeparator" w:id="0">
    <w:p w14:paraId="16ADE088" w14:textId="77777777" w:rsidR="00B018D5" w:rsidRPr="00747B23" w:rsidRDefault="00B018D5">
      <w:r w:rsidRPr="00747B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CCE6C" w14:textId="77777777" w:rsidR="00747B23" w:rsidRPr="00747B23" w:rsidRDefault="00747B23" w:rsidP="00747B23">
    <w:pPr>
      <w:pStyle w:val="EPFooter"/>
    </w:pPr>
    <w:r w:rsidRPr="00747B23">
      <w:t>PE</w:t>
    </w:r>
    <w:r w:rsidRPr="00747B23">
      <w:rPr>
        <w:rStyle w:val="HideTWBExt"/>
      </w:rPr>
      <w:t>&lt;NoPE&gt;</w:t>
    </w:r>
    <w:r w:rsidRPr="00747B23">
      <w:t>786.905</w:t>
    </w:r>
    <w:r w:rsidRPr="00747B23">
      <w:rPr>
        <w:rStyle w:val="HideTWBExt"/>
      </w:rPr>
      <w:t>&lt;/NoPE&gt;&lt;Version&gt;</w:t>
    </w:r>
    <w:r w:rsidRPr="00747B23">
      <w:t>v01-00</w:t>
    </w:r>
    <w:r w:rsidRPr="00747B23">
      <w:rPr>
        <w:rStyle w:val="HideTWBExt"/>
      </w:rPr>
      <w:t>&lt;/Version&gt;</w:t>
    </w:r>
    <w:r w:rsidRPr="00747B23">
      <w:tab/>
    </w:r>
    <w:r w:rsidRPr="00747B23">
      <w:fldChar w:fldCharType="begin"/>
    </w:r>
    <w:r w:rsidRPr="00747B23">
      <w:instrText xml:space="preserve"> PAGE  \* MERGEFORMAT </w:instrText>
    </w:r>
    <w:r w:rsidRPr="00747B23">
      <w:fldChar w:fldCharType="separate"/>
    </w:r>
    <w:r w:rsidRPr="00747B23">
      <w:rPr>
        <w:noProof/>
      </w:rPr>
      <w:t>1</w:t>
    </w:r>
    <w:r w:rsidRPr="00747B23">
      <w:fldChar w:fldCharType="end"/>
    </w:r>
    <w:r w:rsidRPr="00747B23">
      <w:t>/</w:t>
    </w:r>
    <w:fldSimple w:instr=" NUMPAGES  \* MERGEFORMAT ">
      <w:r w:rsidRPr="00747B23">
        <w:rPr>
          <w:noProof/>
        </w:rPr>
        <w:t>1</w:t>
      </w:r>
    </w:fldSimple>
    <w:r w:rsidRPr="00747B23">
      <w:tab/>
    </w:r>
    <w:r w:rsidRPr="00747B23">
      <w:rPr>
        <w:rStyle w:val="HideTWBExt"/>
      </w:rPr>
      <w:t>&lt;PathFdR&gt;</w:t>
    </w:r>
    <w:r w:rsidRPr="00747B23">
      <w:t>PR\1340836DA.docx</w:t>
    </w:r>
    <w:r w:rsidRPr="00747B23">
      <w:rPr>
        <w:rStyle w:val="HideTWBExt"/>
      </w:rPr>
      <w:t>&lt;/PathFdR&gt;</w:t>
    </w:r>
  </w:p>
  <w:p w14:paraId="77A293DB" w14:textId="7131ED24" w:rsidR="0085501C" w:rsidRPr="00747B23" w:rsidRDefault="00747B23" w:rsidP="00747B23">
    <w:pPr>
      <w:pStyle w:val="EPFooter2"/>
    </w:pPr>
    <w:r w:rsidRPr="00747B23">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55E24" w14:textId="77777777" w:rsidR="00747B23" w:rsidRPr="00747B23" w:rsidRDefault="00747B23" w:rsidP="00747B23">
    <w:pPr>
      <w:pStyle w:val="EPFooter"/>
    </w:pPr>
    <w:r w:rsidRPr="00747B23">
      <w:rPr>
        <w:rStyle w:val="HideTWBExt"/>
      </w:rPr>
      <w:t>&lt;PathFdR&gt;</w:t>
    </w:r>
    <w:r w:rsidRPr="00747B23">
      <w:t>PR\1340836DA.docx</w:t>
    </w:r>
    <w:r w:rsidRPr="00747B23">
      <w:rPr>
        <w:rStyle w:val="HideTWBExt"/>
      </w:rPr>
      <w:t>&lt;/PathFdR&gt;</w:t>
    </w:r>
    <w:r w:rsidRPr="00747B23">
      <w:tab/>
    </w:r>
    <w:r w:rsidRPr="00747B23">
      <w:fldChar w:fldCharType="begin"/>
    </w:r>
    <w:r w:rsidRPr="00747B23">
      <w:instrText xml:space="preserve"> PAGE  \* MERGEFORMAT </w:instrText>
    </w:r>
    <w:r w:rsidRPr="00747B23">
      <w:fldChar w:fldCharType="separate"/>
    </w:r>
    <w:r w:rsidRPr="00747B23">
      <w:rPr>
        <w:noProof/>
      </w:rPr>
      <w:t>1</w:t>
    </w:r>
    <w:r w:rsidRPr="00747B23">
      <w:fldChar w:fldCharType="end"/>
    </w:r>
    <w:r w:rsidRPr="00747B23">
      <w:t>/</w:t>
    </w:r>
    <w:fldSimple w:instr=" NUMPAGES  \* MERGEFORMAT ">
      <w:r w:rsidRPr="00747B23">
        <w:rPr>
          <w:noProof/>
        </w:rPr>
        <w:t>1</w:t>
      </w:r>
    </w:fldSimple>
    <w:r w:rsidRPr="00747B23">
      <w:tab/>
      <w:t>PE</w:t>
    </w:r>
    <w:r w:rsidRPr="00747B23">
      <w:rPr>
        <w:rStyle w:val="HideTWBExt"/>
      </w:rPr>
      <w:t>&lt;NoPE&gt;</w:t>
    </w:r>
    <w:r w:rsidRPr="00747B23">
      <w:t>786.905</w:t>
    </w:r>
    <w:r w:rsidRPr="00747B23">
      <w:rPr>
        <w:rStyle w:val="HideTWBExt"/>
      </w:rPr>
      <w:t>&lt;/NoPE&gt;&lt;Version&gt;</w:t>
    </w:r>
    <w:r w:rsidRPr="00747B23">
      <w:t>v01-00</w:t>
    </w:r>
    <w:r w:rsidRPr="00747B23">
      <w:rPr>
        <w:rStyle w:val="HideTWBExt"/>
      </w:rPr>
      <w:t>&lt;/Version&gt;</w:t>
    </w:r>
  </w:p>
  <w:p w14:paraId="326E5386" w14:textId="0D6F09E0" w:rsidR="0085501C" w:rsidRPr="00747B23" w:rsidRDefault="00747B23" w:rsidP="00747B23">
    <w:pPr>
      <w:pStyle w:val="EPFooter2"/>
    </w:pPr>
    <w:r w:rsidRPr="00747B23">
      <w:tab/>
    </w:r>
    <w:r w:rsidRPr="00747B23">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53A9D" w14:textId="77777777" w:rsidR="00747B23" w:rsidRPr="00747B23" w:rsidRDefault="00747B23" w:rsidP="00747B23">
    <w:pPr>
      <w:pStyle w:val="EPFooter"/>
    </w:pPr>
    <w:r w:rsidRPr="00747B23">
      <w:rPr>
        <w:rStyle w:val="HideTWBExt"/>
      </w:rPr>
      <w:t>&lt;PathFdR&gt;</w:t>
    </w:r>
    <w:r w:rsidRPr="00747B23">
      <w:t>PR\1340836DA.docx</w:t>
    </w:r>
    <w:r w:rsidRPr="00747B23">
      <w:rPr>
        <w:rStyle w:val="HideTWBExt"/>
      </w:rPr>
      <w:t>&lt;/PathFdR&gt;</w:t>
    </w:r>
    <w:r w:rsidRPr="00747B23">
      <w:tab/>
    </w:r>
    <w:r w:rsidRPr="00747B23">
      <w:tab/>
      <w:t>PE</w:t>
    </w:r>
    <w:r w:rsidRPr="00747B23">
      <w:rPr>
        <w:rStyle w:val="HideTWBExt"/>
      </w:rPr>
      <w:t>&lt;NoPE&gt;</w:t>
    </w:r>
    <w:r w:rsidRPr="00747B23">
      <w:t>786.905</w:t>
    </w:r>
    <w:r w:rsidRPr="00747B23">
      <w:rPr>
        <w:rStyle w:val="HideTWBExt"/>
      </w:rPr>
      <w:t>&lt;/NoPE&gt;&lt;Version&gt;</w:t>
    </w:r>
    <w:r w:rsidRPr="00747B23">
      <w:t>v01-00</w:t>
    </w:r>
    <w:r w:rsidRPr="00747B23">
      <w:rPr>
        <w:rStyle w:val="HideTWBExt"/>
      </w:rPr>
      <w:t>&lt;/Version&gt;</w:t>
    </w:r>
  </w:p>
  <w:p w14:paraId="1E2215C3" w14:textId="30E6B85F" w:rsidR="0085501C" w:rsidRPr="00747B23" w:rsidRDefault="00747B23" w:rsidP="00747B23">
    <w:pPr>
      <w:pStyle w:val="EPFooter2"/>
    </w:pPr>
    <w:r w:rsidRPr="00747B23">
      <w:t>DA</w:t>
    </w:r>
    <w:r w:rsidRPr="00747B23">
      <w:tab/>
    </w:r>
    <w:r w:rsidRPr="00747B23">
      <w:rPr>
        <w:b w:val="0"/>
        <w:i/>
        <w:color w:val="C0C0C0"/>
        <w:sz w:val="22"/>
      </w:rPr>
      <w:t>Forenet i mangfoldighed</w:t>
    </w:r>
    <w:r w:rsidRPr="00747B23">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A2460" w14:textId="77777777" w:rsidR="0016295E" w:rsidRPr="00747B23" w:rsidRDefault="00B018D5">
      <w:r w:rsidRPr="00747B23">
        <w:separator/>
      </w:r>
    </w:p>
  </w:footnote>
  <w:footnote w:type="continuationSeparator" w:id="0">
    <w:p w14:paraId="721A429A" w14:textId="77777777" w:rsidR="0016295E" w:rsidRPr="00747B23" w:rsidRDefault="00B018D5">
      <w:r w:rsidRPr="00747B23">
        <w:continuationSeparator/>
      </w:r>
    </w:p>
  </w:footnote>
  <w:footnote w:id="1">
    <w:p w14:paraId="0042F279" w14:textId="77777777" w:rsidR="00623B61" w:rsidRPr="00747B23" w:rsidRDefault="00B018D5">
      <w:pPr>
        <w:pStyle w:val="FootnoteText"/>
      </w:pPr>
      <w:r w:rsidRPr="00747B23">
        <w:rPr>
          <w:rStyle w:val="FootnoteReference"/>
        </w:rPr>
        <w:footnoteRef/>
      </w:r>
      <w:r w:rsidRPr="00747B23">
        <w:t xml:space="preserve"> Interinstitutionel aftale af 20. maj 2021 mellem Europa-Parlamentet, Rådet for Den Europæiske Union og Europa-Kommissionen om et obligatorisk åbenhedsregister (EUT L 207 af 11.6.2021, s. 1, ELI: </w:t>
      </w:r>
      <w:hyperlink r:id="rId1" w:tooltip="http://data.europa.eu/eli/agree_interinstit/2021/611/oj" w:history="1">
        <w:r w:rsidR="00623B61" w:rsidRPr="00747B23">
          <w:rPr>
            <w:rStyle w:val="Hyperlink"/>
          </w:rPr>
          <w:t>http://data.europa.eu/eli/agree_interinstit/2021/611/oj</w:t>
        </w:r>
      </w:hyperlink>
      <w:r w:rsidRPr="00747B2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9FDE0" w14:textId="77777777" w:rsidR="00B018D5" w:rsidRDefault="00B018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58669" w14:textId="77777777" w:rsidR="00B018D5" w:rsidRDefault="00B018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EA3A0" w14:textId="77777777" w:rsidR="00B018D5" w:rsidRDefault="00B018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052971205">
    <w:abstractNumId w:val="9"/>
  </w:num>
  <w:num w:numId="2" w16cid:durableId="296423019">
    <w:abstractNumId w:val="9"/>
  </w:num>
  <w:num w:numId="3" w16cid:durableId="196704014">
    <w:abstractNumId w:val="7"/>
  </w:num>
  <w:num w:numId="4" w16cid:durableId="1048261777">
    <w:abstractNumId w:val="7"/>
  </w:num>
  <w:num w:numId="5" w16cid:durableId="1930112462">
    <w:abstractNumId w:val="6"/>
  </w:num>
  <w:num w:numId="6" w16cid:durableId="1552499528">
    <w:abstractNumId w:val="6"/>
  </w:num>
  <w:num w:numId="7" w16cid:durableId="1085685700">
    <w:abstractNumId w:val="5"/>
  </w:num>
  <w:num w:numId="8" w16cid:durableId="300623979">
    <w:abstractNumId w:val="5"/>
  </w:num>
  <w:num w:numId="9" w16cid:durableId="288164842">
    <w:abstractNumId w:val="4"/>
  </w:num>
  <w:num w:numId="10" w16cid:durableId="212035960">
    <w:abstractNumId w:val="4"/>
  </w:num>
  <w:num w:numId="11" w16cid:durableId="341082070">
    <w:abstractNumId w:val="8"/>
  </w:num>
  <w:num w:numId="12" w16cid:durableId="1449547010">
    <w:abstractNumId w:val="8"/>
  </w:num>
  <w:num w:numId="13" w16cid:durableId="1459834565">
    <w:abstractNumId w:val="3"/>
  </w:num>
  <w:num w:numId="14" w16cid:durableId="2088336526">
    <w:abstractNumId w:val="3"/>
  </w:num>
  <w:num w:numId="15" w16cid:durableId="1012269561">
    <w:abstractNumId w:val="2"/>
  </w:num>
  <w:num w:numId="16" w16cid:durableId="1330987608">
    <w:abstractNumId w:val="2"/>
  </w:num>
  <w:num w:numId="17" w16cid:durableId="850685038">
    <w:abstractNumId w:val="1"/>
  </w:num>
  <w:num w:numId="18" w16cid:durableId="1830176463">
    <w:abstractNumId w:val="1"/>
  </w:num>
  <w:num w:numId="19" w16cid:durableId="695080172">
    <w:abstractNumId w:val="0"/>
  </w:num>
  <w:num w:numId="20" w16cid:durableId="307244054">
    <w:abstractNumId w:val="0"/>
  </w:num>
  <w:num w:numId="21" w16cid:durableId="2117484805">
    <w:abstractNumId w:val="9"/>
  </w:num>
  <w:num w:numId="22" w16cid:durableId="166866311">
    <w:abstractNumId w:val="7"/>
  </w:num>
  <w:num w:numId="23" w16cid:durableId="751197002">
    <w:abstractNumId w:val="6"/>
  </w:num>
  <w:num w:numId="24" w16cid:durableId="1577082195">
    <w:abstractNumId w:val="5"/>
  </w:num>
  <w:num w:numId="25" w16cid:durableId="2026665216">
    <w:abstractNumId w:val="4"/>
  </w:num>
  <w:num w:numId="26" w16cid:durableId="972055542">
    <w:abstractNumId w:val="8"/>
  </w:num>
  <w:num w:numId="27" w16cid:durableId="2038921973">
    <w:abstractNumId w:val="3"/>
  </w:num>
  <w:num w:numId="28" w16cid:durableId="2142531798">
    <w:abstractNumId w:val="2"/>
  </w:num>
  <w:num w:numId="29" w16cid:durableId="1713769946">
    <w:abstractNumId w:val="1"/>
  </w:num>
  <w:num w:numId="30" w16cid:durableId="1959145471">
    <w:abstractNumId w:val="0"/>
  </w:num>
  <w:num w:numId="31" w16cid:durableId="384764513">
    <w:abstractNumId w:val="9"/>
  </w:num>
  <w:num w:numId="32" w16cid:durableId="347021435">
    <w:abstractNumId w:val="7"/>
  </w:num>
  <w:num w:numId="33" w16cid:durableId="1815221118">
    <w:abstractNumId w:val="6"/>
  </w:num>
  <w:num w:numId="34" w16cid:durableId="1994724032">
    <w:abstractNumId w:val="5"/>
  </w:num>
  <w:num w:numId="35" w16cid:durableId="1724326171">
    <w:abstractNumId w:val="4"/>
  </w:num>
  <w:num w:numId="36" w16cid:durableId="834607939">
    <w:abstractNumId w:val="8"/>
  </w:num>
  <w:num w:numId="37" w16cid:durableId="58752968">
    <w:abstractNumId w:val="3"/>
  </w:num>
  <w:num w:numId="38" w16cid:durableId="2024621193">
    <w:abstractNumId w:val="2"/>
  </w:num>
  <w:num w:numId="39" w16cid:durableId="1269198987">
    <w:abstractNumId w:val="1"/>
  </w:num>
  <w:num w:numId="40" w16cid:durableId="429012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PMNU" w:val=" 1"/>
    <w:docVar w:name="CIT1MNU" w:val=" 4"/>
    <w:docVar w:name="CIT2MNU" w:val=" 4"/>
    <w:docVar w:name="CIT3MNU" w:val=" 4"/>
    <w:docVar w:name="COMKEY" w:val="LIBE"/>
    <w:docVar w:name="CONSENTMNU" w:val=" 1"/>
    <w:docVar w:name="CONTRIBUTIONMNU" w:val=" 2"/>
    <w:docVar w:name="CopyToNetwork" w:val="-1"/>
    <w:docVar w:name="DOCDT" w:val="..."/>
    <w:docVar w:name="LastEditedSection" w:val=" 1"/>
    <w:docVar w:name="NVAR1" w:val="0"/>
    <w:docVar w:name="strDocTypeID" w:val="PR_NLE-AP_Agreement"/>
    <w:docVar w:name="strSubDir" w:val="1340"/>
    <w:docVar w:name="TITLEMNU" w:val=" 1"/>
    <w:docVar w:name="TXTAUTHOR" w:val="Jaroslav Bžoch"/>
    <w:docVar w:name="TXTLANGUE" w:val="DA"/>
    <w:docVar w:name="TXTLANGUEMIN" w:val="da"/>
    <w:docVar w:name="TXTNRC" w:val="0333/2025"/>
    <w:docVar w:name="TXTNRCOM" w:val="(2024)0281"/>
    <w:docVar w:name="TXTNRNLE" w:val="2024/0155"/>
    <w:docVar w:name="TXTNRPE" w:val="786.905"/>
    <w:docVar w:name="TXTPEorAP" w:val="PE"/>
    <w:docVar w:name="TXTROUTE" w:val="PR\1340836DA.docx"/>
    <w:docVar w:name="TXTTITLE" w:val="on the conclusion on behalf of the European Union of the Agreement between the European Union and the Republic of Lebanon on the cooperation between the European Union Agency for Criminal Justice Cooperation (Eurojust) and the authorities of the Republic of Lebanon competent for judicial cooperation in criminal"/>
    <w:docVar w:name="TXTVERSION" w:val="01-00"/>
  </w:docVars>
  <w:rsids>
    <w:rsidRoot w:val="00362567"/>
    <w:rsid w:val="00001D52"/>
    <w:rsid w:val="0000443F"/>
    <w:rsid w:val="000053E3"/>
    <w:rsid w:val="00016E55"/>
    <w:rsid w:val="0006167F"/>
    <w:rsid w:val="00061EFE"/>
    <w:rsid w:val="000911C7"/>
    <w:rsid w:val="00095D8B"/>
    <w:rsid w:val="000A2F73"/>
    <w:rsid w:val="000C123D"/>
    <w:rsid w:val="000C30E8"/>
    <w:rsid w:val="000D78AF"/>
    <w:rsid w:val="0016295E"/>
    <w:rsid w:val="00180664"/>
    <w:rsid w:val="001868D7"/>
    <w:rsid w:val="001874D8"/>
    <w:rsid w:val="001B386D"/>
    <w:rsid w:val="001D02E3"/>
    <w:rsid w:val="001E1DFD"/>
    <w:rsid w:val="001F7BBE"/>
    <w:rsid w:val="0021049A"/>
    <w:rsid w:val="0021235A"/>
    <w:rsid w:val="0022685A"/>
    <w:rsid w:val="002673C4"/>
    <w:rsid w:val="002E2E20"/>
    <w:rsid w:val="002F5A83"/>
    <w:rsid w:val="003072BE"/>
    <w:rsid w:val="00337C92"/>
    <w:rsid w:val="00362567"/>
    <w:rsid w:val="00363B94"/>
    <w:rsid w:val="003B598C"/>
    <w:rsid w:val="0040567E"/>
    <w:rsid w:val="004174FC"/>
    <w:rsid w:val="00460BD6"/>
    <w:rsid w:val="004859B3"/>
    <w:rsid w:val="004C083C"/>
    <w:rsid w:val="004E1650"/>
    <w:rsid w:val="004F5648"/>
    <w:rsid w:val="005027B1"/>
    <w:rsid w:val="0053367A"/>
    <w:rsid w:val="00544D48"/>
    <w:rsid w:val="005877C0"/>
    <w:rsid w:val="005A6B14"/>
    <w:rsid w:val="005D0B97"/>
    <w:rsid w:val="005F5D6C"/>
    <w:rsid w:val="006132CE"/>
    <w:rsid w:val="00613F2E"/>
    <w:rsid w:val="00623B61"/>
    <w:rsid w:val="00623BA7"/>
    <w:rsid w:val="00646AD2"/>
    <w:rsid w:val="00664AC8"/>
    <w:rsid w:val="006927CE"/>
    <w:rsid w:val="006A1A75"/>
    <w:rsid w:val="006A2CF5"/>
    <w:rsid w:val="006F1B6F"/>
    <w:rsid w:val="007041CC"/>
    <w:rsid w:val="0071694E"/>
    <w:rsid w:val="00717061"/>
    <w:rsid w:val="007249C3"/>
    <w:rsid w:val="0072589E"/>
    <w:rsid w:val="007460DA"/>
    <w:rsid w:val="00747B23"/>
    <w:rsid w:val="00791637"/>
    <w:rsid w:val="007B7627"/>
    <w:rsid w:val="007E643A"/>
    <w:rsid w:val="0080122F"/>
    <w:rsid w:val="00822206"/>
    <w:rsid w:val="00835192"/>
    <w:rsid w:val="008368CB"/>
    <w:rsid w:val="0085501C"/>
    <w:rsid w:val="008744F8"/>
    <w:rsid w:val="00893FBD"/>
    <w:rsid w:val="008A14F3"/>
    <w:rsid w:val="008B75A4"/>
    <w:rsid w:val="008D23C6"/>
    <w:rsid w:val="008D3030"/>
    <w:rsid w:val="008E3848"/>
    <w:rsid w:val="008F4474"/>
    <w:rsid w:val="00924EE0"/>
    <w:rsid w:val="009612AA"/>
    <w:rsid w:val="00991C00"/>
    <w:rsid w:val="009B4F6B"/>
    <w:rsid w:val="009E39A7"/>
    <w:rsid w:val="009F630A"/>
    <w:rsid w:val="00A415B7"/>
    <w:rsid w:val="00A558AA"/>
    <w:rsid w:val="00AD5D0C"/>
    <w:rsid w:val="00AE3112"/>
    <w:rsid w:val="00B018D5"/>
    <w:rsid w:val="00B2625F"/>
    <w:rsid w:val="00B31C6A"/>
    <w:rsid w:val="00B31D18"/>
    <w:rsid w:val="00B40081"/>
    <w:rsid w:val="00B42885"/>
    <w:rsid w:val="00B43F76"/>
    <w:rsid w:val="00B50C20"/>
    <w:rsid w:val="00B63A3B"/>
    <w:rsid w:val="00B6769C"/>
    <w:rsid w:val="00B67E01"/>
    <w:rsid w:val="00B837B7"/>
    <w:rsid w:val="00B94FB5"/>
    <w:rsid w:val="00BB22CC"/>
    <w:rsid w:val="00BB41C8"/>
    <w:rsid w:val="00BE5E72"/>
    <w:rsid w:val="00BF0A0F"/>
    <w:rsid w:val="00BF2E15"/>
    <w:rsid w:val="00BF7F55"/>
    <w:rsid w:val="00C05DD8"/>
    <w:rsid w:val="00C15447"/>
    <w:rsid w:val="00C35D01"/>
    <w:rsid w:val="00C5071F"/>
    <w:rsid w:val="00C85D0F"/>
    <w:rsid w:val="00CB5651"/>
    <w:rsid w:val="00CC20CB"/>
    <w:rsid w:val="00CC2501"/>
    <w:rsid w:val="00CD5C41"/>
    <w:rsid w:val="00CF44DF"/>
    <w:rsid w:val="00D04E0B"/>
    <w:rsid w:val="00D62DA0"/>
    <w:rsid w:val="00D6543C"/>
    <w:rsid w:val="00DF594D"/>
    <w:rsid w:val="00E022B1"/>
    <w:rsid w:val="00E14FEE"/>
    <w:rsid w:val="00E71368"/>
    <w:rsid w:val="00E93816"/>
    <w:rsid w:val="00EA2F51"/>
    <w:rsid w:val="00EA59ED"/>
    <w:rsid w:val="00EB4C4D"/>
    <w:rsid w:val="00EB7984"/>
    <w:rsid w:val="00EC3793"/>
    <w:rsid w:val="00EF48F2"/>
    <w:rsid w:val="00F04010"/>
    <w:rsid w:val="00F20550"/>
    <w:rsid w:val="00FB7510"/>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649B47"/>
  <w15:chartTrackingRefBased/>
  <w15:docId w15:val="{E74133F6-FEE5-48D3-A088-5BBB2E193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B2625F"/>
    <w:pPr>
      <w:tabs>
        <w:tab w:val="right" w:pos="454"/>
        <w:tab w:val="left" w:pos="737"/>
      </w:tabs>
      <w:ind w:left="737" w:hanging="737"/>
    </w:pPr>
    <w:rPr>
      <w:snapToGrid w:val="0"/>
      <w:sz w:val="18"/>
      <w:lang w:eastAsia="en-US"/>
    </w:rPr>
  </w:style>
  <w:style w:type="paragraph" w:customStyle="1" w:styleId="Lgendetitre">
    <w:name w:val="Légende titre"/>
    <w:basedOn w:val="Normal"/>
    <w:rsid w:val="00B2625F"/>
    <w:pPr>
      <w:spacing w:before="240" w:after="240"/>
    </w:pPr>
    <w:rPr>
      <w:b/>
      <w:i/>
      <w:snapToGrid w:val="0"/>
      <w:lang w:eastAsia="en-US"/>
    </w:rPr>
  </w:style>
  <w:style w:type="paragraph" w:customStyle="1" w:styleId="Lgendestandard">
    <w:name w:val="Légende standard"/>
    <w:basedOn w:val="Normal"/>
    <w:rsid w:val="00B2625F"/>
    <w:rPr>
      <w:sz w:val="18"/>
    </w:rPr>
  </w:style>
  <w:style w:type="paragraph" w:customStyle="1" w:styleId="Normal24a">
    <w:name w:val="Normal24a"/>
    <w:basedOn w:val="Normal"/>
    <w:rsid w:val="00B40081"/>
    <w:pPr>
      <w:spacing w:after="480"/>
    </w:pPr>
  </w:style>
  <w:style w:type="paragraph" w:customStyle="1" w:styleId="NormalBoldCenter">
    <w:name w:val="NormalBoldCenter"/>
    <w:basedOn w:val="Normal"/>
    <w:rsid w:val="00B40081"/>
    <w:pPr>
      <w:jc w:val="center"/>
    </w:pPr>
    <w:rPr>
      <w:b/>
    </w:rPr>
  </w:style>
  <w:style w:type="paragraph" w:customStyle="1" w:styleId="Footprint12b">
    <w:name w:val="Footprint12b"/>
    <w:basedOn w:val="Normal"/>
    <w:rsid w:val="00B40081"/>
    <w:pPr>
      <w:spacing w:before="240"/>
    </w:pPr>
    <w:rPr>
      <w:szCs w:val="24"/>
    </w:rPr>
  </w:style>
  <w:style w:type="paragraph" w:customStyle="1" w:styleId="NormalSingle">
    <w:name w:val="NormalSingle"/>
    <w:basedOn w:val="Normal"/>
    <w:qFormat/>
    <w:rsid w:val="00B40081"/>
    <w:rPr>
      <w:szCs w:val="24"/>
    </w:rPr>
  </w:style>
  <w:style w:type="paragraph" w:styleId="Footer">
    <w:name w:val="footer"/>
    <w:basedOn w:val="Normal"/>
    <w:link w:val="FooterChar"/>
    <w:semiHidden/>
    <w:rsid w:val="0072589E"/>
    <w:pPr>
      <w:tabs>
        <w:tab w:val="center" w:pos="4513"/>
        <w:tab w:val="right" w:pos="9026"/>
      </w:tabs>
    </w:pPr>
  </w:style>
  <w:style w:type="character" w:customStyle="1" w:styleId="FooterChar">
    <w:name w:val="Footer Char"/>
    <w:basedOn w:val="DefaultParagraphFont"/>
    <w:link w:val="Footer"/>
    <w:semiHidden/>
    <w:rsid w:val="0072589E"/>
    <w:rPr>
      <w:sz w:val="24"/>
    </w:rPr>
  </w:style>
  <w:style w:type="paragraph" w:styleId="FootnoteText">
    <w:name w:val="footnote text"/>
    <w:basedOn w:val="Normal"/>
    <w:link w:val="FootnoteTextChar"/>
    <w:rsid w:val="00623B61"/>
    <w:rPr>
      <w:sz w:val="20"/>
    </w:rPr>
  </w:style>
  <w:style w:type="character" w:customStyle="1" w:styleId="FootnoteTextChar">
    <w:name w:val="Footnote Text Char"/>
    <w:basedOn w:val="DefaultParagraphFont"/>
    <w:link w:val="FootnoteText"/>
    <w:rsid w:val="00623B61"/>
  </w:style>
  <w:style w:type="character" w:styleId="FootnoteReference">
    <w:name w:val="footnote reference"/>
    <w:basedOn w:val="DefaultParagraphFont"/>
    <w:rsid w:val="00623B61"/>
    <w:rPr>
      <w:vertAlign w:val="superscript"/>
    </w:rPr>
  </w:style>
  <w:style w:type="character" w:styleId="Hyperlink">
    <w:name w:val="Hyperlink"/>
    <w:basedOn w:val="DefaultParagraphFont"/>
    <w:rsid w:val="00623B61"/>
    <w:rPr>
      <w:color w:val="0563C1" w:themeColor="hyperlink"/>
      <w:u w:val="single"/>
    </w:rPr>
  </w:style>
  <w:style w:type="character" w:styleId="UnresolvedMention">
    <w:name w:val="Unresolved Mention"/>
    <w:basedOn w:val="DefaultParagraphFont"/>
    <w:uiPriority w:val="99"/>
    <w:semiHidden/>
    <w:unhideWhenUsed/>
    <w:rsid w:val="00623B61"/>
    <w:rPr>
      <w:color w:val="605E5C"/>
      <w:shd w:val="clear" w:color="auto" w:fill="E1DFDD"/>
    </w:rPr>
  </w:style>
  <w:style w:type="paragraph" w:styleId="Revision">
    <w:name w:val="Revision"/>
    <w:hidden/>
    <w:uiPriority w:val="99"/>
    <w:semiHidden/>
    <w:rsid w:val="0071694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833</Words>
  <Characters>5636</Characters>
  <Application>Microsoft Office Word</Application>
  <DocSecurity>0</DocSecurity>
  <Lines>128</Lines>
  <Paragraphs>55</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COUCOURATOS Anastasia</dc:creator>
  <cp:lastModifiedBy>HEINSOEE Katja</cp:lastModifiedBy>
  <cp:revision>2</cp:revision>
  <cp:lastPrinted>2026-04-08T09:50:00Z</cp:lastPrinted>
  <dcterms:created xsi:type="dcterms:W3CDTF">2026-04-20T05:55:00Z</dcterms:created>
  <dcterms:modified xsi:type="dcterms:W3CDTF">2026-04-20T05:55:00Z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1340836</vt:lpwstr>
  </property>
  <property fmtid="{D5CDD505-2E9C-101B-9397-08002B2CF9AE}" pid="4" name="&lt;Model&gt;">
    <vt:lpwstr>PR_NLE-AP_Agreement</vt:lpwstr>
  </property>
  <property fmtid="{D5CDD505-2E9C-101B-9397-08002B2CF9AE}" pid="5" name="&lt;ModelCod&gt;">
    <vt:lpwstr>\\eiciBRUpr1\pdocep$\DocEP\DOCS\General\PR\PR_Leg\NLE\PR_NLE-AP_Agreement.dotx(12/08/2024 17:05:00)</vt:lpwstr>
  </property>
  <property fmtid="{D5CDD505-2E9C-101B-9397-08002B2CF9AE}" pid="6" name="&lt;ModelTra&gt;">
    <vt:lpwstr>\\eiciBRUpr1\pdocep$\DocEP\TRANSFIL\EN\PR_NLE-AP_Agreement.EN(04/10/2024 12:39:01)</vt:lpwstr>
  </property>
  <property fmtid="{D5CDD505-2E9C-101B-9397-08002B2CF9AE}" pid="7" name="&lt;Type&gt;">
    <vt:lpwstr>PR</vt:lpwstr>
  </property>
  <property fmtid="{D5CDD505-2E9C-101B-9397-08002B2CF9AE}" pid="8" name="Created with">
    <vt:lpwstr>10.2.1 Build [20260301]</vt:lpwstr>
  </property>
  <property fmtid="{D5CDD505-2E9C-101B-9397-08002B2CF9AE}" pid="9" name="FooterPath">
    <vt:lpwstr>PR\1340836DA.docx</vt:lpwstr>
  </property>
  <property fmtid="{D5CDD505-2E9C-101B-9397-08002B2CF9AE}" pid="10" name="LastEdited with">
    <vt:lpwstr>10.2.1 Build [20260301]</vt:lpwstr>
  </property>
  <property fmtid="{D5CDD505-2E9C-101B-9397-08002B2CF9AE}" pid="11" name="PE number">
    <vt:lpwstr>786.905</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- 2026/04/10 12:02</vt:lpwstr>
  </property>
  <property fmtid="{D5CDD505-2E9C-101B-9397-08002B2CF9AE}" pid="15" name="Bookout">
    <vt:lpwstr>OK - 2026/04/20 07:55</vt:lpwstr>
  </property>
</Properties>
</file>